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691C" w14:textId="77777777" w:rsidR="00235CFD" w:rsidRPr="00A90351" w:rsidRDefault="00235CFD" w:rsidP="00235CFD">
      <w:pPr>
        <w:keepNext/>
        <w:keepLines/>
        <w:spacing w:after="120" w:line="276" w:lineRule="auto"/>
        <w:outlineLvl w:val="0"/>
        <w:rPr>
          <w:rFonts w:ascii="Arial" w:eastAsiaTheme="majorEastAsia" w:hAnsi="Arial" w:cs="Arial"/>
          <w:i/>
          <w:color w:val="C00000"/>
          <w:sz w:val="18"/>
          <w:szCs w:val="32"/>
        </w:rPr>
      </w:pPr>
      <w:bookmarkStart w:id="0" w:name="_Hlk521315208"/>
      <w:bookmarkStart w:id="1" w:name="_Hlk521327664"/>
    </w:p>
    <w:p w14:paraId="450F209A" w14:textId="6428B511" w:rsidR="00235CFD" w:rsidRPr="006E308A" w:rsidRDefault="48359B0B" w:rsidP="48359B0B">
      <w:pPr>
        <w:keepNext/>
        <w:keepLines/>
        <w:spacing w:after="120" w:line="276" w:lineRule="auto"/>
        <w:outlineLvl w:val="0"/>
        <w:rPr>
          <w:rFonts w:ascii="Arial" w:eastAsiaTheme="majorEastAsia" w:hAnsi="Arial" w:cs="Arial"/>
          <w:color w:val="C0311A"/>
          <w:sz w:val="32"/>
          <w:szCs w:val="32"/>
        </w:rPr>
      </w:pPr>
      <w:r w:rsidRPr="48359B0B">
        <w:rPr>
          <w:rFonts w:ascii="Arial" w:eastAsiaTheme="majorEastAsia" w:hAnsi="Arial" w:cs="Arial"/>
          <w:color w:val="C0311A"/>
          <w:sz w:val="32"/>
          <w:szCs w:val="32"/>
        </w:rPr>
        <w:t>Beneficial Enterprises</w:t>
      </w:r>
    </w:p>
    <w:bookmarkEnd w:id="0"/>
    <w:p w14:paraId="29BBE7BE" w14:textId="77777777" w:rsidR="0067033C" w:rsidRPr="00350726" w:rsidRDefault="0067033C" w:rsidP="00350726">
      <w:pPr>
        <w:spacing w:after="120" w:line="276" w:lineRule="auto"/>
        <w:jc w:val="both"/>
        <w:rPr>
          <w:rFonts w:ascii="Arial" w:hAnsi="Arial" w:cs="Arial"/>
          <w:sz w:val="24"/>
          <w:szCs w:val="24"/>
        </w:rPr>
      </w:pPr>
      <w:r w:rsidRPr="00350726">
        <w:rPr>
          <w:rFonts w:ascii="Arial" w:hAnsi="Arial" w:cs="Arial"/>
          <w:sz w:val="24"/>
          <w:szCs w:val="24"/>
        </w:rPr>
        <w:t xml:space="preserve">Our vision is for the local government sector to be agile, smart and inclusive. </w:t>
      </w:r>
    </w:p>
    <w:p w14:paraId="28B624D7" w14:textId="77777777" w:rsidR="0067033C" w:rsidRPr="00350726" w:rsidRDefault="0067033C" w:rsidP="00350726">
      <w:pPr>
        <w:spacing w:after="120" w:line="276" w:lineRule="auto"/>
        <w:jc w:val="both"/>
        <w:rPr>
          <w:rFonts w:ascii="Arial" w:hAnsi="Arial" w:cs="Arial"/>
          <w:sz w:val="24"/>
          <w:szCs w:val="24"/>
        </w:rPr>
      </w:pPr>
      <w:r w:rsidRPr="00350726">
        <w:rPr>
          <w:rFonts w:ascii="Arial" w:hAnsi="Arial" w:cs="Arial"/>
          <w:sz w:val="24"/>
          <w:szCs w:val="24"/>
        </w:rPr>
        <w:t>Our objective is to reform local government so that it is empowered to better deliver quality governance and services to their communities now and into the future.</w:t>
      </w:r>
    </w:p>
    <w:p w14:paraId="6EB00426" w14:textId="77777777" w:rsidR="0067033C" w:rsidRPr="00350726" w:rsidRDefault="0067033C" w:rsidP="00350726">
      <w:pPr>
        <w:jc w:val="both"/>
        <w:rPr>
          <w:rFonts w:ascii="Arial" w:hAnsi="Arial" w:cs="Arial"/>
          <w:sz w:val="24"/>
          <w:szCs w:val="24"/>
        </w:rPr>
      </w:pPr>
      <w:r w:rsidRPr="00350726">
        <w:rPr>
          <w:rFonts w:ascii="Arial" w:hAnsi="Arial" w:cs="Arial"/>
          <w:sz w:val="24"/>
          <w:szCs w:val="24"/>
        </w:rPr>
        <w:t>A new Local Government Act will be drafted, Transforming Local Government.</w:t>
      </w:r>
    </w:p>
    <w:p w14:paraId="719C20E9" w14:textId="22CF3955" w:rsidR="0067033C" w:rsidRPr="00350726" w:rsidRDefault="0067033C" w:rsidP="00350726">
      <w:pPr>
        <w:spacing w:after="120" w:line="276" w:lineRule="auto"/>
        <w:jc w:val="both"/>
        <w:rPr>
          <w:rFonts w:ascii="Arial" w:hAnsi="Arial" w:cs="Arial"/>
          <w:sz w:val="24"/>
          <w:szCs w:val="24"/>
        </w:rPr>
      </w:pPr>
      <w:r w:rsidRPr="00350726">
        <w:rPr>
          <w:rFonts w:ascii="Arial" w:hAnsi="Arial" w:cs="Arial"/>
          <w:sz w:val="24"/>
          <w:szCs w:val="24"/>
        </w:rPr>
        <w:t xml:space="preserve">Agile includes topics that focus specifically on how local governments can best use their resources. </w:t>
      </w:r>
      <w:r w:rsidR="00811C41" w:rsidRPr="00350726">
        <w:rPr>
          <w:rFonts w:ascii="Arial" w:hAnsi="Arial" w:cs="Arial"/>
          <w:sz w:val="24"/>
          <w:szCs w:val="24"/>
        </w:rPr>
        <w:t>I</w:t>
      </w:r>
      <w:r w:rsidRPr="00350726">
        <w:rPr>
          <w:rFonts w:ascii="Arial" w:hAnsi="Arial" w:cs="Arial"/>
          <w:sz w:val="24"/>
          <w:szCs w:val="24"/>
        </w:rPr>
        <w:t>t is important that they are transparent and accountable to their communities</w:t>
      </w:r>
      <w:r w:rsidR="00811C41" w:rsidRPr="00350726">
        <w:rPr>
          <w:rFonts w:ascii="Arial" w:hAnsi="Arial" w:cs="Arial"/>
          <w:sz w:val="24"/>
          <w:szCs w:val="24"/>
        </w:rPr>
        <w:t xml:space="preserve">, while </w:t>
      </w:r>
      <w:r w:rsidRPr="00350726">
        <w:rPr>
          <w:rFonts w:ascii="Arial" w:hAnsi="Arial" w:cs="Arial"/>
          <w:sz w:val="24"/>
          <w:szCs w:val="24"/>
        </w:rPr>
        <w:t>strik</w:t>
      </w:r>
      <w:r w:rsidR="00811C41" w:rsidRPr="00350726">
        <w:rPr>
          <w:rFonts w:ascii="Arial" w:hAnsi="Arial" w:cs="Arial"/>
          <w:sz w:val="24"/>
          <w:szCs w:val="24"/>
        </w:rPr>
        <w:t>ing</w:t>
      </w:r>
      <w:r w:rsidRPr="00350726">
        <w:rPr>
          <w:rFonts w:ascii="Arial" w:hAnsi="Arial" w:cs="Arial"/>
          <w:sz w:val="24"/>
          <w:szCs w:val="24"/>
        </w:rPr>
        <w:t xml:space="preserve"> a balance between community expectations and the practical limitations of revenue and expenditure.</w:t>
      </w:r>
    </w:p>
    <w:p w14:paraId="0DA77545" w14:textId="77777777" w:rsidR="0067033C" w:rsidRPr="00350726" w:rsidRDefault="0067033C" w:rsidP="00350726">
      <w:pPr>
        <w:spacing w:after="120" w:line="276" w:lineRule="auto"/>
        <w:jc w:val="both"/>
        <w:rPr>
          <w:rFonts w:ascii="Arial" w:hAnsi="Arial" w:cs="Arial"/>
          <w:sz w:val="24"/>
          <w:szCs w:val="24"/>
        </w:rPr>
      </w:pPr>
      <w:r w:rsidRPr="00350726">
        <w:rPr>
          <w:rFonts w:ascii="Arial" w:hAnsi="Arial" w:cs="Arial"/>
          <w:sz w:val="24"/>
          <w:szCs w:val="24"/>
        </w:rPr>
        <w:t>The topics addressed in this theme are:</w:t>
      </w:r>
    </w:p>
    <w:p w14:paraId="6C4A9DD3" w14:textId="3D3C146C" w:rsidR="0067033C" w:rsidRPr="00350726" w:rsidRDefault="0067033C" w:rsidP="00350726">
      <w:pPr>
        <w:pStyle w:val="ListParagraph"/>
        <w:numPr>
          <w:ilvl w:val="0"/>
          <w:numId w:val="29"/>
        </w:numPr>
        <w:spacing w:after="120" w:line="276" w:lineRule="auto"/>
        <w:jc w:val="both"/>
        <w:rPr>
          <w:rFonts w:ascii="Arial" w:hAnsi="Arial" w:cs="Arial"/>
          <w:sz w:val="24"/>
          <w:szCs w:val="24"/>
        </w:rPr>
      </w:pPr>
      <w:r w:rsidRPr="00350726">
        <w:rPr>
          <w:rFonts w:ascii="Arial" w:hAnsi="Arial" w:cs="Arial"/>
          <w:sz w:val="24"/>
          <w:szCs w:val="24"/>
        </w:rPr>
        <w:t>Financial management</w:t>
      </w:r>
      <w:r w:rsidR="00350726">
        <w:rPr>
          <w:rFonts w:ascii="Arial" w:hAnsi="Arial" w:cs="Arial"/>
          <w:sz w:val="24"/>
          <w:szCs w:val="24"/>
        </w:rPr>
        <w:t>;</w:t>
      </w:r>
    </w:p>
    <w:p w14:paraId="0595859E" w14:textId="78F108F4" w:rsidR="0067033C" w:rsidRPr="00350726" w:rsidRDefault="0067033C" w:rsidP="00350726">
      <w:pPr>
        <w:pStyle w:val="ListParagraph"/>
        <w:numPr>
          <w:ilvl w:val="0"/>
          <w:numId w:val="29"/>
        </w:numPr>
        <w:spacing w:after="120" w:line="276" w:lineRule="auto"/>
        <w:jc w:val="both"/>
        <w:rPr>
          <w:rFonts w:ascii="Arial" w:hAnsi="Arial" w:cs="Arial"/>
          <w:sz w:val="24"/>
          <w:szCs w:val="24"/>
        </w:rPr>
      </w:pPr>
      <w:r w:rsidRPr="00350726">
        <w:rPr>
          <w:rFonts w:ascii="Arial" w:hAnsi="Arial" w:cs="Arial"/>
          <w:sz w:val="24"/>
          <w:szCs w:val="24"/>
        </w:rPr>
        <w:t>Rates, fees and charges</w:t>
      </w:r>
      <w:r w:rsidR="00350726">
        <w:rPr>
          <w:rFonts w:ascii="Arial" w:hAnsi="Arial" w:cs="Arial"/>
          <w:sz w:val="24"/>
          <w:szCs w:val="24"/>
        </w:rPr>
        <w:t>; and</w:t>
      </w:r>
    </w:p>
    <w:p w14:paraId="5433A97B" w14:textId="156A1FB4" w:rsidR="0067033C" w:rsidRPr="00350726" w:rsidRDefault="0067033C" w:rsidP="00350726">
      <w:pPr>
        <w:pStyle w:val="ListParagraph"/>
        <w:numPr>
          <w:ilvl w:val="0"/>
          <w:numId w:val="29"/>
        </w:numPr>
        <w:spacing w:after="120" w:line="276" w:lineRule="auto"/>
        <w:jc w:val="both"/>
        <w:rPr>
          <w:rFonts w:ascii="Arial" w:hAnsi="Arial" w:cs="Arial"/>
          <w:sz w:val="24"/>
          <w:szCs w:val="24"/>
        </w:rPr>
      </w:pPr>
      <w:r w:rsidRPr="00350726">
        <w:rPr>
          <w:rFonts w:ascii="Arial" w:hAnsi="Arial" w:cs="Arial"/>
          <w:sz w:val="24"/>
          <w:szCs w:val="24"/>
        </w:rPr>
        <w:t>Beneficial enterprises</w:t>
      </w:r>
      <w:r w:rsidR="00350726">
        <w:rPr>
          <w:rFonts w:ascii="Arial" w:hAnsi="Arial" w:cs="Arial"/>
          <w:sz w:val="24"/>
          <w:szCs w:val="24"/>
        </w:rPr>
        <w:t>.</w:t>
      </w:r>
    </w:p>
    <w:bookmarkEnd w:id="1"/>
    <w:p w14:paraId="6AF127C6" w14:textId="77777777" w:rsidR="00C528CC" w:rsidRPr="00867B6D" w:rsidRDefault="00C528CC" w:rsidP="00C528CC">
      <w:pPr>
        <w:spacing w:after="120" w:line="276" w:lineRule="auto"/>
        <w:rPr>
          <w:rFonts w:ascii="Arial" w:hAnsi="Arial" w:cs="Arial"/>
          <w:b/>
          <w:bCs/>
          <w:color w:val="595959" w:themeColor="text1" w:themeTint="A6"/>
          <w:sz w:val="24"/>
          <w:szCs w:val="24"/>
        </w:rPr>
      </w:pPr>
      <w:r w:rsidRPr="00867B6D">
        <w:rPr>
          <w:rFonts w:ascii="Arial" w:hAnsi="Arial" w:cs="Arial"/>
          <w:b/>
          <w:bCs/>
          <w:color w:val="595959" w:themeColor="text1" w:themeTint="A6"/>
          <w:sz w:val="24"/>
          <w:szCs w:val="24"/>
        </w:rPr>
        <w:t>Have your say!</w:t>
      </w:r>
    </w:p>
    <w:p w14:paraId="408FCFAD" w14:textId="77777777" w:rsidR="00C528CC" w:rsidRPr="00867B6D" w:rsidRDefault="00C528CC" w:rsidP="00C528CC">
      <w:pPr>
        <w:spacing w:after="120" w:line="276" w:lineRule="auto"/>
        <w:jc w:val="both"/>
        <w:rPr>
          <w:rFonts w:ascii="Arial" w:hAnsi="Arial" w:cs="Arial"/>
          <w:sz w:val="24"/>
          <w:szCs w:val="24"/>
        </w:rPr>
      </w:pPr>
      <w:r w:rsidRPr="00867B6D">
        <w:rPr>
          <w:rFonts w:ascii="Arial" w:hAnsi="Arial" w:cs="Arial"/>
          <w:sz w:val="24"/>
          <w:szCs w:val="24"/>
        </w:rPr>
        <w:t>We need your input to inform how local government will work for future generations.</w:t>
      </w:r>
    </w:p>
    <w:p w14:paraId="681F01ED" w14:textId="77777777" w:rsidR="00C528CC" w:rsidRPr="00867B6D" w:rsidRDefault="00C528CC" w:rsidP="00C528CC">
      <w:pPr>
        <w:spacing w:after="120" w:line="276" w:lineRule="auto"/>
        <w:jc w:val="both"/>
        <w:rPr>
          <w:rFonts w:ascii="Arial" w:hAnsi="Arial" w:cs="Arial"/>
          <w:b/>
          <w:bCs/>
          <w:color w:val="595959" w:themeColor="text1" w:themeTint="A6"/>
          <w:sz w:val="24"/>
          <w:szCs w:val="24"/>
        </w:rPr>
      </w:pPr>
      <w:r w:rsidRPr="00867B6D">
        <w:rPr>
          <w:rFonts w:ascii="Arial" w:hAnsi="Arial" w:cs="Arial"/>
          <w:b/>
          <w:bCs/>
          <w:color w:val="595959" w:themeColor="text1" w:themeTint="A6"/>
          <w:sz w:val="24"/>
          <w:szCs w:val="24"/>
        </w:rPr>
        <w:t>Submissions</w:t>
      </w:r>
    </w:p>
    <w:p w14:paraId="0899D863" w14:textId="77777777" w:rsidR="00C528CC" w:rsidRPr="00867B6D" w:rsidRDefault="00C528CC" w:rsidP="00C528CC">
      <w:pPr>
        <w:spacing w:after="120" w:line="276" w:lineRule="auto"/>
        <w:jc w:val="both"/>
        <w:rPr>
          <w:rFonts w:ascii="Arial" w:hAnsi="Arial" w:cs="Arial"/>
          <w:sz w:val="24"/>
          <w:szCs w:val="24"/>
        </w:rPr>
      </w:pPr>
      <w:r w:rsidRPr="00867B6D">
        <w:rPr>
          <w:rFonts w:ascii="Arial" w:hAnsi="Arial" w:cs="Arial"/>
          <w:sz w:val="24"/>
          <w:szCs w:val="24"/>
        </w:rPr>
        <w:t xml:space="preserve">The simplest way to have your say is to answer the questions via the online surveys.  </w:t>
      </w:r>
    </w:p>
    <w:p w14:paraId="110F080A" w14:textId="77777777" w:rsidR="00C528CC" w:rsidRDefault="00C528CC" w:rsidP="00C528CC">
      <w:pPr>
        <w:spacing w:after="120" w:line="276" w:lineRule="auto"/>
        <w:jc w:val="both"/>
        <w:rPr>
          <w:rFonts w:ascii="Arial" w:hAnsi="Arial" w:cs="Arial"/>
          <w:sz w:val="24"/>
          <w:szCs w:val="24"/>
        </w:rPr>
      </w:pPr>
      <w:r w:rsidRPr="00867B6D">
        <w:rPr>
          <w:rFonts w:ascii="Arial" w:hAnsi="Arial" w:cs="Arial"/>
          <w:sz w:val="24"/>
          <w:szCs w:val="24"/>
        </w:rPr>
        <w:t>The survey questions relate to the matters discussed in the papers and we encourage you to read the relevant paper</w:t>
      </w:r>
      <w:r>
        <w:rPr>
          <w:rFonts w:ascii="Arial" w:hAnsi="Arial" w:cs="Arial"/>
          <w:sz w:val="24"/>
          <w:szCs w:val="24"/>
        </w:rPr>
        <w:t xml:space="preserve"> before completing the survey. </w:t>
      </w:r>
    </w:p>
    <w:p w14:paraId="08B41258" w14:textId="77777777" w:rsidR="00C528CC" w:rsidRPr="00867B6D" w:rsidRDefault="00C528CC" w:rsidP="00C528CC">
      <w:pPr>
        <w:spacing w:after="120" w:line="276" w:lineRule="auto"/>
        <w:jc w:val="both"/>
        <w:rPr>
          <w:rFonts w:ascii="Arial" w:hAnsi="Arial" w:cs="Arial"/>
          <w:sz w:val="24"/>
          <w:szCs w:val="24"/>
        </w:rPr>
      </w:pPr>
      <w:r w:rsidRPr="00867B6D">
        <w:rPr>
          <w:rFonts w:ascii="Arial" w:hAnsi="Arial" w:cs="Arial"/>
          <w:sz w:val="24"/>
          <w:szCs w:val="24"/>
        </w:rPr>
        <w:t>While you may lodge multiple written submissions</w:t>
      </w:r>
      <w:r>
        <w:rPr>
          <w:rFonts w:ascii="Arial" w:hAnsi="Arial" w:cs="Arial"/>
          <w:sz w:val="24"/>
          <w:szCs w:val="24"/>
        </w:rPr>
        <w:t xml:space="preserve"> via email at </w:t>
      </w:r>
      <w:hyperlink r:id="rId11">
        <w:r w:rsidRPr="1BEA62F6">
          <w:rPr>
            <w:rStyle w:val="Hyperlink"/>
            <w:rFonts w:cs="Arial"/>
          </w:rPr>
          <w:t>actreview@dlgsc.wa.gov.au</w:t>
        </w:r>
      </w:hyperlink>
      <w:r w:rsidRPr="00867B6D">
        <w:rPr>
          <w:rFonts w:ascii="Arial" w:hAnsi="Arial" w:cs="Arial"/>
          <w:sz w:val="24"/>
          <w:szCs w:val="24"/>
        </w:rPr>
        <w:t xml:space="preserve">, you will only be able to complete each </w:t>
      </w:r>
      <w:r>
        <w:rPr>
          <w:rFonts w:ascii="Arial" w:hAnsi="Arial" w:cs="Arial"/>
          <w:sz w:val="24"/>
          <w:szCs w:val="24"/>
        </w:rPr>
        <w:t xml:space="preserve">online </w:t>
      </w:r>
      <w:r w:rsidRPr="00867B6D">
        <w:rPr>
          <w:rFonts w:ascii="Arial" w:hAnsi="Arial" w:cs="Arial"/>
          <w:sz w:val="24"/>
          <w:szCs w:val="24"/>
        </w:rPr>
        <w:t>topic survey once.</w:t>
      </w:r>
      <w:r>
        <w:rPr>
          <w:rFonts w:ascii="Arial" w:hAnsi="Arial" w:cs="Arial"/>
          <w:sz w:val="24"/>
          <w:szCs w:val="24"/>
        </w:rPr>
        <w:t xml:space="preserve"> </w:t>
      </w:r>
      <w:r w:rsidRPr="00867B6D">
        <w:rPr>
          <w:rFonts w:ascii="Arial" w:hAnsi="Arial" w:cs="Arial"/>
          <w:sz w:val="24"/>
          <w:szCs w:val="24"/>
        </w:rPr>
        <w:t>The public submission p</w:t>
      </w:r>
      <w:r>
        <w:rPr>
          <w:rFonts w:ascii="Arial" w:hAnsi="Arial" w:cs="Arial"/>
          <w:sz w:val="24"/>
          <w:szCs w:val="24"/>
        </w:rPr>
        <w:t xml:space="preserve">eriod closes on 31 March 2019. </w:t>
      </w:r>
      <w:r w:rsidRPr="00867B6D">
        <w:rPr>
          <w:rFonts w:ascii="Arial" w:hAnsi="Arial" w:cs="Arial"/>
          <w:sz w:val="24"/>
          <w:szCs w:val="24"/>
        </w:rPr>
        <w:t xml:space="preserve">This is the last day </w:t>
      </w:r>
      <w:r>
        <w:rPr>
          <w:rFonts w:ascii="Arial" w:hAnsi="Arial" w:cs="Arial"/>
          <w:sz w:val="24"/>
          <w:szCs w:val="24"/>
        </w:rPr>
        <w:t xml:space="preserve">that </w:t>
      </w:r>
      <w:r w:rsidRPr="00867B6D">
        <w:rPr>
          <w:rFonts w:ascii="Arial" w:hAnsi="Arial" w:cs="Arial"/>
          <w:sz w:val="24"/>
          <w:szCs w:val="24"/>
        </w:rPr>
        <w:t>you will be able to respond to the surveys.</w:t>
      </w:r>
    </w:p>
    <w:p w14:paraId="7F3081F9" w14:textId="77777777" w:rsidR="00C528CC" w:rsidRDefault="00C528CC" w:rsidP="00C528CC">
      <w:pPr>
        <w:spacing w:after="120" w:line="276" w:lineRule="auto"/>
        <w:jc w:val="both"/>
        <w:rPr>
          <w:rFonts w:ascii="Arial" w:hAnsi="Arial" w:cs="Arial"/>
          <w:sz w:val="24"/>
          <w:szCs w:val="24"/>
        </w:rPr>
      </w:pPr>
      <w:r w:rsidRPr="00867B6D">
        <w:rPr>
          <w:rFonts w:ascii="Arial" w:hAnsi="Arial" w:cs="Arial"/>
          <w:b/>
          <w:bCs/>
          <w:sz w:val="24"/>
          <w:szCs w:val="24"/>
        </w:rPr>
        <w:t>Note</w:t>
      </w:r>
      <w:r w:rsidRPr="00867B6D">
        <w:rPr>
          <w:rFonts w:ascii="Arial" w:hAnsi="Arial" w:cs="Arial"/>
          <w:sz w:val="24"/>
          <w:szCs w:val="24"/>
        </w:rPr>
        <w:t>: Unless marked as confidential, your submission (including survey responses) will be made public and published in ful</w:t>
      </w:r>
      <w:r>
        <w:rPr>
          <w:rFonts w:ascii="Arial" w:hAnsi="Arial" w:cs="Arial"/>
          <w:sz w:val="24"/>
          <w:szCs w:val="24"/>
        </w:rPr>
        <w:t xml:space="preserve">l on the Department of Local Government, Sport and Cultural Industries’ (the Department) website. </w:t>
      </w:r>
      <w:r w:rsidRPr="00867B6D">
        <w:rPr>
          <w:rFonts w:ascii="Arial" w:hAnsi="Arial" w:cs="Arial"/>
          <w:sz w:val="24"/>
          <w:szCs w:val="24"/>
        </w:rPr>
        <w:t>Submissions that contain defamatory or offensive material will not be published.</w:t>
      </w:r>
    </w:p>
    <w:p w14:paraId="5A3E2165" w14:textId="77777777" w:rsidR="00235CFD" w:rsidRPr="006E308A" w:rsidRDefault="48359B0B" w:rsidP="48359B0B">
      <w:pPr>
        <w:keepNext/>
        <w:keepLines/>
        <w:spacing w:after="120" w:line="276" w:lineRule="auto"/>
        <w:outlineLvl w:val="0"/>
        <w:rPr>
          <w:rFonts w:ascii="Arial" w:eastAsiaTheme="majorEastAsia" w:hAnsi="Arial" w:cs="Arial"/>
          <w:color w:val="C0311A"/>
          <w:sz w:val="32"/>
          <w:szCs w:val="32"/>
        </w:rPr>
      </w:pPr>
      <w:r w:rsidRPr="48359B0B">
        <w:rPr>
          <w:rFonts w:ascii="Arial" w:eastAsiaTheme="majorEastAsia" w:hAnsi="Arial" w:cs="Arial"/>
          <w:color w:val="C0311A"/>
          <w:sz w:val="32"/>
          <w:szCs w:val="32"/>
        </w:rPr>
        <w:lastRenderedPageBreak/>
        <w:t>Introduction</w:t>
      </w:r>
    </w:p>
    <w:p w14:paraId="1C93F38A" w14:textId="2B4A235E" w:rsidR="00235CFD" w:rsidRPr="00350726" w:rsidRDefault="48359B0B" w:rsidP="48359B0B">
      <w:pPr>
        <w:spacing w:after="120" w:line="276" w:lineRule="auto"/>
        <w:jc w:val="both"/>
        <w:rPr>
          <w:rFonts w:ascii="Arial" w:hAnsi="Arial" w:cs="Arial"/>
          <w:sz w:val="24"/>
          <w:szCs w:val="24"/>
        </w:rPr>
      </w:pPr>
      <w:r w:rsidRPr="00350726">
        <w:rPr>
          <w:rFonts w:ascii="Arial" w:hAnsi="Arial" w:cs="Arial"/>
          <w:sz w:val="24"/>
          <w:szCs w:val="24"/>
        </w:rPr>
        <w:t xml:space="preserve">In addition to the regulatory functions provided, local governments </w:t>
      </w:r>
      <w:r w:rsidR="00350726">
        <w:rPr>
          <w:rFonts w:ascii="Arial" w:hAnsi="Arial" w:cs="Arial"/>
          <w:sz w:val="24"/>
          <w:szCs w:val="24"/>
        </w:rPr>
        <w:t xml:space="preserve">also </w:t>
      </w:r>
      <w:r w:rsidRPr="00350726">
        <w:rPr>
          <w:rFonts w:ascii="Arial" w:hAnsi="Arial" w:cs="Arial"/>
          <w:sz w:val="24"/>
          <w:szCs w:val="24"/>
        </w:rPr>
        <w:t xml:space="preserve">provide a broad array of services to the community which can have a commercial orientation for example: gymnasiums, pools, parking facilities, childcare facilities, sport complexes, caravan parks and regional airports.  </w:t>
      </w:r>
    </w:p>
    <w:p w14:paraId="72F2B26C" w14:textId="77777777" w:rsidR="00235CFD" w:rsidRPr="00350726" w:rsidRDefault="48359B0B" w:rsidP="48359B0B">
      <w:pPr>
        <w:spacing w:after="120" w:line="276" w:lineRule="auto"/>
        <w:jc w:val="both"/>
        <w:rPr>
          <w:rFonts w:ascii="Arial" w:hAnsi="Arial" w:cs="Arial"/>
          <w:sz w:val="24"/>
          <w:szCs w:val="24"/>
        </w:rPr>
      </w:pPr>
      <w:r w:rsidRPr="00350726">
        <w:rPr>
          <w:rFonts w:ascii="Arial" w:hAnsi="Arial" w:cs="Arial"/>
          <w:sz w:val="24"/>
          <w:szCs w:val="24"/>
        </w:rPr>
        <w:t xml:space="preserve">While these activities provide services to the community, they also add to the complexity of the local government’s business structure and recordkeeping. In some cases, these services are large enough to be carried on as an individual </w:t>
      </w:r>
      <w:proofErr w:type="gramStart"/>
      <w:r w:rsidRPr="00350726">
        <w:rPr>
          <w:rFonts w:ascii="Arial" w:hAnsi="Arial" w:cs="Arial"/>
          <w:sz w:val="24"/>
          <w:szCs w:val="24"/>
        </w:rPr>
        <w:t>business in their own right</w:t>
      </w:r>
      <w:proofErr w:type="gramEnd"/>
      <w:r w:rsidRPr="00350726">
        <w:rPr>
          <w:rFonts w:ascii="Arial" w:hAnsi="Arial" w:cs="Arial"/>
          <w:sz w:val="24"/>
          <w:szCs w:val="24"/>
        </w:rPr>
        <w:t>.</w:t>
      </w:r>
    </w:p>
    <w:p w14:paraId="63B3C966" w14:textId="77777777" w:rsidR="00235CFD" w:rsidRPr="00350726" w:rsidRDefault="48359B0B" w:rsidP="48359B0B">
      <w:pPr>
        <w:spacing w:after="120" w:line="276" w:lineRule="auto"/>
        <w:jc w:val="both"/>
        <w:rPr>
          <w:rFonts w:ascii="Arial" w:hAnsi="Arial" w:cs="Arial"/>
          <w:sz w:val="24"/>
          <w:szCs w:val="24"/>
        </w:rPr>
      </w:pPr>
      <w:r w:rsidRPr="00350726">
        <w:rPr>
          <w:rFonts w:ascii="Arial" w:hAnsi="Arial" w:cs="Arial"/>
          <w:sz w:val="24"/>
          <w:szCs w:val="24"/>
        </w:rPr>
        <w:t>The local government sector has been requesting that it be given additional powers to form independent corporations. These entities could be used to manage a local government’s existing business activity or pursue new commercial opportunities.</w:t>
      </w:r>
    </w:p>
    <w:p w14:paraId="03424B1D" w14:textId="7E26DBE1" w:rsidR="00235CFD" w:rsidRPr="00644213" w:rsidRDefault="48359B0B" w:rsidP="00644213">
      <w:pPr>
        <w:keepNext/>
        <w:keepLines/>
        <w:spacing w:after="120" w:line="276" w:lineRule="auto"/>
        <w:outlineLvl w:val="0"/>
        <w:rPr>
          <w:rFonts w:ascii="Arial" w:eastAsiaTheme="majorEastAsia" w:hAnsi="Arial" w:cs="Arial"/>
          <w:color w:val="C0311A"/>
          <w:sz w:val="32"/>
          <w:szCs w:val="32"/>
        </w:rPr>
      </w:pPr>
      <w:bookmarkStart w:id="2" w:name="_Toc506292063"/>
      <w:r w:rsidRPr="00644213">
        <w:rPr>
          <w:rFonts w:ascii="Arial" w:eastAsiaTheme="majorEastAsia" w:hAnsi="Arial" w:cs="Arial"/>
          <w:color w:val="C0311A"/>
          <w:sz w:val="32"/>
          <w:szCs w:val="32"/>
        </w:rPr>
        <w:t>What powers do W</w:t>
      </w:r>
      <w:r w:rsidR="00350726" w:rsidRPr="00644213">
        <w:rPr>
          <w:rFonts w:ascii="Arial" w:eastAsiaTheme="majorEastAsia" w:hAnsi="Arial" w:cs="Arial"/>
          <w:color w:val="C0311A"/>
          <w:sz w:val="32"/>
          <w:szCs w:val="32"/>
        </w:rPr>
        <w:t xml:space="preserve">estern </w:t>
      </w:r>
      <w:r w:rsidRPr="00644213">
        <w:rPr>
          <w:rFonts w:ascii="Arial" w:eastAsiaTheme="majorEastAsia" w:hAnsi="Arial" w:cs="Arial"/>
          <w:color w:val="C0311A"/>
          <w:sz w:val="32"/>
          <w:szCs w:val="32"/>
        </w:rPr>
        <w:t>A</w:t>
      </w:r>
      <w:r w:rsidR="00350726" w:rsidRPr="00644213">
        <w:rPr>
          <w:rFonts w:ascii="Arial" w:eastAsiaTheme="majorEastAsia" w:hAnsi="Arial" w:cs="Arial"/>
          <w:color w:val="C0311A"/>
          <w:sz w:val="32"/>
          <w:szCs w:val="32"/>
        </w:rPr>
        <w:t>ustralian</w:t>
      </w:r>
      <w:r w:rsidRPr="00644213">
        <w:rPr>
          <w:rFonts w:ascii="Arial" w:eastAsiaTheme="majorEastAsia" w:hAnsi="Arial" w:cs="Arial"/>
          <w:color w:val="C0311A"/>
          <w:sz w:val="32"/>
          <w:szCs w:val="32"/>
        </w:rPr>
        <w:t xml:space="preserve"> local governments currently have?</w:t>
      </w:r>
      <w:bookmarkEnd w:id="2"/>
    </w:p>
    <w:p w14:paraId="21485115" w14:textId="70970E3D" w:rsidR="00235CFD" w:rsidRPr="00350726" w:rsidRDefault="48359B0B" w:rsidP="00350726">
      <w:pPr>
        <w:spacing w:after="120" w:line="276" w:lineRule="auto"/>
        <w:jc w:val="both"/>
        <w:rPr>
          <w:rFonts w:ascii="Arial" w:hAnsi="Arial" w:cs="Arial"/>
          <w:sz w:val="24"/>
          <w:szCs w:val="24"/>
        </w:rPr>
      </w:pPr>
      <w:r w:rsidRPr="00350726">
        <w:rPr>
          <w:rFonts w:ascii="Arial" w:hAnsi="Arial" w:cs="Arial"/>
          <w:sz w:val="24"/>
          <w:szCs w:val="24"/>
        </w:rPr>
        <w:t xml:space="preserve">Currently under the </w:t>
      </w:r>
      <w:r w:rsidR="00350726" w:rsidRPr="00350726">
        <w:rPr>
          <w:rFonts w:ascii="Arial" w:hAnsi="Arial" w:cs="Arial"/>
          <w:i/>
          <w:sz w:val="24"/>
          <w:szCs w:val="24"/>
        </w:rPr>
        <w:t xml:space="preserve">Local Government Act 1995 </w:t>
      </w:r>
      <w:r w:rsidR="00350726" w:rsidRPr="00350726">
        <w:rPr>
          <w:rFonts w:ascii="Arial" w:hAnsi="Arial" w:cs="Arial"/>
          <w:sz w:val="24"/>
          <w:szCs w:val="24"/>
        </w:rPr>
        <w:t>(the Act)</w:t>
      </w:r>
      <w:r w:rsidRPr="00350726">
        <w:rPr>
          <w:rFonts w:ascii="Arial" w:hAnsi="Arial" w:cs="Arial"/>
          <w:sz w:val="24"/>
          <w:szCs w:val="24"/>
        </w:rPr>
        <w:t>, local governments have two options for forming independent corporate bodies:</w:t>
      </w:r>
    </w:p>
    <w:p w14:paraId="6E5B5949" w14:textId="3DD7D09C" w:rsidR="00235CFD" w:rsidRPr="00350726" w:rsidRDefault="48359B0B" w:rsidP="00350726">
      <w:pPr>
        <w:pStyle w:val="ListParagraph"/>
        <w:numPr>
          <w:ilvl w:val="0"/>
          <w:numId w:val="13"/>
        </w:numPr>
        <w:spacing w:after="120" w:line="276" w:lineRule="auto"/>
        <w:jc w:val="both"/>
        <w:rPr>
          <w:rFonts w:ascii="Arial" w:hAnsi="Arial" w:cs="Arial"/>
          <w:sz w:val="24"/>
          <w:szCs w:val="24"/>
        </w:rPr>
      </w:pPr>
      <w:r w:rsidRPr="00350726">
        <w:rPr>
          <w:rFonts w:ascii="Arial" w:hAnsi="Arial" w:cs="Arial"/>
          <w:sz w:val="24"/>
          <w:szCs w:val="24"/>
        </w:rPr>
        <w:t>Regional local governments</w:t>
      </w:r>
      <w:r w:rsidR="00350726" w:rsidRPr="00350726">
        <w:rPr>
          <w:rFonts w:ascii="Arial" w:hAnsi="Arial" w:cs="Arial"/>
          <w:sz w:val="24"/>
          <w:szCs w:val="24"/>
        </w:rPr>
        <w:t>; and</w:t>
      </w:r>
    </w:p>
    <w:p w14:paraId="417D4160" w14:textId="74FDF760" w:rsidR="00235CFD" w:rsidRPr="00350726" w:rsidRDefault="48359B0B" w:rsidP="00350726">
      <w:pPr>
        <w:pStyle w:val="ListParagraph"/>
        <w:numPr>
          <w:ilvl w:val="0"/>
          <w:numId w:val="13"/>
        </w:numPr>
        <w:spacing w:after="120" w:line="276" w:lineRule="auto"/>
        <w:jc w:val="both"/>
        <w:rPr>
          <w:rFonts w:ascii="Arial" w:hAnsi="Arial" w:cs="Arial"/>
          <w:sz w:val="24"/>
          <w:szCs w:val="24"/>
        </w:rPr>
      </w:pPr>
      <w:r w:rsidRPr="00350726">
        <w:rPr>
          <w:rFonts w:ascii="Arial" w:hAnsi="Arial" w:cs="Arial"/>
          <w:sz w:val="24"/>
          <w:szCs w:val="24"/>
        </w:rPr>
        <w:t>Regional subsidiaries</w:t>
      </w:r>
      <w:r w:rsidR="00350726" w:rsidRPr="00350726">
        <w:rPr>
          <w:rFonts w:ascii="Arial" w:hAnsi="Arial" w:cs="Arial"/>
          <w:sz w:val="24"/>
          <w:szCs w:val="24"/>
        </w:rPr>
        <w:t>.</w:t>
      </w:r>
    </w:p>
    <w:p w14:paraId="7D41E374" w14:textId="77777777" w:rsidR="00235CFD" w:rsidRPr="00350726" w:rsidRDefault="48359B0B" w:rsidP="00350726">
      <w:pPr>
        <w:spacing w:after="120" w:line="276" w:lineRule="auto"/>
        <w:jc w:val="both"/>
        <w:rPr>
          <w:rFonts w:ascii="Arial" w:hAnsi="Arial" w:cs="Arial"/>
          <w:sz w:val="24"/>
          <w:szCs w:val="24"/>
        </w:rPr>
      </w:pPr>
      <w:r w:rsidRPr="00350726">
        <w:rPr>
          <w:rFonts w:ascii="Arial" w:hAnsi="Arial" w:cs="Arial"/>
          <w:sz w:val="24"/>
          <w:szCs w:val="24"/>
        </w:rPr>
        <w:t xml:space="preserve">A local government cannot form or take part in forming, or acquire an interest giving it the control of, an incorporated company or any other body corporate other than a regional local government or a regional subsidiary. </w:t>
      </w:r>
    </w:p>
    <w:p w14:paraId="63BFC257" w14:textId="77777777" w:rsidR="00235CFD" w:rsidRPr="00644213" w:rsidRDefault="48359B0B" w:rsidP="48359B0B">
      <w:pPr>
        <w:spacing w:after="120" w:line="276" w:lineRule="auto"/>
        <w:jc w:val="both"/>
        <w:rPr>
          <w:rFonts w:ascii="Arial" w:eastAsiaTheme="majorEastAsia" w:hAnsi="Arial" w:cs="Arial"/>
          <w:color w:val="595959" w:themeColor="text1" w:themeTint="A6"/>
          <w:sz w:val="28"/>
          <w:szCs w:val="28"/>
        </w:rPr>
      </w:pPr>
      <w:r w:rsidRPr="00644213">
        <w:rPr>
          <w:rFonts w:ascii="Arial" w:eastAsiaTheme="majorEastAsia" w:hAnsi="Arial" w:cs="Arial"/>
          <w:color w:val="595959" w:themeColor="text1" w:themeTint="A6"/>
          <w:sz w:val="28"/>
          <w:szCs w:val="28"/>
        </w:rPr>
        <w:t>Regional Council</w:t>
      </w:r>
    </w:p>
    <w:p w14:paraId="4E8F5E58" w14:textId="77777777" w:rsidR="00235CFD" w:rsidRPr="00350726" w:rsidRDefault="48359B0B" w:rsidP="48359B0B">
      <w:pPr>
        <w:spacing w:after="120" w:line="276" w:lineRule="auto"/>
        <w:jc w:val="both"/>
        <w:rPr>
          <w:rFonts w:ascii="Arial" w:hAnsi="Arial" w:cs="Arial"/>
          <w:sz w:val="24"/>
        </w:rPr>
      </w:pPr>
      <w:r w:rsidRPr="00350726">
        <w:rPr>
          <w:rFonts w:ascii="Arial" w:hAnsi="Arial" w:cs="Arial"/>
          <w:sz w:val="24"/>
        </w:rPr>
        <w:t>A Regional Council is a corporate entity formed by two or more local governments.</w:t>
      </w:r>
    </w:p>
    <w:p w14:paraId="6D232E88" w14:textId="77777777" w:rsidR="00235CFD" w:rsidRPr="00350726" w:rsidRDefault="48359B0B" w:rsidP="48359B0B">
      <w:pPr>
        <w:spacing w:after="120" w:line="276" w:lineRule="auto"/>
        <w:jc w:val="both"/>
        <w:rPr>
          <w:rFonts w:ascii="Arial" w:hAnsi="Arial" w:cs="Arial"/>
          <w:sz w:val="24"/>
        </w:rPr>
      </w:pPr>
      <w:r w:rsidRPr="00350726">
        <w:rPr>
          <w:rFonts w:ascii="Arial" w:hAnsi="Arial" w:cs="Arial"/>
          <w:sz w:val="24"/>
        </w:rPr>
        <w:t>The corporation is a separate legal entity from the local government that conducts business activities in its own name, has similar powers to that of a local government and is subject to all the financial and auditing requirements which apply to a local government.</w:t>
      </w:r>
    </w:p>
    <w:p w14:paraId="79BD0C11" w14:textId="77777777" w:rsidR="00235CFD" w:rsidRPr="00350726" w:rsidRDefault="48359B0B" w:rsidP="48359B0B">
      <w:pPr>
        <w:spacing w:after="120" w:line="276" w:lineRule="auto"/>
        <w:jc w:val="both"/>
        <w:rPr>
          <w:rFonts w:ascii="Arial" w:hAnsi="Arial" w:cs="Arial"/>
          <w:sz w:val="24"/>
        </w:rPr>
      </w:pPr>
      <w:r w:rsidRPr="00350726">
        <w:rPr>
          <w:rFonts w:ascii="Arial" w:hAnsi="Arial" w:cs="Arial"/>
          <w:sz w:val="24"/>
        </w:rPr>
        <w:t xml:space="preserve">A Regional Council can be formed to carry out any purpose which the member local governments could perform individually. This includes commercial activity, investment of money or the provision of community services. </w:t>
      </w:r>
    </w:p>
    <w:p w14:paraId="6484E155" w14:textId="77777777" w:rsidR="00235CFD" w:rsidRPr="009D5E96" w:rsidRDefault="48359B0B" w:rsidP="48359B0B">
      <w:pPr>
        <w:spacing w:after="120" w:line="276" w:lineRule="auto"/>
        <w:jc w:val="both"/>
        <w:rPr>
          <w:rFonts w:ascii="Arial" w:hAnsi="Arial" w:cs="Arial"/>
        </w:rPr>
      </w:pPr>
      <w:r w:rsidRPr="00350726">
        <w:rPr>
          <w:rFonts w:ascii="Arial" w:hAnsi="Arial" w:cs="Arial"/>
          <w:sz w:val="24"/>
        </w:rPr>
        <w:t xml:space="preserve">Regional Councils are typically created as a way for local governments to streamline and standardise a </w:t>
      </w:r>
      <w:proofErr w:type="gramStart"/>
      <w:r w:rsidRPr="00350726">
        <w:rPr>
          <w:rFonts w:ascii="Arial" w:hAnsi="Arial" w:cs="Arial"/>
          <w:sz w:val="24"/>
        </w:rPr>
        <w:t>particular service</w:t>
      </w:r>
      <w:proofErr w:type="gramEnd"/>
      <w:r w:rsidRPr="00350726">
        <w:rPr>
          <w:rFonts w:ascii="Arial" w:hAnsi="Arial" w:cs="Arial"/>
          <w:sz w:val="24"/>
        </w:rPr>
        <w:t xml:space="preserve"> over multiple districts (for example waste management and recycling facilities). This allows the local governments to pool their resources and take advantage of economies of scale</w:t>
      </w:r>
      <w:r w:rsidRPr="48359B0B">
        <w:rPr>
          <w:rFonts w:ascii="Arial" w:hAnsi="Arial" w:cs="Arial"/>
        </w:rPr>
        <w:t>.</w:t>
      </w:r>
    </w:p>
    <w:p w14:paraId="288E6B8C" w14:textId="77777777" w:rsidR="00C528CC" w:rsidRDefault="00C528CC" w:rsidP="48359B0B">
      <w:pPr>
        <w:spacing w:after="120" w:line="276" w:lineRule="auto"/>
        <w:jc w:val="both"/>
        <w:rPr>
          <w:rFonts w:ascii="Arial" w:eastAsiaTheme="majorEastAsia" w:hAnsi="Arial" w:cs="Arial"/>
          <w:color w:val="595959" w:themeColor="text1" w:themeTint="A6"/>
          <w:sz w:val="28"/>
          <w:szCs w:val="28"/>
        </w:rPr>
      </w:pPr>
    </w:p>
    <w:p w14:paraId="03E3B263" w14:textId="77777777" w:rsidR="00C528CC" w:rsidRDefault="00C528CC" w:rsidP="48359B0B">
      <w:pPr>
        <w:spacing w:after="120" w:line="276" w:lineRule="auto"/>
        <w:jc w:val="both"/>
        <w:rPr>
          <w:rFonts w:ascii="Arial" w:eastAsiaTheme="majorEastAsia" w:hAnsi="Arial" w:cs="Arial"/>
          <w:color w:val="595959" w:themeColor="text1" w:themeTint="A6"/>
          <w:sz w:val="28"/>
          <w:szCs w:val="28"/>
        </w:rPr>
      </w:pPr>
    </w:p>
    <w:p w14:paraId="58C56F24" w14:textId="549C1BCF" w:rsidR="00235CFD" w:rsidRPr="00644213" w:rsidRDefault="48359B0B" w:rsidP="48359B0B">
      <w:pPr>
        <w:spacing w:after="120" w:line="276" w:lineRule="auto"/>
        <w:jc w:val="both"/>
        <w:rPr>
          <w:rFonts w:ascii="Arial" w:eastAsiaTheme="majorEastAsia" w:hAnsi="Arial" w:cs="Arial"/>
          <w:color w:val="595959" w:themeColor="text1" w:themeTint="A6"/>
          <w:sz w:val="28"/>
          <w:szCs w:val="28"/>
        </w:rPr>
      </w:pPr>
      <w:r w:rsidRPr="00644213">
        <w:rPr>
          <w:rFonts w:ascii="Arial" w:eastAsiaTheme="majorEastAsia" w:hAnsi="Arial" w:cs="Arial"/>
          <w:color w:val="595959" w:themeColor="text1" w:themeTint="A6"/>
          <w:sz w:val="28"/>
          <w:szCs w:val="28"/>
        </w:rPr>
        <w:lastRenderedPageBreak/>
        <w:t>Regional Subsidiary</w:t>
      </w:r>
    </w:p>
    <w:p w14:paraId="29459C2F" w14:textId="4C371F69" w:rsidR="00235CFD" w:rsidRPr="00350726" w:rsidRDefault="48359B0B" w:rsidP="48359B0B">
      <w:pPr>
        <w:spacing w:after="120" w:line="276" w:lineRule="auto"/>
        <w:jc w:val="both"/>
        <w:rPr>
          <w:rFonts w:ascii="Arial" w:hAnsi="Arial" w:cs="Arial"/>
          <w:sz w:val="24"/>
        </w:rPr>
      </w:pPr>
      <w:r w:rsidRPr="00350726">
        <w:rPr>
          <w:rFonts w:ascii="Arial" w:hAnsi="Arial" w:cs="Arial"/>
          <w:sz w:val="24"/>
        </w:rPr>
        <w:t>The ability to form Regional Subsidiaries was introduced in 2017 as a way of encouraging local governments to work more closely together with neighbouring councils to deliver services to the community or carry out functions such as payroll or records management. As a result, a Regional Subsidiary is smaller in scope and subject to less regu</w:t>
      </w:r>
      <w:r w:rsidR="00644213">
        <w:rPr>
          <w:rFonts w:ascii="Arial" w:hAnsi="Arial" w:cs="Arial"/>
          <w:sz w:val="24"/>
        </w:rPr>
        <w:t>lation than a Regional Council.</w:t>
      </w:r>
      <w:r w:rsidRPr="00350726">
        <w:rPr>
          <w:rFonts w:ascii="Arial" w:hAnsi="Arial" w:cs="Arial"/>
          <w:sz w:val="24"/>
        </w:rPr>
        <w:t xml:space="preserve"> The governing board can consist of members who are not elected members or local government staff thus allowing people with special expertise to be engaged to oversee the activities.</w:t>
      </w:r>
    </w:p>
    <w:p w14:paraId="6E858453" w14:textId="77777777" w:rsidR="00235CFD" w:rsidRPr="00350726" w:rsidRDefault="48359B0B" w:rsidP="48359B0B">
      <w:pPr>
        <w:spacing w:after="120" w:line="276" w:lineRule="auto"/>
        <w:jc w:val="both"/>
        <w:rPr>
          <w:rFonts w:ascii="Arial" w:hAnsi="Arial" w:cs="Arial"/>
          <w:sz w:val="24"/>
        </w:rPr>
      </w:pPr>
      <w:r w:rsidRPr="00350726">
        <w:rPr>
          <w:rFonts w:ascii="Arial" w:hAnsi="Arial" w:cs="Arial"/>
          <w:sz w:val="24"/>
        </w:rPr>
        <w:t xml:space="preserve">A Regional Subsidiary is only required to provide annual budgets and financial statements. All other financial reporting is determined by the subsidiary’s charter as set out by the local governments that created the subsidiary. </w:t>
      </w:r>
    </w:p>
    <w:p w14:paraId="13324869" w14:textId="77777777" w:rsidR="00235CFD" w:rsidRPr="00350726" w:rsidRDefault="48359B0B" w:rsidP="48359B0B">
      <w:pPr>
        <w:spacing w:after="120" w:line="276" w:lineRule="auto"/>
        <w:jc w:val="both"/>
        <w:rPr>
          <w:rFonts w:ascii="Arial" w:hAnsi="Arial" w:cs="Arial"/>
          <w:sz w:val="24"/>
        </w:rPr>
      </w:pPr>
      <w:r w:rsidRPr="00350726">
        <w:rPr>
          <w:rFonts w:ascii="Arial" w:hAnsi="Arial" w:cs="Arial"/>
          <w:sz w:val="24"/>
        </w:rPr>
        <w:t>The Act allows a regional subsidiary to be formed to carry out almost any activity which could be performed by a local government; however, the subsidiary cannot pursue commercial activity, carry out speculative investments or participate in non-essential land transactions.</w:t>
      </w:r>
    </w:p>
    <w:p w14:paraId="0B10991F" w14:textId="77777777" w:rsidR="00235CFD" w:rsidRPr="00644213" w:rsidRDefault="48359B0B" w:rsidP="48359B0B">
      <w:pPr>
        <w:spacing w:after="120" w:line="276" w:lineRule="auto"/>
        <w:jc w:val="both"/>
        <w:rPr>
          <w:rFonts w:ascii="Arial" w:eastAsiaTheme="majorEastAsia" w:hAnsi="Arial" w:cs="Arial"/>
          <w:color w:val="595959" w:themeColor="text1" w:themeTint="A6"/>
          <w:sz w:val="28"/>
          <w:szCs w:val="28"/>
        </w:rPr>
      </w:pPr>
      <w:r w:rsidRPr="00644213">
        <w:rPr>
          <w:rFonts w:ascii="Arial" w:eastAsiaTheme="majorEastAsia" w:hAnsi="Arial" w:cs="Arial"/>
          <w:color w:val="595959" w:themeColor="text1" w:themeTint="A6"/>
          <w:sz w:val="28"/>
          <w:szCs w:val="28"/>
        </w:rPr>
        <w:t>Major trading undertaking and major land transactions</w:t>
      </w:r>
    </w:p>
    <w:p w14:paraId="16CEFDDA" w14:textId="77777777" w:rsidR="00235CFD" w:rsidRPr="00644213" w:rsidRDefault="48359B0B" w:rsidP="48359B0B">
      <w:pPr>
        <w:spacing w:after="120" w:line="276" w:lineRule="auto"/>
        <w:jc w:val="both"/>
        <w:rPr>
          <w:rFonts w:ascii="Arial" w:hAnsi="Arial" w:cs="Arial"/>
          <w:sz w:val="24"/>
        </w:rPr>
      </w:pPr>
      <w:r w:rsidRPr="00644213">
        <w:rPr>
          <w:rFonts w:ascii="Arial" w:hAnsi="Arial" w:cs="Arial"/>
          <w:sz w:val="24"/>
        </w:rPr>
        <w:t>A local government is currently also able to undertake a major trading undertaking (commercial activity) that has an expenditure over:</w:t>
      </w:r>
    </w:p>
    <w:p w14:paraId="1DED4188" w14:textId="77777777" w:rsidR="00235CFD" w:rsidRPr="00644213" w:rsidRDefault="48359B0B" w:rsidP="48359B0B">
      <w:pPr>
        <w:pStyle w:val="ListParagraph"/>
        <w:numPr>
          <w:ilvl w:val="0"/>
          <w:numId w:val="20"/>
        </w:numPr>
        <w:spacing w:after="120" w:line="276" w:lineRule="auto"/>
        <w:jc w:val="both"/>
        <w:rPr>
          <w:rFonts w:ascii="Arial" w:hAnsi="Arial" w:cs="Arial"/>
          <w:sz w:val="24"/>
        </w:rPr>
      </w:pPr>
      <w:r w:rsidRPr="00644213">
        <w:rPr>
          <w:rFonts w:ascii="Arial" w:hAnsi="Arial" w:cs="Arial"/>
          <w:sz w:val="24"/>
        </w:rPr>
        <w:t>$5,000,000 for metropolitan local governments;</w:t>
      </w:r>
    </w:p>
    <w:p w14:paraId="31F7ADC3" w14:textId="77777777" w:rsidR="00235CFD" w:rsidRPr="00644213" w:rsidRDefault="48359B0B" w:rsidP="48359B0B">
      <w:pPr>
        <w:pStyle w:val="ListParagraph"/>
        <w:numPr>
          <w:ilvl w:val="0"/>
          <w:numId w:val="20"/>
        </w:numPr>
        <w:spacing w:after="120" w:line="276" w:lineRule="auto"/>
        <w:jc w:val="both"/>
        <w:rPr>
          <w:rFonts w:ascii="Arial" w:hAnsi="Arial" w:cs="Arial"/>
          <w:sz w:val="24"/>
        </w:rPr>
      </w:pPr>
      <w:r w:rsidRPr="00644213">
        <w:rPr>
          <w:rFonts w:ascii="Arial" w:hAnsi="Arial" w:cs="Arial"/>
          <w:sz w:val="24"/>
        </w:rPr>
        <w:t xml:space="preserve">$2,000,000 for a major regional centre; or </w:t>
      </w:r>
      <w:bookmarkStart w:id="3" w:name="_Hlk517173291"/>
      <w:bookmarkEnd w:id="3"/>
    </w:p>
    <w:p w14:paraId="05D1E3E4" w14:textId="77777777" w:rsidR="00235CFD" w:rsidRPr="00644213" w:rsidRDefault="48359B0B" w:rsidP="48359B0B">
      <w:pPr>
        <w:pStyle w:val="ListParagraph"/>
        <w:numPr>
          <w:ilvl w:val="0"/>
          <w:numId w:val="20"/>
        </w:numPr>
        <w:spacing w:after="120" w:line="276" w:lineRule="auto"/>
        <w:jc w:val="both"/>
        <w:rPr>
          <w:rFonts w:ascii="Arial" w:hAnsi="Arial" w:cs="Arial"/>
          <w:sz w:val="24"/>
        </w:rPr>
      </w:pPr>
      <w:r w:rsidRPr="00644213">
        <w:rPr>
          <w:rFonts w:ascii="Arial" w:hAnsi="Arial" w:cs="Arial"/>
          <w:sz w:val="24"/>
        </w:rPr>
        <w:t>Less than 10% of their operating expenditure for all other local governments.</w:t>
      </w:r>
    </w:p>
    <w:p w14:paraId="60205155" w14:textId="77777777" w:rsidR="00235CFD" w:rsidRPr="00644213" w:rsidRDefault="48359B0B" w:rsidP="48359B0B">
      <w:pPr>
        <w:spacing w:after="120" w:line="276" w:lineRule="auto"/>
        <w:jc w:val="both"/>
        <w:rPr>
          <w:rFonts w:ascii="Arial" w:hAnsi="Arial" w:cs="Arial"/>
          <w:sz w:val="24"/>
        </w:rPr>
      </w:pPr>
      <w:r w:rsidRPr="00644213">
        <w:rPr>
          <w:rFonts w:ascii="Arial" w:hAnsi="Arial" w:cs="Arial"/>
          <w:sz w:val="24"/>
        </w:rPr>
        <w:t>Local governments can also perform major land transactions that have an expenditure over:</w:t>
      </w:r>
    </w:p>
    <w:p w14:paraId="52DD09DC" w14:textId="77777777" w:rsidR="00235CFD" w:rsidRPr="00644213" w:rsidRDefault="48359B0B" w:rsidP="48359B0B">
      <w:pPr>
        <w:pStyle w:val="ListParagraph"/>
        <w:numPr>
          <w:ilvl w:val="0"/>
          <w:numId w:val="21"/>
        </w:numPr>
        <w:spacing w:after="120" w:line="276" w:lineRule="auto"/>
        <w:jc w:val="both"/>
        <w:rPr>
          <w:rFonts w:ascii="Arial" w:hAnsi="Arial" w:cs="Arial"/>
          <w:sz w:val="24"/>
        </w:rPr>
      </w:pPr>
      <w:r w:rsidRPr="00644213">
        <w:rPr>
          <w:rFonts w:ascii="Arial" w:hAnsi="Arial" w:cs="Arial"/>
          <w:sz w:val="24"/>
        </w:rPr>
        <w:t>$10,000,000 for metropolitan local governments;</w:t>
      </w:r>
    </w:p>
    <w:p w14:paraId="04D030EA" w14:textId="77777777" w:rsidR="00235CFD" w:rsidRPr="00644213" w:rsidRDefault="48359B0B" w:rsidP="48359B0B">
      <w:pPr>
        <w:pStyle w:val="ListParagraph"/>
        <w:numPr>
          <w:ilvl w:val="0"/>
          <w:numId w:val="21"/>
        </w:numPr>
        <w:spacing w:after="120" w:line="276" w:lineRule="auto"/>
        <w:jc w:val="both"/>
        <w:rPr>
          <w:rFonts w:ascii="Arial" w:hAnsi="Arial" w:cs="Arial"/>
          <w:sz w:val="24"/>
        </w:rPr>
      </w:pPr>
      <w:r w:rsidRPr="00644213">
        <w:rPr>
          <w:rFonts w:ascii="Arial" w:hAnsi="Arial" w:cs="Arial"/>
          <w:sz w:val="24"/>
        </w:rPr>
        <w:t>$2,000,000 for a major regional centre; or</w:t>
      </w:r>
    </w:p>
    <w:p w14:paraId="41F13B61" w14:textId="77777777" w:rsidR="00235CFD" w:rsidRPr="00644213" w:rsidRDefault="48359B0B" w:rsidP="48359B0B">
      <w:pPr>
        <w:pStyle w:val="ListParagraph"/>
        <w:numPr>
          <w:ilvl w:val="0"/>
          <w:numId w:val="21"/>
        </w:numPr>
        <w:spacing w:after="120" w:line="276" w:lineRule="auto"/>
        <w:jc w:val="both"/>
        <w:rPr>
          <w:rFonts w:ascii="Arial" w:hAnsi="Arial" w:cs="Arial"/>
          <w:sz w:val="24"/>
        </w:rPr>
      </w:pPr>
      <w:r w:rsidRPr="00644213">
        <w:rPr>
          <w:rFonts w:ascii="Arial" w:hAnsi="Arial" w:cs="Arial"/>
          <w:sz w:val="24"/>
        </w:rPr>
        <w:t>Less than 10% of their municipal fund for all other local governments.</w:t>
      </w:r>
    </w:p>
    <w:p w14:paraId="5E7FBED2" w14:textId="77777777" w:rsidR="00235CFD" w:rsidRPr="00644213" w:rsidRDefault="48359B0B" w:rsidP="48359B0B">
      <w:pPr>
        <w:spacing w:after="120" w:line="276" w:lineRule="auto"/>
        <w:jc w:val="both"/>
        <w:rPr>
          <w:rFonts w:ascii="Arial" w:hAnsi="Arial" w:cs="Arial"/>
          <w:sz w:val="24"/>
        </w:rPr>
      </w:pPr>
      <w:r w:rsidRPr="00644213">
        <w:rPr>
          <w:rFonts w:ascii="Arial" w:hAnsi="Arial" w:cs="Arial"/>
          <w:sz w:val="24"/>
        </w:rPr>
        <w:t>The local government must prepare a business plan which is provided for public comment for a period of at least six weeks.</w:t>
      </w:r>
    </w:p>
    <w:p w14:paraId="65C85C2C" w14:textId="7A9E6239" w:rsidR="00235CFD" w:rsidRPr="00644213" w:rsidRDefault="48359B0B" w:rsidP="48359B0B">
      <w:pPr>
        <w:spacing w:after="120" w:line="276" w:lineRule="auto"/>
        <w:jc w:val="both"/>
        <w:rPr>
          <w:rFonts w:ascii="Arial" w:hAnsi="Arial" w:cs="Arial"/>
          <w:sz w:val="24"/>
        </w:rPr>
      </w:pPr>
      <w:r w:rsidRPr="00644213">
        <w:rPr>
          <w:rFonts w:ascii="Arial" w:hAnsi="Arial" w:cs="Arial"/>
          <w:sz w:val="24"/>
        </w:rPr>
        <w:t>Trading undertakings or land transactions under these limits can be carried out during the normal course of business.</w:t>
      </w:r>
    </w:p>
    <w:p w14:paraId="4FC8AC46" w14:textId="3A4B5329" w:rsidR="00940885" w:rsidRPr="00644213" w:rsidRDefault="48359B0B" w:rsidP="48359B0B">
      <w:pPr>
        <w:spacing w:after="120" w:line="276" w:lineRule="auto"/>
        <w:jc w:val="both"/>
        <w:rPr>
          <w:rFonts w:ascii="Arial" w:hAnsi="Arial" w:cs="Arial"/>
          <w:color w:val="000000" w:themeColor="text1"/>
          <w:sz w:val="24"/>
        </w:rPr>
      </w:pPr>
      <w:r w:rsidRPr="00644213">
        <w:rPr>
          <w:rFonts w:ascii="Arial" w:hAnsi="Arial" w:cs="Arial"/>
          <w:sz w:val="24"/>
        </w:rPr>
        <w:t>Within a competitive marketplace, the requirements on lo</w:t>
      </w:r>
      <w:r w:rsidR="00D65E5C">
        <w:rPr>
          <w:rFonts w:ascii="Arial" w:hAnsi="Arial" w:cs="Arial"/>
          <w:sz w:val="24"/>
        </w:rPr>
        <w:t>cal governments can place them</w:t>
      </w:r>
      <w:r w:rsidRPr="00644213">
        <w:rPr>
          <w:rFonts w:ascii="Arial" w:hAnsi="Arial" w:cs="Arial"/>
          <w:sz w:val="24"/>
        </w:rPr>
        <w:t xml:space="preserve"> at a commercial disadvantage when c</w:t>
      </w:r>
      <w:r w:rsidR="00644213">
        <w:rPr>
          <w:rFonts w:ascii="Arial" w:hAnsi="Arial" w:cs="Arial"/>
          <w:sz w:val="24"/>
        </w:rPr>
        <w:t xml:space="preserve">ompared to the private sector. </w:t>
      </w:r>
      <w:r w:rsidRPr="00644213">
        <w:rPr>
          <w:rFonts w:ascii="Arial" w:hAnsi="Arial" w:cs="Arial"/>
          <w:sz w:val="24"/>
        </w:rPr>
        <w:t>This can especially be the case when local governments attempt to progress urban renewal activities. The lost opportunities represent a cost which may be ultimately borne by the ratepayers.</w:t>
      </w:r>
    </w:p>
    <w:p w14:paraId="5284F4AD" w14:textId="77777777" w:rsidR="00235CFD" w:rsidRPr="00644213" w:rsidRDefault="48359B0B" w:rsidP="00D65E5C">
      <w:pPr>
        <w:pStyle w:val="Heading2"/>
        <w:spacing w:before="0" w:after="120" w:line="276" w:lineRule="auto"/>
        <w:rPr>
          <w:rFonts w:ascii="Arial" w:hAnsi="Arial" w:cs="Arial"/>
          <w:color w:val="C0311A"/>
          <w:sz w:val="32"/>
          <w:szCs w:val="32"/>
        </w:rPr>
      </w:pPr>
      <w:bookmarkStart w:id="4" w:name="_Toc506292064"/>
      <w:r w:rsidRPr="00644213">
        <w:rPr>
          <w:rFonts w:ascii="Arial" w:hAnsi="Arial" w:cs="Arial"/>
          <w:color w:val="C0311A"/>
          <w:sz w:val="32"/>
          <w:szCs w:val="32"/>
        </w:rPr>
        <w:lastRenderedPageBreak/>
        <w:t>What can local governments do in other jurisdictions?</w:t>
      </w:r>
      <w:bookmarkEnd w:id="4"/>
    </w:p>
    <w:p w14:paraId="51AB71E1" w14:textId="77777777" w:rsidR="00235CFD" w:rsidRPr="00644213" w:rsidRDefault="48359B0B" w:rsidP="00D65E5C">
      <w:pPr>
        <w:keepNext/>
        <w:keepLines/>
        <w:spacing w:after="120" w:line="276" w:lineRule="auto"/>
        <w:jc w:val="both"/>
        <w:rPr>
          <w:rFonts w:ascii="Arial" w:hAnsi="Arial" w:cs="Arial"/>
          <w:sz w:val="24"/>
          <w:szCs w:val="24"/>
        </w:rPr>
      </w:pPr>
      <w:r w:rsidRPr="00644213">
        <w:rPr>
          <w:rFonts w:ascii="Arial" w:hAnsi="Arial" w:cs="Arial"/>
          <w:sz w:val="24"/>
          <w:szCs w:val="24"/>
        </w:rPr>
        <w:t>Each jurisdiction has developed a different framework as briefly described below.</w:t>
      </w:r>
    </w:p>
    <w:p w14:paraId="393CA732" w14:textId="77777777" w:rsidR="00235CFD" w:rsidRPr="00644213" w:rsidRDefault="48359B0B" w:rsidP="00D65E5C">
      <w:pPr>
        <w:keepNext/>
        <w:keepLines/>
        <w:spacing w:after="120" w:line="276" w:lineRule="auto"/>
        <w:jc w:val="both"/>
        <w:rPr>
          <w:rFonts w:ascii="Arial" w:hAnsi="Arial" w:cs="Arial"/>
          <w:sz w:val="24"/>
          <w:szCs w:val="24"/>
        </w:rPr>
      </w:pPr>
      <w:r w:rsidRPr="00644213">
        <w:rPr>
          <w:rFonts w:ascii="Arial" w:hAnsi="Arial" w:cs="Arial"/>
          <w:sz w:val="24"/>
          <w:szCs w:val="24"/>
        </w:rPr>
        <w:t xml:space="preserve">In Queensland and </w:t>
      </w:r>
      <w:proofErr w:type="gramStart"/>
      <w:r w:rsidRPr="00644213">
        <w:rPr>
          <w:rFonts w:ascii="Arial" w:hAnsi="Arial" w:cs="Arial"/>
          <w:sz w:val="24"/>
          <w:szCs w:val="24"/>
        </w:rPr>
        <w:t>Victoria</w:t>
      </w:r>
      <w:proofErr w:type="gramEnd"/>
      <w:r w:rsidRPr="00644213">
        <w:rPr>
          <w:rFonts w:ascii="Arial" w:hAnsi="Arial" w:cs="Arial"/>
          <w:sz w:val="24"/>
          <w:szCs w:val="24"/>
        </w:rPr>
        <w:t xml:space="preserve"> the business or trading activities undertaken by local governments are called beneficial en</w:t>
      </w:r>
      <w:r w:rsidR="00644213">
        <w:rPr>
          <w:rFonts w:ascii="Arial" w:hAnsi="Arial" w:cs="Arial"/>
          <w:sz w:val="24"/>
          <w:szCs w:val="24"/>
        </w:rPr>
        <w:t xml:space="preserve">terprises. </w:t>
      </w:r>
      <w:r w:rsidRPr="00644213">
        <w:rPr>
          <w:rFonts w:ascii="Arial" w:hAnsi="Arial" w:cs="Arial"/>
          <w:sz w:val="24"/>
          <w:szCs w:val="24"/>
        </w:rPr>
        <w:t xml:space="preserve">These organisations provide local governments with a more efficient mechanism to </w:t>
      </w:r>
      <w:r w:rsidR="00644213">
        <w:rPr>
          <w:rFonts w:ascii="Arial" w:hAnsi="Arial" w:cs="Arial"/>
          <w:sz w:val="24"/>
          <w:szCs w:val="24"/>
        </w:rPr>
        <w:t xml:space="preserve">better serve their communities. </w:t>
      </w:r>
      <w:r w:rsidRPr="00644213">
        <w:rPr>
          <w:rFonts w:ascii="Arial" w:hAnsi="Arial" w:cs="Arial"/>
          <w:sz w:val="24"/>
          <w:szCs w:val="24"/>
        </w:rPr>
        <w:t>These bodies provide various services to the community where the private sector or State Government are unable or unwilling to do so.</w:t>
      </w:r>
    </w:p>
    <w:tbl>
      <w:tblPr>
        <w:tblStyle w:val="TableGrid"/>
        <w:tblW w:w="8931" w:type="dxa"/>
        <w:tblLayout w:type="fixed"/>
        <w:tblLook w:val="04A0" w:firstRow="1" w:lastRow="0" w:firstColumn="1" w:lastColumn="0" w:noHBand="0" w:noVBand="1"/>
      </w:tblPr>
      <w:tblGrid>
        <w:gridCol w:w="2122"/>
        <w:gridCol w:w="6809"/>
      </w:tblGrid>
      <w:tr w:rsidR="006E308A" w:rsidRPr="006E308A" w14:paraId="6F83FBCE" w14:textId="77777777" w:rsidTr="48359B0B">
        <w:trPr>
          <w:cnfStyle w:val="100000000000" w:firstRow="1" w:lastRow="0" w:firstColumn="0" w:lastColumn="0" w:oddVBand="0" w:evenVBand="0" w:oddHBand="0" w:evenHBand="0" w:firstRowFirstColumn="0" w:firstRowLastColumn="0" w:lastRowFirstColumn="0" w:lastRowLastColumn="0"/>
          <w:trHeight w:val="796"/>
        </w:trPr>
        <w:tc>
          <w:tcPr>
            <w:tcW w:w="2122" w:type="dxa"/>
            <w:shd w:val="clear" w:color="auto" w:fill="C0311A"/>
          </w:tcPr>
          <w:p w14:paraId="66E6F690" w14:textId="77777777" w:rsidR="00235CFD" w:rsidRPr="00A47C02" w:rsidRDefault="48359B0B" w:rsidP="48359B0B">
            <w:pPr>
              <w:spacing w:before="0" w:after="120" w:line="276" w:lineRule="auto"/>
              <w:rPr>
                <w:rFonts w:cs="Arial"/>
                <w:color w:val="FFFFFF" w:themeColor="background1"/>
              </w:rPr>
            </w:pPr>
            <w:bookmarkStart w:id="5" w:name="_Hlk521314236"/>
            <w:bookmarkStart w:id="6" w:name="_Hlk520464094"/>
            <w:r w:rsidRPr="00A47C02">
              <w:rPr>
                <w:rFonts w:cs="Arial"/>
                <w:color w:val="FFFFFF" w:themeColor="background1"/>
              </w:rPr>
              <w:t>Jurisdiction</w:t>
            </w:r>
          </w:p>
        </w:tc>
        <w:tc>
          <w:tcPr>
            <w:tcW w:w="6809" w:type="dxa"/>
            <w:shd w:val="clear" w:color="auto" w:fill="C0311A"/>
          </w:tcPr>
          <w:p w14:paraId="458DE481" w14:textId="77777777" w:rsidR="00235CFD" w:rsidRPr="00A47C02" w:rsidRDefault="48359B0B" w:rsidP="48359B0B">
            <w:pPr>
              <w:spacing w:before="0" w:after="120" w:line="276" w:lineRule="auto"/>
              <w:rPr>
                <w:rFonts w:cs="Arial"/>
                <w:color w:val="FFFFFF" w:themeColor="background1"/>
              </w:rPr>
            </w:pPr>
            <w:r w:rsidRPr="00A47C02">
              <w:rPr>
                <w:rFonts w:cs="Arial"/>
                <w:color w:val="FFFFFF" w:themeColor="background1"/>
              </w:rPr>
              <w:t>Ability for a local government to form a Beneficial Enterprise</w:t>
            </w:r>
          </w:p>
        </w:tc>
      </w:tr>
      <w:tr w:rsidR="00235CFD" w:rsidRPr="009D5E96" w14:paraId="20D2D634" w14:textId="77777777" w:rsidTr="48359B0B">
        <w:trPr>
          <w:trHeight w:val="481"/>
        </w:trPr>
        <w:tc>
          <w:tcPr>
            <w:tcW w:w="2122" w:type="dxa"/>
          </w:tcPr>
          <w:p w14:paraId="356010F6" w14:textId="77777777" w:rsidR="00235CFD" w:rsidRPr="00A47C02" w:rsidRDefault="48359B0B" w:rsidP="48359B0B">
            <w:pPr>
              <w:spacing w:before="0" w:after="120" w:line="276" w:lineRule="auto"/>
              <w:rPr>
                <w:rFonts w:eastAsia="Arial" w:cs="Arial"/>
              </w:rPr>
            </w:pPr>
            <w:r w:rsidRPr="00A47C02">
              <w:rPr>
                <w:rFonts w:cs="Arial"/>
              </w:rPr>
              <w:t>Western Australia</w:t>
            </w:r>
          </w:p>
        </w:tc>
        <w:tc>
          <w:tcPr>
            <w:tcW w:w="6809" w:type="dxa"/>
          </w:tcPr>
          <w:p w14:paraId="41778269" w14:textId="3C9B2123" w:rsidR="00235CFD" w:rsidRPr="00A47C02" w:rsidRDefault="48359B0B" w:rsidP="48359B0B">
            <w:pPr>
              <w:pStyle w:val="ListParagraph"/>
              <w:numPr>
                <w:ilvl w:val="0"/>
                <w:numId w:val="2"/>
              </w:numPr>
              <w:spacing w:before="0" w:after="120" w:line="276" w:lineRule="auto"/>
              <w:ind w:left="382"/>
              <w:rPr>
                <w:rFonts w:eastAsia="Arial" w:cs="Arial"/>
              </w:rPr>
            </w:pPr>
            <w:r w:rsidRPr="00A47C02">
              <w:rPr>
                <w:rFonts w:cs="Arial"/>
              </w:rPr>
              <w:t>Cannot form a beneficial enterprise</w:t>
            </w:r>
            <w:r w:rsidR="00644213" w:rsidRPr="00A47C02">
              <w:rPr>
                <w:rFonts w:cs="Arial"/>
              </w:rPr>
              <w:t>.</w:t>
            </w:r>
          </w:p>
        </w:tc>
      </w:tr>
      <w:tr w:rsidR="00235CFD" w:rsidRPr="009D5E96" w14:paraId="7B3A2C59" w14:textId="77777777" w:rsidTr="48359B0B">
        <w:trPr>
          <w:trHeight w:val="481"/>
        </w:trPr>
        <w:tc>
          <w:tcPr>
            <w:tcW w:w="2122" w:type="dxa"/>
          </w:tcPr>
          <w:p w14:paraId="53705D7C" w14:textId="77777777" w:rsidR="00235CFD" w:rsidRPr="00A47C02" w:rsidRDefault="48359B0B" w:rsidP="48359B0B">
            <w:pPr>
              <w:spacing w:before="0" w:after="120" w:line="276" w:lineRule="auto"/>
              <w:rPr>
                <w:rFonts w:eastAsia="Arial" w:cs="Arial"/>
              </w:rPr>
            </w:pPr>
            <w:r w:rsidRPr="00A47C02">
              <w:rPr>
                <w:rFonts w:cs="Arial"/>
              </w:rPr>
              <w:t>New South Wales</w:t>
            </w:r>
          </w:p>
        </w:tc>
        <w:tc>
          <w:tcPr>
            <w:tcW w:w="6809" w:type="dxa"/>
          </w:tcPr>
          <w:p w14:paraId="18BF3AA9"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 xml:space="preserve">A local government can form with the Minister’s consent. </w:t>
            </w:r>
          </w:p>
        </w:tc>
      </w:tr>
      <w:bookmarkEnd w:id="5"/>
      <w:tr w:rsidR="00235CFD" w:rsidRPr="009D5E96" w14:paraId="407CBAB2" w14:textId="77777777" w:rsidTr="48359B0B">
        <w:trPr>
          <w:trHeight w:val="481"/>
        </w:trPr>
        <w:tc>
          <w:tcPr>
            <w:tcW w:w="2122" w:type="dxa"/>
          </w:tcPr>
          <w:p w14:paraId="01C45310" w14:textId="77777777" w:rsidR="00235CFD" w:rsidRPr="00A47C02" w:rsidRDefault="00235CFD" w:rsidP="48359B0B">
            <w:pPr>
              <w:spacing w:before="0" w:after="120" w:line="276" w:lineRule="auto"/>
              <w:rPr>
                <w:rFonts w:eastAsia="Arial" w:cs="Arial"/>
              </w:rPr>
            </w:pPr>
            <w:r w:rsidRPr="00A47C02">
              <w:rPr>
                <w:rFonts w:cs="Arial"/>
              </w:rPr>
              <w:t>Victoria</w:t>
            </w:r>
            <w:r w:rsidRPr="00A47C02">
              <w:rPr>
                <w:rStyle w:val="FootnoteReference"/>
                <w:rFonts w:eastAsia="Arial" w:cs="Arial"/>
              </w:rPr>
              <w:footnoteReference w:id="2"/>
            </w:r>
          </w:p>
        </w:tc>
        <w:tc>
          <w:tcPr>
            <w:tcW w:w="6809" w:type="dxa"/>
          </w:tcPr>
          <w:p w14:paraId="63B342AF"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A local government can:</w:t>
            </w:r>
          </w:p>
          <w:p w14:paraId="6F12246B" w14:textId="77777777" w:rsidR="00235CFD" w:rsidRPr="00A47C02" w:rsidRDefault="48359B0B" w:rsidP="48359B0B">
            <w:pPr>
              <w:pStyle w:val="ListParagraph"/>
              <w:numPr>
                <w:ilvl w:val="0"/>
                <w:numId w:val="3"/>
              </w:numPr>
              <w:spacing w:before="0" w:after="120" w:line="276" w:lineRule="auto"/>
              <w:rPr>
                <w:rFonts w:cs="Arial"/>
              </w:rPr>
            </w:pPr>
            <w:r w:rsidRPr="00A47C02">
              <w:rPr>
                <w:rFonts w:cs="Arial"/>
              </w:rPr>
              <w:t>be a member of a corporation;</w:t>
            </w:r>
          </w:p>
          <w:p w14:paraId="260BFC7B" w14:textId="77777777" w:rsidR="00235CFD" w:rsidRPr="00A47C02" w:rsidRDefault="48359B0B" w:rsidP="48359B0B">
            <w:pPr>
              <w:pStyle w:val="ListParagraph"/>
              <w:numPr>
                <w:ilvl w:val="0"/>
                <w:numId w:val="3"/>
              </w:numPr>
              <w:spacing w:before="0" w:after="120" w:line="276" w:lineRule="auto"/>
              <w:rPr>
                <w:rFonts w:cs="Arial"/>
              </w:rPr>
            </w:pPr>
            <w:r w:rsidRPr="00A47C02">
              <w:rPr>
                <w:rFonts w:cs="Arial"/>
              </w:rPr>
              <w:t>participate in the formation of a corporation;</w:t>
            </w:r>
          </w:p>
          <w:p w14:paraId="34E1CBD5" w14:textId="77777777" w:rsidR="00235CFD" w:rsidRPr="00A47C02" w:rsidRDefault="48359B0B" w:rsidP="48359B0B">
            <w:pPr>
              <w:pStyle w:val="ListParagraph"/>
              <w:numPr>
                <w:ilvl w:val="0"/>
                <w:numId w:val="3"/>
              </w:numPr>
              <w:spacing w:before="0" w:after="120" w:line="276" w:lineRule="auto"/>
              <w:rPr>
                <w:rFonts w:cs="Arial"/>
              </w:rPr>
            </w:pPr>
            <w:r w:rsidRPr="00A47C02">
              <w:rPr>
                <w:rFonts w:cs="Arial"/>
              </w:rPr>
              <w:t>acquire shares in a corporation; and</w:t>
            </w:r>
          </w:p>
          <w:p w14:paraId="5555795A" w14:textId="77777777" w:rsidR="00235CFD" w:rsidRPr="00A47C02" w:rsidRDefault="48359B0B" w:rsidP="48359B0B">
            <w:pPr>
              <w:pStyle w:val="ListParagraph"/>
              <w:numPr>
                <w:ilvl w:val="0"/>
                <w:numId w:val="3"/>
              </w:numPr>
              <w:spacing w:before="0" w:after="120" w:line="276" w:lineRule="auto"/>
              <w:rPr>
                <w:rFonts w:cs="Arial"/>
              </w:rPr>
            </w:pPr>
            <w:r w:rsidRPr="00A47C02">
              <w:rPr>
                <w:rFonts w:cs="Arial"/>
              </w:rPr>
              <w:t>appoint a person to be a Director(s) on the Board of a corporation (if applicable).</w:t>
            </w:r>
          </w:p>
          <w:p w14:paraId="4B1D5CC4"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The Council must report on the operations and performance of each enterprise in its annual report.</w:t>
            </w:r>
          </w:p>
        </w:tc>
      </w:tr>
      <w:bookmarkEnd w:id="6"/>
      <w:tr w:rsidR="00235CFD" w:rsidRPr="009D5E96" w14:paraId="5E6243EA" w14:textId="77777777" w:rsidTr="48359B0B">
        <w:trPr>
          <w:trHeight w:val="481"/>
        </w:trPr>
        <w:tc>
          <w:tcPr>
            <w:tcW w:w="2122" w:type="dxa"/>
          </w:tcPr>
          <w:p w14:paraId="0C13234C" w14:textId="77777777" w:rsidR="00235CFD" w:rsidRPr="00A47C02" w:rsidRDefault="48359B0B" w:rsidP="48359B0B">
            <w:pPr>
              <w:spacing w:before="0" w:after="120" w:line="276" w:lineRule="auto"/>
              <w:rPr>
                <w:rFonts w:eastAsia="Arial" w:cs="Arial"/>
              </w:rPr>
            </w:pPr>
            <w:r w:rsidRPr="00A47C02">
              <w:rPr>
                <w:rFonts w:cs="Arial"/>
              </w:rPr>
              <w:t>Queensland</w:t>
            </w:r>
          </w:p>
        </w:tc>
        <w:tc>
          <w:tcPr>
            <w:tcW w:w="6809" w:type="dxa"/>
          </w:tcPr>
          <w:p w14:paraId="553DCBE9"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 xml:space="preserve">A local government can </w:t>
            </w:r>
            <w:proofErr w:type="gramStart"/>
            <w:r w:rsidRPr="00A47C02">
              <w:rPr>
                <w:rFonts w:cs="Arial"/>
              </w:rPr>
              <w:t>enter into</w:t>
            </w:r>
            <w:proofErr w:type="gramEnd"/>
            <w:r w:rsidRPr="00A47C02">
              <w:rPr>
                <w:rFonts w:cs="Arial"/>
              </w:rPr>
              <w:t xml:space="preserve"> a:</w:t>
            </w:r>
          </w:p>
          <w:p w14:paraId="3EC4976A"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Partnership (although not an unlimited partnership);</w:t>
            </w:r>
          </w:p>
          <w:p w14:paraId="16F19B52"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Corporation limited by shares (not listed on the stock exchange);</w:t>
            </w:r>
          </w:p>
          <w:p w14:paraId="4DE05C26"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Corporation limited by guarantee (not listed on the stock exchange); and</w:t>
            </w:r>
          </w:p>
          <w:p w14:paraId="333C02F6"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Another association of persons that is not a corporation.</w:t>
            </w:r>
          </w:p>
          <w:p w14:paraId="204A5316"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Annual Report must list all beneficial enterprises operated by the local government.</w:t>
            </w:r>
          </w:p>
        </w:tc>
      </w:tr>
      <w:tr w:rsidR="00235CFD" w:rsidRPr="009D5E96" w14:paraId="3875E713" w14:textId="77777777" w:rsidTr="48359B0B">
        <w:trPr>
          <w:trHeight w:val="481"/>
        </w:trPr>
        <w:tc>
          <w:tcPr>
            <w:tcW w:w="2122" w:type="dxa"/>
          </w:tcPr>
          <w:p w14:paraId="7AD44870" w14:textId="77777777" w:rsidR="00235CFD" w:rsidRPr="00A47C02" w:rsidRDefault="48359B0B" w:rsidP="48359B0B">
            <w:pPr>
              <w:spacing w:before="0" w:after="120" w:line="276" w:lineRule="auto"/>
              <w:rPr>
                <w:rFonts w:eastAsia="Arial" w:cs="Arial"/>
              </w:rPr>
            </w:pPr>
            <w:r w:rsidRPr="00A47C02">
              <w:rPr>
                <w:rFonts w:cs="Arial"/>
              </w:rPr>
              <w:t>South Australia</w:t>
            </w:r>
          </w:p>
        </w:tc>
        <w:tc>
          <w:tcPr>
            <w:tcW w:w="6809" w:type="dxa"/>
          </w:tcPr>
          <w:p w14:paraId="3CEBE820"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A local government can:</w:t>
            </w:r>
          </w:p>
          <w:p w14:paraId="4134DBC8"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Establish a business; or</w:t>
            </w:r>
          </w:p>
          <w:p w14:paraId="23E05E6D"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Participate in a joint venture, trust, or partnership.</w:t>
            </w:r>
          </w:p>
          <w:p w14:paraId="71933C1C" w14:textId="77777777" w:rsidR="00235CFD" w:rsidRPr="00A47C02" w:rsidRDefault="48359B0B" w:rsidP="48359B0B">
            <w:pPr>
              <w:numPr>
                <w:ilvl w:val="0"/>
                <w:numId w:val="2"/>
              </w:numPr>
              <w:spacing w:before="0" w:after="120" w:line="276" w:lineRule="auto"/>
              <w:ind w:left="382"/>
              <w:rPr>
                <w:rFonts w:cs="Arial"/>
              </w:rPr>
            </w:pPr>
            <w:r w:rsidRPr="00A47C02">
              <w:rPr>
                <w:rFonts w:cs="Arial"/>
              </w:rPr>
              <w:lastRenderedPageBreak/>
              <w:t>A local government should ‘take reasonable steps’ to separate its regulatory activities from other activities.</w:t>
            </w:r>
          </w:p>
        </w:tc>
      </w:tr>
      <w:tr w:rsidR="00235CFD" w:rsidRPr="009D5E96" w14:paraId="0A315F76" w14:textId="77777777" w:rsidTr="48359B0B">
        <w:trPr>
          <w:trHeight w:val="481"/>
        </w:trPr>
        <w:tc>
          <w:tcPr>
            <w:tcW w:w="2122" w:type="dxa"/>
          </w:tcPr>
          <w:p w14:paraId="1E2E82C5" w14:textId="77777777" w:rsidR="00235CFD" w:rsidRPr="00A47C02" w:rsidRDefault="48359B0B" w:rsidP="48359B0B">
            <w:pPr>
              <w:spacing w:before="0" w:after="120" w:line="276" w:lineRule="auto"/>
              <w:rPr>
                <w:rFonts w:eastAsia="Arial" w:cs="Arial"/>
              </w:rPr>
            </w:pPr>
            <w:r w:rsidRPr="00A47C02">
              <w:rPr>
                <w:rFonts w:cs="Arial"/>
              </w:rPr>
              <w:lastRenderedPageBreak/>
              <w:t>Tasmania</w:t>
            </w:r>
          </w:p>
        </w:tc>
        <w:tc>
          <w:tcPr>
            <w:tcW w:w="6809" w:type="dxa"/>
          </w:tcPr>
          <w:p w14:paraId="795B8240"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A local government can form or participate in a:</w:t>
            </w:r>
          </w:p>
          <w:p w14:paraId="46A0C46A"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Corporation;</w:t>
            </w:r>
          </w:p>
          <w:p w14:paraId="209BF764"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Partnership, trust or other body;</w:t>
            </w:r>
          </w:p>
          <w:p w14:paraId="1A6E8BDA"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Company limited by guarantee; or</w:t>
            </w:r>
          </w:p>
          <w:p w14:paraId="1DF7D97A"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 xml:space="preserve">Project or activity </w:t>
            </w:r>
            <w:proofErr w:type="gramStart"/>
            <w:r w:rsidRPr="00A47C02">
              <w:rPr>
                <w:rFonts w:cs="Arial"/>
              </w:rPr>
              <w:t>for the purpose of</w:t>
            </w:r>
            <w:proofErr w:type="gramEnd"/>
            <w:r w:rsidRPr="00A47C02">
              <w:rPr>
                <w:rFonts w:cs="Arial"/>
              </w:rPr>
              <w:t xml:space="preserve"> raising revenue.</w:t>
            </w:r>
          </w:p>
          <w:p w14:paraId="485EE866" w14:textId="77777777"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 xml:space="preserve">The consent of the Minister is required if: </w:t>
            </w:r>
          </w:p>
          <w:p w14:paraId="7C066B0A"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the proposal exceeds $250,000 or 5% of the local government’s annual rate revenue; or</w:t>
            </w:r>
          </w:p>
          <w:p w14:paraId="1D45649B" w14:textId="77777777" w:rsidR="00235CFD" w:rsidRPr="00A47C02" w:rsidRDefault="48359B0B" w:rsidP="48359B0B">
            <w:pPr>
              <w:pStyle w:val="ListParagraph"/>
              <w:numPr>
                <w:ilvl w:val="0"/>
                <w:numId w:val="4"/>
              </w:numPr>
              <w:spacing w:before="0" w:after="120" w:line="276" w:lineRule="auto"/>
              <w:rPr>
                <w:rFonts w:cs="Arial"/>
              </w:rPr>
            </w:pPr>
            <w:r w:rsidRPr="00A47C02">
              <w:rPr>
                <w:rFonts w:cs="Arial"/>
              </w:rPr>
              <w:t>the proposal requires the council to borrow money when it already has total borrowings exceeding 30% of its general revenue (does not include grants).</w:t>
            </w:r>
          </w:p>
        </w:tc>
      </w:tr>
      <w:tr w:rsidR="00235CFD" w:rsidRPr="009D5E96" w14:paraId="433F9CD2" w14:textId="77777777" w:rsidTr="48359B0B">
        <w:trPr>
          <w:trHeight w:val="481"/>
        </w:trPr>
        <w:tc>
          <w:tcPr>
            <w:tcW w:w="2122" w:type="dxa"/>
          </w:tcPr>
          <w:p w14:paraId="2327DA7B" w14:textId="77777777" w:rsidR="00235CFD" w:rsidRPr="00A47C02" w:rsidRDefault="48359B0B" w:rsidP="48359B0B">
            <w:pPr>
              <w:spacing w:before="0" w:after="120" w:line="276" w:lineRule="auto"/>
              <w:rPr>
                <w:rFonts w:eastAsia="Arial" w:cs="Arial"/>
              </w:rPr>
            </w:pPr>
            <w:r w:rsidRPr="00A47C02">
              <w:rPr>
                <w:rFonts w:cs="Arial"/>
              </w:rPr>
              <w:t>Northern Territory</w:t>
            </w:r>
          </w:p>
        </w:tc>
        <w:tc>
          <w:tcPr>
            <w:tcW w:w="6809" w:type="dxa"/>
          </w:tcPr>
          <w:p w14:paraId="4AF56564" w14:textId="7A91F26D" w:rsidR="00235CFD" w:rsidRPr="00A47C02" w:rsidRDefault="48359B0B" w:rsidP="48359B0B">
            <w:pPr>
              <w:pStyle w:val="ListParagraph"/>
              <w:numPr>
                <w:ilvl w:val="0"/>
                <w:numId w:val="2"/>
              </w:numPr>
              <w:spacing w:before="0" w:after="120" w:line="276" w:lineRule="auto"/>
              <w:ind w:left="382"/>
              <w:rPr>
                <w:rFonts w:cs="Arial"/>
              </w:rPr>
            </w:pPr>
            <w:r w:rsidRPr="00A47C02">
              <w:rPr>
                <w:rFonts w:cs="Arial"/>
              </w:rPr>
              <w:t>Nil</w:t>
            </w:r>
            <w:r w:rsidR="00644213" w:rsidRPr="00A47C02">
              <w:rPr>
                <w:rFonts w:cs="Arial"/>
              </w:rPr>
              <w:t>.</w:t>
            </w:r>
          </w:p>
        </w:tc>
      </w:tr>
    </w:tbl>
    <w:p w14:paraId="7A7008EA" w14:textId="77777777" w:rsidR="00235CFD" w:rsidRPr="009D5E96" w:rsidRDefault="00235CFD" w:rsidP="00235CFD">
      <w:pPr>
        <w:spacing w:after="120" w:line="276" w:lineRule="auto"/>
        <w:rPr>
          <w:rFonts w:ascii="Arial" w:hAnsi="Arial" w:cs="Arial"/>
        </w:rPr>
      </w:pPr>
    </w:p>
    <w:p w14:paraId="3712F70A" w14:textId="77777777" w:rsidR="00235CFD" w:rsidRPr="00644213" w:rsidRDefault="48359B0B" w:rsidP="48359B0B">
      <w:pPr>
        <w:pStyle w:val="Heading2"/>
        <w:spacing w:before="0" w:after="120" w:line="276" w:lineRule="auto"/>
        <w:rPr>
          <w:rFonts w:ascii="Arial" w:hAnsi="Arial" w:cs="Arial"/>
          <w:color w:val="595959" w:themeColor="text1" w:themeTint="A6"/>
          <w:sz w:val="28"/>
          <w:szCs w:val="28"/>
        </w:rPr>
      </w:pPr>
      <w:bookmarkStart w:id="7" w:name="_Toc506292066"/>
      <w:r w:rsidRPr="00644213">
        <w:rPr>
          <w:rFonts w:ascii="Arial" w:hAnsi="Arial" w:cs="Arial"/>
          <w:color w:val="595959" w:themeColor="text1" w:themeTint="A6"/>
          <w:sz w:val="28"/>
          <w:szCs w:val="28"/>
        </w:rPr>
        <w:t>New Zealand Model – Council Controlled Organisation</w:t>
      </w:r>
      <w:bookmarkEnd w:id="7"/>
    </w:p>
    <w:p w14:paraId="6D9C0230"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Local governments in New Zealand also possess the power to form corporations known as Council Controlled Organisations (CCOs). </w:t>
      </w:r>
    </w:p>
    <w:p w14:paraId="150CD730"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The CCO is designed to serve a far broader role than the role that local government corporations serve in Australia. </w:t>
      </w:r>
    </w:p>
    <w:p w14:paraId="28A807B5"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New Zealand has a two-tier system of government, meaning local governments provide and manage services which are usually done by Australian State and Territory Governments, for example water utilities and public transport. </w:t>
      </w:r>
    </w:p>
    <w:p w14:paraId="513C783B"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Under New Zealand legislation, a CCO:</w:t>
      </w:r>
    </w:p>
    <w:p w14:paraId="17DD423B" w14:textId="77777777" w:rsidR="00235CFD" w:rsidRPr="00644213" w:rsidRDefault="48359B0B" w:rsidP="48359B0B">
      <w:pPr>
        <w:pStyle w:val="ListParagraph"/>
        <w:numPr>
          <w:ilvl w:val="0"/>
          <w:numId w:val="14"/>
        </w:numPr>
        <w:spacing w:after="120" w:line="276" w:lineRule="auto"/>
        <w:jc w:val="both"/>
        <w:rPr>
          <w:rFonts w:ascii="Arial" w:hAnsi="Arial" w:cs="Arial"/>
          <w:sz w:val="24"/>
          <w:szCs w:val="24"/>
        </w:rPr>
      </w:pPr>
      <w:r w:rsidRPr="00644213">
        <w:rPr>
          <w:rFonts w:ascii="Arial" w:hAnsi="Arial" w:cs="Arial"/>
          <w:sz w:val="24"/>
          <w:szCs w:val="24"/>
        </w:rPr>
        <w:t>May be formed by an individual local government;</w:t>
      </w:r>
    </w:p>
    <w:p w14:paraId="1E42A043" w14:textId="77777777" w:rsidR="00235CFD" w:rsidRPr="00644213" w:rsidRDefault="48359B0B" w:rsidP="48359B0B">
      <w:pPr>
        <w:pStyle w:val="ListParagraph"/>
        <w:numPr>
          <w:ilvl w:val="0"/>
          <w:numId w:val="14"/>
        </w:numPr>
        <w:spacing w:after="120" w:line="276" w:lineRule="auto"/>
        <w:jc w:val="both"/>
        <w:rPr>
          <w:rFonts w:ascii="Arial" w:hAnsi="Arial" w:cs="Arial"/>
          <w:sz w:val="24"/>
          <w:szCs w:val="24"/>
        </w:rPr>
      </w:pPr>
      <w:r w:rsidRPr="00644213">
        <w:rPr>
          <w:rFonts w:ascii="Arial" w:hAnsi="Arial" w:cs="Arial"/>
          <w:sz w:val="24"/>
          <w:szCs w:val="24"/>
        </w:rPr>
        <w:t>Can pursue any purpose, including purely commercial activities which have no connection to a local government purpose;</w:t>
      </w:r>
    </w:p>
    <w:p w14:paraId="7D0AE11C" w14:textId="77777777" w:rsidR="00235CFD" w:rsidRPr="00644213" w:rsidRDefault="48359B0B" w:rsidP="48359B0B">
      <w:pPr>
        <w:pStyle w:val="ListParagraph"/>
        <w:numPr>
          <w:ilvl w:val="0"/>
          <w:numId w:val="14"/>
        </w:numPr>
        <w:spacing w:after="120" w:line="276" w:lineRule="auto"/>
        <w:jc w:val="both"/>
        <w:rPr>
          <w:rFonts w:ascii="Arial" w:hAnsi="Arial" w:cs="Arial"/>
          <w:sz w:val="24"/>
          <w:szCs w:val="24"/>
        </w:rPr>
      </w:pPr>
      <w:r w:rsidRPr="00644213">
        <w:rPr>
          <w:rFonts w:ascii="Arial" w:hAnsi="Arial" w:cs="Arial"/>
          <w:sz w:val="24"/>
          <w:szCs w:val="24"/>
        </w:rPr>
        <w:t>Does not require any consent from the Government;</w:t>
      </w:r>
    </w:p>
    <w:p w14:paraId="256AE6E9" w14:textId="77777777" w:rsidR="00235CFD" w:rsidRPr="00644213" w:rsidRDefault="48359B0B" w:rsidP="48359B0B">
      <w:pPr>
        <w:pStyle w:val="ListParagraph"/>
        <w:numPr>
          <w:ilvl w:val="0"/>
          <w:numId w:val="14"/>
        </w:numPr>
        <w:spacing w:after="120" w:line="276" w:lineRule="auto"/>
        <w:jc w:val="both"/>
        <w:rPr>
          <w:rFonts w:ascii="Arial" w:hAnsi="Arial" w:cs="Arial"/>
          <w:sz w:val="24"/>
          <w:szCs w:val="24"/>
        </w:rPr>
      </w:pPr>
      <w:r w:rsidRPr="00644213">
        <w:rPr>
          <w:rFonts w:ascii="Arial" w:hAnsi="Arial" w:cs="Arial"/>
          <w:sz w:val="24"/>
          <w:szCs w:val="24"/>
        </w:rPr>
        <w:t>May be partially owned by private shareholders; and</w:t>
      </w:r>
    </w:p>
    <w:p w14:paraId="11293650" w14:textId="77777777" w:rsidR="00235CFD" w:rsidRPr="00644213" w:rsidRDefault="48359B0B" w:rsidP="48359B0B">
      <w:pPr>
        <w:pStyle w:val="ListParagraph"/>
        <w:numPr>
          <w:ilvl w:val="0"/>
          <w:numId w:val="14"/>
        </w:numPr>
        <w:spacing w:after="120" w:line="276" w:lineRule="auto"/>
        <w:jc w:val="both"/>
        <w:rPr>
          <w:rFonts w:ascii="Arial" w:hAnsi="Arial" w:cs="Arial"/>
          <w:sz w:val="24"/>
          <w:szCs w:val="24"/>
        </w:rPr>
      </w:pPr>
      <w:r w:rsidRPr="00644213">
        <w:rPr>
          <w:rFonts w:ascii="Arial" w:hAnsi="Arial" w:cs="Arial"/>
          <w:sz w:val="24"/>
          <w:szCs w:val="24"/>
        </w:rPr>
        <w:t>Is subject to financial scrutiny by the Auditor General.</w:t>
      </w:r>
    </w:p>
    <w:p w14:paraId="75156158"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Furthermore, the New Zealand system provides that a council is not liable for the debts of the CCO and is directly prohibited</w:t>
      </w:r>
      <w:r w:rsidR="00644213">
        <w:rPr>
          <w:rFonts w:ascii="Arial" w:hAnsi="Arial" w:cs="Arial"/>
          <w:sz w:val="24"/>
          <w:szCs w:val="24"/>
        </w:rPr>
        <w:t xml:space="preserve"> from guaranteeing these debts. </w:t>
      </w:r>
      <w:r w:rsidRPr="00644213">
        <w:rPr>
          <w:rFonts w:ascii="Arial" w:hAnsi="Arial" w:cs="Arial"/>
          <w:sz w:val="24"/>
          <w:szCs w:val="24"/>
        </w:rPr>
        <w:t xml:space="preserve">This is a significant difference from Australian jurisdictions which require local governments to guarantee the debts of any corporations they form. </w:t>
      </w:r>
    </w:p>
    <w:p w14:paraId="50445558" w14:textId="77777777" w:rsidR="00235CFD" w:rsidRPr="00644213" w:rsidRDefault="48359B0B" w:rsidP="48359B0B">
      <w:pPr>
        <w:pStyle w:val="Heading2"/>
        <w:spacing w:before="0" w:after="120" w:line="276" w:lineRule="auto"/>
        <w:rPr>
          <w:rFonts w:ascii="Arial" w:hAnsi="Arial" w:cs="Arial"/>
          <w:color w:val="C0311A"/>
          <w:sz w:val="32"/>
          <w:szCs w:val="32"/>
        </w:rPr>
      </w:pPr>
      <w:r w:rsidRPr="00644213">
        <w:rPr>
          <w:rFonts w:ascii="Arial" w:hAnsi="Arial" w:cs="Arial"/>
          <w:color w:val="C0311A"/>
          <w:sz w:val="32"/>
          <w:szCs w:val="32"/>
        </w:rPr>
        <w:lastRenderedPageBreak/>
        <w:t>What are the opportunities for reform?</w:t>
      </w:r>
    </w:p>
    <w:p w14:paraId="688AEBDB" w14:textId="77777777" w:rsidR="00235CFD" w:rsidRPr="00644213" w:rsidRDefault="48359B0B" w:rsidP="48359B0B">
      <w:pPr>
        <w:spacing w:after="120" w:line="276" w:lineRule="auto"/>
        <w:jc w:val="both"/>
        <w:rPr>
          <w:rFonts w:ascii="Arial" w:eastAsiaTheme="majorEastAsia" w:hAnsi="Arial" w:cs="Arial"/>
          <w:color w:val="595959" w:themeColor="text1" w:themeTint="A6"/>
          <w:sz w:val="28"/>
          <w:szCs w:val="28"/>
        </w:rPr>
      </w:pPr>
      <w:r w:rsidRPr="00644213">
        <w:rPr>
          <w:rFonts w:ascii="Arial" w:eastAsiaTheme="majorEastAsia" w:hAnsi="Arial" w:cs="Arial"/>
          <w:color w:val="595959" w:themeColor="text1" w:themeTint="A6"/>
          <w:sz w:val="28"/>
          <w:szCs w:val="28"/>
        </w:rPr>
        <w:t>WALGA's proposed Council Controlled Organisations (CCO) Scheme</w:t>
      </w:r>
    </w:p>
    <w:p w14:paraId="34871710" w14:textId="77777777" w:rsidR="00235CFD" w:rsidRPr="00644213" w:rsidRDefault="48359B0B" w:rsidP="48359B0B">
      <w:pPr>
        <w:spacing w:after="120" w:line="276" w:lineRule="auto"/>
        <w:jc w:val="both"/>
        <w:rPr>
          <w:rFonts w:ascii="Arial" w:hAnsi="Arial" w:cs="Arial"/>
          <w:sz w:val="24"/>
          <w:szCs w:val="24"/>
        </w:rPr>
      </w:pPr>
      <w:bookmarkStart w:id="8" w:name="_Hlk516572163"/>
      <w:r w:rsidRPr="00644213">
        <w:rPr>
          <w:rFonts w:ascii="Arial" w:hAnsi="Arial" w:cs="Arial"/>
          <w:sz w:val="24"/>
          <w:szCs w:val="24"/>
        </w:rPr>
        <w:t>The local government sector through the Western Australian Local Government Association (WALGA) has long advocated to be able to establish corporate entities that are independent of the local government and which operate under normal company law.</w:t>
      </w:r>
    </w:p>
    <w:p w14:paraId="3D8C86DF" w14:textId="00D98DC1"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These entities would be able to deliver projects and services needed by the community, for example leisure centres, waste management, regional airports, and land development/urban renewal projects that would otherwise not be undertaken by the private sector.</w:t>
      </w:r>
    </w:p>
    <w:p w14:paraId="0370241D" w14:textId="5DC38B04" w:rsidR="002D6D30"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While some of these activities (for example waste management) are currently provided by Regional Councils, this model does not provide the flexibility or agility required to compete in a commercial marketplace. For example, the Regional Council model requires multiple local governments to agree to all aspects of the Regional Council operations. This can limit the ability for Regional Councils to be responsive to changing community expectations. </w:t>
      </w:r>
    </w:p>
    <w:p w14:paraId="07D5B297" w14:textId="68646707" w:rsidR="007E6578"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One example of where a beneficial enterprise could be more effective than a Regional Council </w:t>
      </w:r>
      <w:r w:rsidR="00644213">
        <w:rPr>
          <w:rFonts w:ascii="Arial" w:hAnsi="Arial" w:cs="Arial"/>
          <w:sz w:val="24"/>
          <w:szCs w:val="24"/>
        </w:rPr>
        <w:t>is waste management services.</w:t>
      </w:r>
      <w:r w:rsidRPr="00644213">
        <w:rPr>
          <w:rFonts w:ascii="Arial" w:hAnsi="Arial" w:cs="Arial"/>
          <w:sz w:val="24"/>
          <w:szCs w:val="24"/>
        </w:rPr>
        <w:t xml:space="preserve"> Currently, a Regional Council seeking to implement a </w:t>
      </w:r>
      <w:proofErr w:type="gramStart"/>
      <w:r w:rsidRPr="00644213">
        <w:rPr>
          <w:rFonts w:ascii="Arial" w:hAnsi="Arial" w:cs="Arial"/>
          <w:sz w:val="24"/>
          <w:szCs w:val="24"/>
        </w:rPr>
        <w:t>three bin</w:t>
      </w:r>
      <w:proofErr w:type="gramEnd"/>
      <w:r w:rsidRPr="00644213">
        <w:rPr>
          <w:rFonts w:ascii="Arial" w:hAnsi="Arial" w:cs="Arial"/>
          <w:sz w:val="24"/>
          <w:szCs w:val="24"/>
        </w:rPr>
        <w:t xml:space="preserve"> system would need to receive the support o</w:t>
      </w:r>
      <w:r w:rsidR="00644213">
        <w:rPr>
          <w:rFonts w:ascii="Arial" w:hAnsi="Arial" w:cs="Arial"/>
          <w:sz w:val="24"/>
          <w:szCs w:val="24"/>
        </w:rPr>
        <w:t>f each member local government.</w:t>
      </w:r>
      <w:r w:rsidRPr="00644213">
        <w:rPr>
          <w:rFonts w:ascii="Arial" w:hAnsi="Arial" w:cs="Arial"/>
          <w:sz w:val="24"/>
          <w:szCs w:val="24"/>
        </w:rPr>
        <w:t xml:space="preserve"> As a beneficial enterprise, a waste authority beneficial enterprise could implement these service delivery improvements immediately. </w:t>
      </w:r>
    </w:p>
    <w:p w14:paraId="3475298F" w14:textId="234F2420" w:rsidR="00475CDE"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In other cases, local governments could operate beneficial enterprises where market failure has resulted in the closure of vital community businesses required for small communities to thrive, such as pharmacie</w:t>
      </w:r>
      <w:r w:rsidR="00644213">
        <w:rPr>
          <w:rFonts w:ascii="Arial" w:hAnsi="Arial" w:cs="Arial"/>
          <w:sz w:val="24"/>
          <w:szCs w:val="24"/>
        </w:rPr>
        <w:t xml:space="preserve">s and grocery stores. </w:t>
      </w:r>
      <w:r w:rsidRPr="00644213">
        <w:rPr>
          <w:rFonts w:ascii="Arial" w:hAnsi="Arial" w:cs="Arial"/>
          <w:sz w:val="24"/>
          <w:szCs w:val="24"/>
        </w:rPr>
        <w:t>The opportunity to use beneficial enterprises to grow small regional towns has been frequently highlighted by local governments located in Western Australia’s regions.</w:t>
      </w:r>
    </w:p>
    <w:p w14:paraId="531EEC7B"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WALGA’s proposed scheme is </w:t>
      </w:r>
      <w:proofErr w:type="gramStart"/>
      <w:r w:rsidRPr="00644213">
        <w:rPr>
          <w:rFonts w:ascii="Arial" w:hAnsi="Arial" w:cs="Arial"/>
          <w:sz w:val="24"/>
          <w:szCs w:val="24"/>
        </w:rPr>
        <w:t>similar to</w:t>
      </w:r>
      <w:proofErr w:type="gramEnd"/>
      <w:r w:rsidRPr="00644213">
        <w:rPr>
          <w:rFonts w:ascii="Arial" w:hAnsi="Arial" w:cs="Arial"/>
          <w:sz w:val="24"/>
          <w:szCs w:val="24"/>
        </w:rPr>
        <w:t xml:space="preserve"> the New Zealand scheme, specifically:</w:t>
      </w:r>
    </w:p>
    <w:p w14:paraId="646311DC"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t>A CCO may be formed by one or more local governments;</w:t>
      </w:r>
    </w:p>
    <w:p w14:paraId="47B10355"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t>An existing business can be converted into a CCO;</w:t>
      </w:r>
    </w:p>
    <w:p w14:paraId="6CD9A89F"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t>One (or more) local governments must have a controlling share;</w:t>
      </w:r>
    </w:p>
    <w:p w14:paraId="7526C64F"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bookmarkStart w:id="9" w:name="_Hlk517170117"/>
      <w:r w:rsidRPr="00644213">
        <w:rPr>
          <w:rFonts w:ascii="Arial" w:hAnsi="Arial" w:cs="Arial"/>
          <w:sz w:val="24"/>
          <w:szCs w:val="24"/>
        </w:rPr>
        <w:t>A CCO will be regulated by the applicable company law to the corporate structure adopted (including the relevant taxation regime);</w:t>
      </w:r>
    </w:p>
    <w:p w14:paraId="6B92A9ED"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t xml:space="preserve">CCOs will be required to produce an annual report; </w:t>
      </w:r>
    </w:p>
    <w:p w14:paraId="748DD238" w14:textId="61568A1A"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t>The local government will be required to refer to</w:t>
      </w:r>
      <w:r w:rsidR="00644213">
        <w:rPr>
          <w:rFonts w:ascii="Arial" w:hAnsi="Arial" w:cs="Arial"/>
          <w:sz w:val="24"/>
          <w:szCs w:val="24"/>
        </w:rPr>
        <w:t xml:space="preserve"> the CCO in their annual report;</w:t>
      </w:r>
    </w:p>
    <w:p w14:paraId="7FC6A88C"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bookmarkStart w:id="10" w:name="_Hlk517170472"/>
      <w:bookmarkEnd w:id="9"/>
      <w:r w:rsidRPr="00644213">
        <w:rPr>
          <w:rFonts w:ascii="Arial" w:hAnsi="Arial" w:cs="Arial"/>
          <w:sz w:val="24"/>
          <w:szCs w:val="24"/>
        </w:rPr>
        <w:t>Directors are to be appointed based on their skills, knowledge and experience (not just because they are an elected or staff member of the local government);</w:t>
      </w:r>
    </w:p>
    <w:p w14:paraId="033D0CF5"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bookmarkStart w:id="11" w:name="_Hlk517170567"/>
      <w:r w:rsidRPr="00644213">
        <w:rPr>
          <w:rFonts w:ascii="Arial" w:hAnsi="Arial" w:cs="Arial"/>
          <w:sz w:val="24"/>
          <w:szCs w:val="24"/>
        </w:rPr>
        <w:t>There is to be a minimum of three Directors/Trustees regardless of the corporate structure adopted;</w:t>
      </w:r>
    </w:p>
    <w:p w14:paraId="5826BD7D" w14:textId="3108AF72"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lastRenderedPageBreak/>
        <w:t xml:space="preserve">A CCO can borrow money from a commercial lender, </w:t>
      </w:r>
      <w:r w:rsidR="00D65E5C">
        <w:rPr>
          <w:rFonts w:ascii="Arial" w:hAnsi="Arial" w:cs="Arial"/>
          <w:sz w:val="24"/>
          <w:szCs w:val="24"/>
        </w:rPr>
        <w:t xml:space="preserve">Western Australian </w:t>
      </w:r>
      <w:r w:rsidRPr="00644213">
        <w:rPr>
          <w:rFonts w:ascii="Arial" w:hAnsi="Arial" w:cs="Arial"/>
          <w:sz w:val="24"/>
          <w:szCs w:val="24"/>
        </w:rPr>
        <w:t>Treasury Corporation or from a shareholder local government; and</w:t>
      </w:r>
    </w:p>
    <w:p w14:paraId="61403DE0" w14:textId="77777777" w:rsidR="00235CFD" w:rsidRPr="00644213" w:rsidRDefault="48359B0B" w:rsidP="48359B0B">
      <w:pPr>
        <w:pStyle w:val="ListParagraph"/>
        <w:numPr>
          <w:ilvl w:val="0"/>
          <w:numId w:val="15"/>
        </w:numPr>
        <w:spacing w:after="120" w:line="276" w:lineRule="auto"/>
        <w:jc w:val="both"/>
        <w:rPr>
          <w:rFonts w:ascii="Arial" w:hAnsi="Arial" w:cs="Arial"/>
          <w:sz w:val="24"/>
          <w:szCs w:val="24"/>
        </w:rPr>
      </w:pPr>
      <w:r w:rsidRPr="00644213">
        <w:rPr>
          <w:rFonts w:ascii="Arial" w:hAnsi="Arial" w:cs="Arial"/>
          <w:sz w:val="24"/>
          <w:szCs w:val="24"/>
        </w:rPr>
        <w:t>A CCO will be audited by the Auditor General.</w:t>
      </w:r>
    </w:p>
    <w:bookmarkEnd w:id="10"/>
    <w:bookmarkEnd w:id="11"/>
    <w:p w14:paraId="7892A691"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A CCO cannot: </w:t>
      </w:r>
    </w:p>
    <w:p w14:paraId="2D0D13F8" w14:textId="77777777" w:rsidR="00235CFD" w:rsidRPr="00644213" w:rsidRDefault="48359B0B" w:rsidP="48359B0B">
      <w:pPr>
        <w:pStyle w:val="ListParagraph"/>
        <w:numPr>
          <w:ilvl w:val="0"/>
          <w:numId w:val="16"/>
        </w:numPr>
        <w:spacing w:after="120" w:line="276" w:lineRule="auto"/>
        <w:jc w:val="both"/>
        <w:rPr>
          <w:rFonts w:ascii="Arial" w:hAnsi="Arial" w:cs="Arial"/>
          <w:sz w:val="24"/>
          <w:szCs w:val="24"/>
        </w:rPr>
      </w:pPr>
      <w:r w:rsidRPr="00644213">
        <w:rPr>
          <w:rFonts w:ascii="Arial" w:hAnsi="Arial" w:cs="Arial"/>
          <w:sz w:val="24"/>
          <w:szCs w:val="24"/>
        </w:rPr>
        <w:t>Be used for core functions (for example regulatory functions).</w:t>
      </w:r>
    </w:p>
    <w:p w14:paraId="69C3DE58" w14:textId="77777777" w:rsidR="00235CFD" w:rsidRPr="00644213" w:rsidRDefault="48359B0B" w:rsidP="00D65E5C">
      <w:pPr>
        <w:keepNext/>
        <w:keepLines/>
        <w:spacing w:after="120" w:line="276" w:lineRule="auto"/>
        <w:jc w:val="both"/>
        <w:rPr>
          <w:rFonts w:ascii="Arial" w:hAnsi="Arial" w:cs="Arial"/>
          <w:sz w:val="24"/>
          <w:szCs w:val="24"/>
        </w:rPr>
      </w:pPr>
      <w:r w:rsidRPr="00644213">
        <w:rPr>
          <w:rFonts w:ascii="Arial" w:hAnsi="Arial" w:cs="Arial"/>
          <w:sz w:val="24"/>
          <w:szCs w:val="24"/>
        </w:rPr>
        <w:t>A local government cannot:</w:t>
      </w:r>
    </w:p>
    <w:p w14:paraId="1A35BA3A" w14:textId="77777777" w:rsidR="00235CFD" w:rsidRPr="00644213" w:rsidRDefault="48359B0B" w:rsidP="00D65E5C">
      <w:pPr>
        <w:pStyle w:val="ListParagraph"/>
        <w:keepNext/>
        <w:keepLines/>
        <w:numPr>
          <w:ilvl w:val="0"/>
          <w:numId w:val="16"/>
        </w:numPr>
        <w:spacing w:after="120" w:line="276" w:lineRule="auto"/>
        <w:jc w:val="both"/>
        <w:rPr>
          <w:rFonts w:ascii="Arial" w:hAnsi="Arial" w:cs="Arial"/>
          <w:sz w:val="24"/>
          <w:szCs w:val="24"/>
        </w:rPr>
      </w:pPr>
      <w:r w:rsidRPr="00644213">
        <w:rPr>
          <w:rFonts w:ascii="Arial" w:hAnsi="Arial" w:cs="Arial"/>
          <w:sz w:val="24"/>
          <w:szCs w:val="24"/>
        </w:rPr>
        <w:t>Provide a guarantee or security for the debts of a CCO;</w:t>
      </w:r>
    </w:p>
    <w:p w14:paraId="1A35F7E6" w14:textId="52D58C46" w:rsidR="00235CFD" w:rsidRPr="00644213" w:rsidRDefault="48359B0B" w:rsidP="48359B0B">
      <w:pPr>
        <w:pStyle w:val="ListParagraph"/>
        <w:numPr>
          <w:ilvl w:val="0"/>
          <w:numId w:val="16"/>
        </w:numPr>
        <w:spacing w:after="120" w:line="276" w:lineRule="auto"/>
        <w:jc w:val="both"/>
        <w:rPr>
          <w:rFonts w:ascii="Arial" w:hAnsi="Arial" w:cs="Arial"/>
          <w:sz w:val="24"/>
          <w:szCs w:val="24"/>
        </w:rPr>
      </w:pPr>
      <w:r w:rsidRPr="00644213">
        <w:rPr>
          <w:rFonts w:ascii="Arial" w:hAnsi="Arial" w:cs="Arial"/>
          <w:sz w:val="24"/>
          <w:szCs w:val="24"/>
        </w:rPr>
        <w:t xml:space="preserve">Lend money to the CCO unless on market terms (including transaction costs); </w:t>
      </w:r>
      <w:r w:rsidR="006B5F30">
        <w:rPr>
          <w:rFonts w:ascii="Arial" w:hAnsi="Arial" w:cs="Arial"/>
          <w:sz w:val="24"/>
          <w:szCs w:val="24"/>
        </w:rPr>
        <w:t>or</w:t>
      </w:r>
    </w:p>
    <w:p w14:paraId="2373E835" w14:textId="77777777" w:rsidR="00235CFD" w:rsidRPr="00644213" w:rsidRDefault="48359B0B" w:rsidP="48359B0B">
      <w:pPr>
        <w:pStyle w:val="ListParagraph"/>
        <w:numPr>
          <w:ilvl w:val="0"/>
          <w:numId w:val="16"/>
        </w:numPr>
        <w:spacing w:after="120" w:line="276" w:lineRule="auto"/>
        <w:jc w:val="both"/>
        <w:rPr>
          <w:rFonts w:ascii="Arial" w:hAnsi="Arial" w:cs="Arial"/>
          <w:sz w:val="24"/>
          <w:szCs w:val="24"/>
        </w:rPr>
      </w:pPr>
      <w:r w:rsidRPr="00644213">
        <w:rPr>
          <w:rFonts w:ascii="Arial" w:hAnsi="Arial" w:cs="Arial"/>
          <w:sz w:val="24"/>
          <w:szCs w:val="24"/>
        </w:rPr>
        <w:t>Provide any financial advantage (for example, subsidised fees, charges and rates).</w:t>
      </w:r>
    </w:p>
    <w:p w14:paraId="309FEED4" w14:textId="77777777" w:rsidR="00235CFD" w:rsidRPr="00644213" w:rsidRDefault="48359B0B" w:rsidP="00D15281">
      <w:pPr>
        <w:spacing w:after="120" w:line="276" w:lineRule="auto"/>
        <w:jc w:val="both"/>
        <w:rPr>
          <w:rFonts w:ascii="Arial" w:hAnsi="Arial" w:cs="Arial"/>
          <w:sz w:val="24"/>
          <w:szCs w:val="24"/>
        </w:rPr>
      </w:pPr>
      <w:r w:rsidRPr="00644213">
        <w:rPr>
          <w:rFonts w:ascii="Arial" w:hAnsi="Arial" w:cs="Arial"/>
          <w:sz w:val="24"/>
          <w:szCs w:val="24"/>
        </w:rPr>
        <w:t>Prior to creation a local government must:</w:t>
      </w:r>
    </w:p>
    <w:p w14:paraId="029A0FFD" w14:textId="1F0268D7" w:rsidR="00235CFD" w:rsidRPr="00644213" w:rsidRDefault="48359B0B" w:rsidP="00D15281">
      <w:pPr>
        <w:pStyle w:val="ListParagraph"/>
        <w:numPr>
          <w:ilvl w:val="0"/>
          <w:numId w:val="17"/>
        </w:numPr>
        <w:spacing w:after="120" w:line="276" w:lineRule="auto"/>
        <w:jc w:val="both"/>
        <w:rPr>
          <w:rFonts w:ascii="Arial" w:hAnsi="Arial" w:cs="Arial"/>
          <w:sz w:val="24"/>
          <w:szCs w:val="24"/>
        </w:rPr>
      </w:pPr>
      <w:r w:rsidRPr="00644213">
        <w:rPr>
          <w:rFonts w:ascii="Arial" w:hAnsi="Arial" w:cs="Arial"/>
          <w:sz w:val="24"/>
          <w:szCs w:val="24"/>
        </w:rPr>
        <w:t xml:space="preserve">Consult widely (community consultation framework is currently being considered as part of </w:t>
      </w:r>
      <w:r w:rsidR="006B5F30">
        <w:rPr>
          <w:rFonts w:ascii="Arial" w:hAnsi="Arial" w:cs="Arial"/>
          <w:sz w:val="24"/>
          <w:szCs w:val="24"/>
        </w:rPr>
        <w:t>the</w:t>
      </w:r>
      <w:r w:rsidRPr="00644213">
        <w:rPr>
          <w:rFonts w:ascii="Arial" w:hAnsi="Arial" w:cs="Arial"/>
          <w:sz w:val="24"/>
          <w:szCs w:val="24"/>
        </w:rPr>
        <w:t xml:space="preserve"> Act </w:t>
      </w:r>
      <w:r w:rsidR="006B5F30">
        <w:rPr>
          <w:rFonts w:ascii="Arial" w:hAnsi="Arial" w:cs="Arial"/>
          <w:sz w:val="24"/>
          <w:szCs w:val="24"/>
        </w:rPr>
        <w:t>R</w:t>
      </w:r>
      <w:r w:rsidRPr="00644213">
        <w:rPr>
          <w:rFonts w:ascii="Arial" w:hAnsi="Arial" w:cs="Arial"/>
          <w:sz w:val="24"/>
          <w:szCs w:val="24"/>
        </w:rPr>
        <w:t>eview); and</w:t>
      </w:r>
    </w:p>
    <w:p w14:paraId="6B640FA2" w14:textId="148C443C" w:rsidR="00235CFD" w:rsidRPr="00644213" w:rsidRDefault="48359B0B" w:rsidP="48359B0B">
      <w:pPr>
        <w:pStyle w:val="ListParagraph"/>
        <w:numPr>
          <w:ilvl w:val="0"/>
          <w:numId w:val="17"/>
        </w:numPr>
        <w:spacing w:after="120" w:line="276" w:lineRule="auto"/>
        <w:jc w:val="both"/>
        <w:rPr>
          <w:rFonts w:ascii="Arial" w:hAnsi="Arial" w:cs="Arial"/>
          <w:sz w:val="24"/>
          <w:szCs w:val="24"/>
        </w:rPr>
      </w:pPr>
      <w:r w:rsidRPr="00644213">
        <w:rPr>
          <w:rFonts w:ascii="Arial" w:hAnsi="Arial" w:cs="Arial"/>
          <w:sz w:val="24"/>
          <w:szCs w:val="24"/>
        </w:rPr>
        <w:t>Prepare a Statement of Intent (reviewed annually) and</w:t>
      </w:r>
      <w:r w:rsidR="006B5F30">
        <w:rPr>
          <w:rFonts w:ascii="Arial" w:hAnsi="Arial" w:cs="Arial"/>
          <w:sz w:val="24"/>
          <w:szCs w:val="24"/>
        </w:rPr>
        <w:t xml:space="preserve"> a</w:t>
      </w:r>
      <w:r w:rsidRPr="00644213">
        <w:rPr>
          <w:rFonts w:ascii="Arial" w:hAnsi="Arial" w:cs="Arial"/>
          <w:sz w:val="24"/>
          <w:szCs w:val="24"/>
        </w:rPr>
        <w:t xml:space="preserve"> Business Plan.</w:t>
      </w:r>
    </w:p>
    <w:p w14:paraId="78B8B8EE" w14:textId="77777777"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WALGA suggests that the Statement of Intent should:</w:t>
      </w:r>
    </w:p>
    <w:p w14:paraId="619B75C6" w14:textId="77777777" w:rsidR="00235CFD" w:rsidRPr="00644213" w:rsidRDefault="48359B0B" w:rsidP="48359B0B">
      <w:pPr>
        <w:pStyle w:val="ListParagraph"/>
        <w:numPr>
          <w:ilvl w:val="0"/>
          <w:numId w:val="18"/>
        </w:numPr>
        <w:spacing w:after="120" w:line="276" w:lineRule="auto"/>
        <w:jc w:val="both"/>
        <w:rPr>
          <w:rFonts w:ascii="Arial" w:hAnsi="Arial" w:cs="Arial"/>
          <w:sz w:val="24"/>
          <w:szCs w:val="24"/>
        </w:rPr>
      </w:pPr>
      <w:r w:rsidRPr="00644213">
        <w:rPr>
          <w:rFonts w:ascii="Arial" w:hAnsi="Arial" w:cs="Arial"/>
          <w:sz w:val="24"/>
          <w:szCs w:val="24"/>
        </w:rPr>
        <w:t>Provide how the entity will engage with community expectations;</w:t>
      </w:r>
    </w:p>
    <w:p w14:paraId="24021BC0" w14:textId="77777777" w:rsidR="00235CFD" w:rsidRPr="00644213" w:rsidRDefault="48359B0B" w:rsidP="48359B0B">
      <w:pPr>
        <w:pStyle w:val="ListParagraph"/>
        <w:numPr>
          <w:ilvl w:val="0"/>
          <w:numId w:val="18"/>
        </w:numPr>
        <w:spacing w:after="120" w:line="276" w:lineRule="auto"/>
        <w:jc w:val="both"/>
        <w:rPr>
          <w:rFonts w:ascii="Arial" w:hAnsi="Arial" w:cs="Arial"/>
          <w:sz w:val="24"/>
          <w:szCs w:val="24"/>
        </w:rPr>
      </w:pPr>
      <w:r w:rsidRPr="00644213">
        <w:rPr>
          <w:rFonts w:ascii="Arial" w:hAnsi="Arial" w:cs="Arial"/>
          <w:sz w:val="24"/>
          <w:szCs w:val="24"/>
        </w:rPr>
        <w:t>Outline the reporting requirements to the local government;</w:t>
      </w:r>
    </w:p>
    <w:p w14:paraId="7FEF6106" w14:textId="77777777" w:rsidR="00235CFD" w:rsidRPr="00644213" w:rsidRDefault="48359B0B" w:rsidP="48359B0B">
      <w:pPr>
        <w:pStyle w:val="ListParagraph"/>
        <w:numPr>
          <w:ilvl w:val="0"/>
          <w:numId w:val="18"/>
        </w:numPr>
        <w:spacing w:after="120" w:line="276" w:lineRule="auto"/>
        <w:jc w:val="both"/>
        <w:rPr>
          <w:rFonts w:ascii="Arial" w:hAnsi="Arial" w:cs="Arial"/>
          <w:sz w:val="24"/>
          <w:szCs w:val="24"/>
        </w:rPr>
      </w:pPr>
      <w:r w:rsidRPr="00644213">
        <w:rPr>
          <w:rFonts w:ascii="Arial" w:hAnsi="Arial" w:cs="Arial"/>
          <w:sz w:val="24"/>
          <w:szCs w:val="24"/>
        </w:rPr>
        <w:t xml:space="preserve">Be publicly available; and </w:t>
      </w:r>
    </w:p>
    <w:p w14:paraId="1D6A1FF0" w14:textId="77777777" w:rsidR="00235CFD" w:rsidRPr="00644213" w:rsidRDefault="48359B0B" w:rsidP="48359B0B">
      <w:pPr>
        <w:pStyle w:val="ListParagraph"/>
        <w:numPr>
          <w:ilvl w:val="0"/>
          <w:numId w:val="18"/>
        </w:numPr>
        <w:spacing w:after="120" w:line="276" w:lineRule="auto"/>
        <w:jc w:val="both"/>
        <w:rPr>
          <w:rFonts w:ascii="Arial" w:hAnsi="Arial" w:cs="Arial"/>
          <w:sz w:val="24"/>
          <w:szCs w:val="24"/>
        </w:rPr>
      </w:pPr>
      <w:r w:rsidRPr="00644213">
        <w:rPr>
          <w:rFonts w:ascii="Arial" w:hAnsi="Arial" w:cs="Arial"/>
          <w:sz w:val="24"/>
          <w:szCs w:val="24"/>
        </w:rPr>
        <w:t>Be reviewed annually.</w:t>
      </w:r>
    </w:p>
    <w:p w14:paraId="0B57FE4D" w14:textId="6125EEB1" w:rsidR="00235CFD" w:rsidRPr="00644213" w:rsidRDefault="006B5F30" w:rsidP="48359B0B">
      <w:pPr>
        <w:spacing w:after="120" w:line="276" w:lineRule="auto"/>
        <w:jc w:val="both"/>
        <w:rPr>
          <w:rFonts w:ascii="Arial" w:hAnsi="Arial" w:cs="Arial"/>
          <w:sz w:val="24"/>
          <w:szCs w:val="24"/>
        </w:rPr>
      </w:pPr>
      <w:r>
        <w:rPr>
          <w:rFonts w:ascii="Arial" w:hAnsi="Arial" w:cs="Arial"/>
          <w:sz w:val="24"/>
          <w:szCs w:val="24"/>
        </w:rPr>
        <w:t>The B</w:t>
      </w:r>
      <w:r w:rsidR="48359B0B" w:rsidRPr="00644213">
        <w:rPr>
          <w:rFonts w:ascii="Arial" w:hAnsi="Arial" w:cs="Arial"/>
          <w:sz w:val="24"/>
          <w:szCs w:val="24"/>
        </w:rPr>
        <w:t xml:space="preserve">usiness </w:t>
      </w:r>
      <w:r>
        <w:rPr>
          <w:rFonts w:ascii="Arial" w:hAnsi="Arial" w:cs="Arial"/>
          <w:sz w:val="24"/>
          <w:szCs w:val="24"/>
        </w:rPr>
        <w:t>P</w:t>
      </w:r>
      <w:r w:rsidR="48359B0B" w:rsidRPr="00644213">
        <w:rPr>
          <w:rFonts w:ascii="Arial" w:hAnsi="Arial" w:cs="Arial"/>
          <w:sz w:val="24"/>
          <w:szCs w:val="24"/>
        </w:rPr>
        <w:t>lan will provide the:</w:t>
      </w:r>
    </w:p>
    <w:p w14:paraId="49C387B8" w14:textId="77777777" w:rsidR="00235CFD" w:rsidRPr="00644213" w:rsidRDefault="48359B0B" w:rsidP="48359B0B">
      <w:pPr>
        <w:pStyle w:val="ListParagraph"/>
        <w:numPr>
          <w:ilvl w:val="0"/>
          <w:numId w:val="19"/>
        </w:numPr>
        <w:spacing w:after="120" w:line="276" w:lineRule="auto"/>
        <w:jc w:val="both"/>
        <w:rPr>
          <w:rFonts w:ascii="Arial" w:hAnsi="Arial" w:cs="Arial"/>
          <w:sz w:val="24"/>
          <w:szCs w:val="24"/>
        </w:rPr>
      </w:pPr>
      <w:r w:rsidRPr="00644213">
        <w:rPr>
          <w:rFonts w:ascii="Arial" w:hAnsi="Arial" w:cs="Arial"/>
          <w:sz w:val="24"/>
          <w:szCs w:val="24"/>
        </w:rPr>
        <w:t xml:space="preserve">Rationale for its creation; </w:t>
      </w:r>
    </w:p>
    <w:p w14:paraId="6D3A7D13" w14:textId="77777777" w:rsidR="00235CFD" w:rsidRPr="00644213" w:rsidRDefault="48359B0B" w:rsidP="48359B0B">
      <w:pPr>
        <w:pStyle w:val="ListParagraph"/>
        <w:numPr>
          <w:ilvl w:val="0"/>
          <w:numId w:val="19"/>
        </w:numPr>
        <w:spacing w:after="120" w:line="276" w:lineRule="auto"/>
        <w:jc w:val="both"/>
        <w:rPr>
          <w:rFonts w:ascii="Arial" w:hAnsi="Arial" w:cs="Arial"/>
          <w:sz w:val="24"/>
          <w:szCs w:val="24"/>
        </w:rPr>
      </w:pPr>
      <w:r w:rsidRPr="00644213">
        <w:rPr>
          <w:rFonts w:ascii="Arial" w:hAnsi="Arial" w:cs="Arial"/>
          <w:sz w:val="24"/>
          <w:szCs w:val="24"/>
        </w:rPr>
        <w:t>Commercial objectives to be achieved; and</w:t>
      </w:r>
    </w:p>
    <w:p w14:paraId="77DD3CEE" w14:textId="77777777" w:rsidR="00235CFD" w:rsidRPr="00644213" w:rsidRDefault="48359B0B" w:rsidP="48359B0B">
      <w:pPr>
        <w:pStyle w:val="ListParagraph"/>
        <w:numPr>
          <w:ilvl w:val="0"/>
          <w:numId w:val="19"/>
        </w:numPr>
        <w:spacing w:after="120" w:line="276" w:lineRule="auto"/>
        <w:jc w:val="both"/>
        <w:rPr>
          <w:rFonts w:ascii="Arial" w:hAnsi="Arial" w:cs="Arial"/>
          <w:sz w:val="24"/>
          <w:szCs w:val="24"/>
        </w:rPr>
      </w:pPr>
      <w:r w:rsidRPr="00644213">
        <w:rPr>
          <w:rFonts w:ascii="Arial" w:hAnsi="Arial" w:cs="Arial"/>
          <w:sz w:val="24"/>
          <w:szCs w:val="24"/>
        </w:rPr>
        <w:t xml:space="preserve">Key financial and risk parameters under which it will operate. </w:t>
      </w:r>
    </w:p>
    <w:p w14:paraId="7D77808D" w14:textId="716080C5" w:rsidR="00235CFD" w:rsidRPr="00644213" w:rsidRDefault="48359B0B" w:rsidP="48359B0B">
      <w:pPr>
        <w:spacing w:after="120" w:line="276" w:lineRule="auto"/>
        <w:jc w:val="both"/>
        <w:rPr>
          <w:rFonts w:ascii="Arial" w:hAnsi="Arial" w:cs="Arial"/>
          <w:sz w:val="24"/>
          <w:szCs w:val="24"/>
        </w:rPr>
      </w:pPr>
      <w:r w:rsidRPr="00644213">
        <w:rPr>
          <w:rFonts w:ascii="Arial" w:hAnsi="Arial" w:cs="Arial"/>
          <w:sz w:val="24"/>
          <w:szCs w:val="24"/>
        </w:rPr>
        <w:t xml:space="preserve">The </w:t>
      </w:r>
      <w:r w:rsidR="006B5F30">
        <w:rPr>
          <w:rFonts w:ascii="Arial" w:hAnsi="Arial" w:cs="Arial"/>
          <w:sz w:val="24"/>
          <w:szCs w:val="24"/>
        </w:rPr>
        <w:t>B</w:t>
      </w:r>
      <w:r w:rsidRPr="00644213">
        <w:rPr>
          <w:rFonts w:ascii="Arial" w:hAnsi="Arial" w:cs="Arial"/>
          <w:sz w:val="24"/>
          <w:szCs w:val="24"/>
        </w:rPr>
        <w:t xml:space="preserve">usiness </w:t>
      </w:r>
      <w:r w:rsidR="006B5F30">
        <w:rPr>
          <w:rFonts w:ascii="Arial" w:hAnsi="Arial" w:cs="Arial"/>
          <w:sz w:val="24"/>
          <w:szCs w:val="24"/>
        </w:rPr>
        <w:t>P</w:t>
      </w:r>
      <w:r w:rsidRPr="00644213">
        <w:rPr>
          <w:rFonts w:ascii="Arial" w:hAnsi="Arial" w:cs="Arial"/>
          <w:sz w:val="24"/>
          <w:szCs w:val="24"/>
        </w:rPr>
        <w:t xml:space="preserve">lan is intended to provide a transparent explanation of the anticipated scale, funding and viability of the proposed entity. It would ensure that any local government (and community) contemplating the establishment of a CCO fully understands the medium-term prospects of the entity, including equity and capital needs and its future capacity to pay dividends to the shareholding local government. </w:t>
      </w:r>
    </w:p>
    <w:p w14:paraId="6C8B986E" w14:textId="77777777" w:rsidR="00235CFD" w:rsidRPr="006B5F30" w:rsidRDefault="48359B0B" w:rsidP="48359B0B">
      <w:pPr>
        <w:pStyle w:val="Heading2"/>
        <w:spacing w:before="0" w:after="120" w:line="276" w:lineRule="auto"/>
        <w:rPr>
          <w:rFonts w:ascii="Arial" w:hAnsi="Arial" w:cs="Arial"/>
          <w:color w:val="595959" w:themeColor="text1" w:themeTint="A6"/>
          <w:sz w:val="28"/>
          <w:szCs w:val="28"/>
        </w:rPr>
      </w:pPr>
      <w:r w:rsidRPr="006B5F30">
        <w:rPr>
          <w:rFonts w:ascii="Arial" w:hAnsi="Arial" w:cs="Arial"/>
          <w:color w:val="595959" w:themeColor="text1" w:themeTint="A6"/>
          <w:sz w:val="28"/>
          <w:szCs w:val="28"/>
        </w:rPr>
        <w:t>Other Considerations</w:t>
      </w:r>
    </w:p>
    <w:bookmarkEnd w:id="8"/>
    <w:p w14:paraId="4263B3DD" w14:textId="77777777" w:rsidR="00235CFD" w:rsidRPr="006B5F30" w:rsidRDefault="48359B0B" w:rsidP="48359B0B">
      <w:pPr>
        <w:pStyle w:val="Heading3"/>
        <w:spacing w:before="0" w:after="120" w:line="276" w:lineRule="auto"/>
        <w:rPr>
          <w:rFonts w:ascii="Arial" w:hAnsi="Arial" w:cs="Arial"/>
          <w:b/>
          <w:color w:val="C0311A"/>
        </w:rPr>
      </w:pPr>
      <w:r w:rsidRPr="006B5F30">
        <w:rPr>
          <w:rFonts w:ascii="Arial" w:hAnsi="Arial" w:cs="Arial"/>
          <w:b/>
          <w:color w:val="C0311A"/>
        </w:rPr>
        <w:t>Competition with the private sector</w:t>
      </w:r>
    </w:p>
    <w:p w14:paraId="05F80187"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In the 1990s, the Federal and State Governments came together to consider the ways that government bodies interacted with the economy and the impacts they could have on the free market.</w:t>
      </w:r>
    </w:p>
    <w:p w14:paraId="165F3C29"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lastRenderedPageBreak/>
        <w:t xml:space="preserve">The result was the development of the National Competition Policy (NCP). This interstate agreement requires all levels of government to adhere to competitive neutrality principles whenever they conduct commercial activity. </w:t>
      </w:r>
    </w:p>
    <w:p w14:paraId="5E93B980"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One of these principles is ensuring that government-controlled businesses do not enjoy competitive advantages simply because they are publicly owned and backed by public money.</w:t>
      </w:r>
    </w:p>
    <w:p w14:paraId="64403DB6" w14:textId="77777777" w:rsidR="00235CFD" w:rsidRPr="006B5F30" w:rsidRDefault="48359B0B" w:rsidP="00D15281">
      <w:pPr>
        <w:keepNext/>
        <w:keepLines/>
        <w:spacing w:after="120" w:line="276" w:lineRule="auto"/>
        <w:jc w:val="both"/>
        <w:rPr>
          <w:rFonts w:ascii="Arial" w:hAnsi="Arial" w:cs="Arial"/>
          <w:sz w:val="24"/>
        </w:rPr>
      </w:pPr>
      <w:r w:rsidRPr="006B5F30">
        <w:rPr>
          <w:rFonts w:ascii="Arial" w:hAnsi="Arial" w:cs="Arial"/>
          <w:sz w:val="24"/>
        </w:rPr>
        <w:t>This includes:</w:t>
      </w:r>
    </w:p>
    <w:p w14:paraId="0F8C63A2" w14:textId="77777777" w:rsidR="00235CFD" w:rsidRPr="006B5F30" w:rsidRDefault="48359B0B" w:rsidP="00D15281">
      <w:pPr>
        <w:pStyle w:val="ListParagraph"/>
        <w:keepNext/>
        <w:keepLines/>
        <w:numPr>
          <w:ilvl w:val="0"/>
          <w:numId w:val="22"/>
        </w:numPr>
        <w:spacing w:after="120" w:line="276" w:lineRule="auto"/>
        <w:jc w:val="both"/>
        <w:rPr>
          <w:rFonts w:ascii="Arial" w:hAnsi="Arial" w:cs="Arial"/>
          <w:sz w:val="24"/>
        </w:rPr>
      </w:pPr>
      <w:r w:rsidRPr="006B5F30">
        <w:rPr>
          <w:rFonts w:ascii="Arial" w:hAnsi="Arial" w:cs="Arial"/>
          <w:sz w:val="24"/>
        </w:rPr>
        <w:t>Limiting the extent to which public money is used to support the entity, particularly if it is not profitable;</w:t>
      </w:r>
    </w:p>
    <w:p w14:paraId="17D702A3" w14:textId="77777777" w:rsidR="00235CFD" w:rsidRPr="006B5F30" w:rsidRDefault="48359B0B" w:rsidP="48359B0B">
      <w:pPr>
        <w:pStyle w:val="ListParagraph"/>
        <w:numPr>
          <w:ilvl w:val="0"/>
          <w:numId w:val="22"/>
        </w:numPr>
        <w:spacing w:after="120" w:line="276" w:lineRule="auto"/>
        <w:jc w:val="both"/>
        <w:rPr>
          <w:rFonts w:ascii="Arial" w:hAnsi="Arial" w:cs="Arial"/>
          <w:sz w:val="24"/>
        </w:rPr>
      </w:pPr>
      <w:r w:rsidRPr="006B5F30">
        <w:rPr>
          <w:rFonts w:ascii="Arial" w:hAnsi="Arial" w:cs="Arial"/>
          <w:sz w:val="24"/>
        </w:rPr>
        <w:t>Not exempting the entity from Commonwealth and State taxes; and</w:t>
      </w:r>
    </w:p>
    <w:p w14:paraId="2E8CF751" w14:textId="77777777" w:rsidR="00235CFD" w:rsidRPr="006B5F30" w:rsidRDefault="48359B0B" w:rsidP="48359B0B">
      <w:pPr>
        <w:pStyle w:val="ListParagraph"/>
        <w:numPr>
          <w:ilvl w:val="0"/>
          <w:numId w:val="22"/>
        </w:numPr>
        <w:spacing w:after="120" w:line="276" w:lineRule="auto"/>
        <w:jc w:val="both"/>
        <w:rPr>
          <w:rFonts w:ascii="Arial" w:hAnsi="Arial" w:cs="Arial"/>
          <w:sz w:val="24"/>
        </w:rPr>
      </w:pPr>
      <w:r w:rsidRPr="006B5F30">
        <w:rPr>
          <w:rFonts w:ascii="Arial" w:hAnsi="Arial" w:cs="Arial"/>
          <w:sz w:val="24"/>
        </w:rPr>
        <w:t xml:space="preserve">Ensuring that the business complies with the same regulations which apply to private competitors. </w:t>
      </w:r>
    </w:p>
    <w:p w14:paraId="70F89891"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While local governments are not direct parties to the NCP, State Governments are required to apply the NCP to the local government sector when administering legislation. The State Government also has a commitment to ensuring that any amendments to the Act are within the spirit of the NCP principles.</w:t>
      </w:r>
    </w:p>
    <w:p w14:paraId="0C01F115"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NCP does not apply to non-business and non-profit activities.  Local governments wishing to establish a beneficial enterprise for commercial activity would be required to assess whether the proposed beneficial enterprise will impinge on the NCP principles.</w:t>
      </w:r>
    </w:p>
    <w:p w14:paraId="418A7697" w14:textId="77777777" w:rsidR="00235CFD" w:rsidRPr="006B5F30" w:rsidRDefault="00235CFD" w:rsidP="48359B0B">
      <w:pPr>
        <w:spacing w:after="120" w:line="276" w:lineRule="auto"/>
        <w:jc w:val="both"/>
        <w:rPr>
          <w:rFonts w:ascii="Arial" w:hAnsi="Arial" w:cs="Arial"/>
          <w:sz w:val="24"/>
        </w:rPr>
      </w:pPr>
      <w:r w:rsidRPr="006B5F30">
        <w:rPr>
          <w:rFonts w:ascii="Arial" w:hAnsi="Arial" w:cs="Arial"/>
          <w:sz w:val="24"/>
        </w:rPr>
        <w:t>This will require the local government to assess if the activity they intend to undertake is firstly, a business activity, opposed to a regulatory or governance activity and then if the business activity is a significant business activity.</w:t>
      </w:r>
      <w:r w:rsidRPr="006B5F30">
        <w:rPr>
          <w:rStyle w:val="FootnoteReference"/>
          <w:rFonts w:ascii="Arial" w:hAnsi="Arial" w:cs="Arial"/>
          <w:sz w:val="24"/>
        </w:rPr>
        <w:footnoteReference w:id="3"/>
      </w:r>
    </w:p>
    <w:p w14:paraId="77F44F07"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Other factors to consider include:</w:t>
      </w:r>
    </w:p>
    <w:p w14:paraId="7288A704" w14:textId="77777777" w:rsidR="00235CFD" w:rsidRPr="006B5F30" w:rsidRDefault="48359B0B" w:rsidP="48359B0B">
      <w:pPr>
        <w:pStyle w:val="ListParagraph"/>
        <w:numPr>
          <w:ilvl w:val="0"/>
          <w:numId w:val="23"/>
        </w:numPr>
        <w:spacing w:after="120" w:line="276" w:lineRule="auto"/>
        <w:jc w:val="both"/>
        <w:rPr>
          <w:rFonts w:ascii="Arial" w:hAnsi="Arial" w:cs="Arial"/>
          <w:sz w:val="24"/>
        </w:rPr>
      </w:pPr>
      <w:r w:rsidRPr="006B5F30">
        <w:rPr>
          <w:rFonts w:ascii="Arial" w:hAnsi="Arial" w:cs="Arial"/>
          <w:sz w:val="24"/>
        </w:rPr>
        <w:t>Actual or potential competitors;</w:t>
      </w:r>
    </w:p>
    <w:p w14:paraId="7F7C3ECF" w14:textId="77777777" w:rsidR="00235CFD" w:rsidRPr="006B5F30" w:rsidRDefault="48359B0B" w:rsidP="48359B0B">
      <w:pPr>
        <w:pStyle w:val="ListParagraph"/>
        <w:numPr>
          <w:ilvl w:val="0"/>
          <w:numId w:val="23"/>
        </w:numPr>
        <w:spacing w:after="120" w:line="276" w:lineRule="auto"/>
        <w:jc w:val="both"/>
        <w:rPr>
          <w:rFonts w:ascii="Arial" w:hAnsi="Arial" w:cs="Arial"/>
          <w:sz w:val="24"/>
        </w:rPr>
      </w:pPr>
      <w:r w:rsidRPr="006B5F30">
        <w:rPr>
          <w:rFonts w:ascii="Arial" w:hAnsi="Arial" w:cs="Arial"/>
          <w:sz w:val="24"/>
        </w:rPr>
        <w:t>The size of the market share;</w:t>
      </w:r>
    </w:p>
    <w:p w14:paraId="5C827CDD" w14:textId="77777777" w:rsidR="00235CFD" w:rsidRPr="006B5F30" w:rsidRDefault="48359B0B" w:rsidP="48359B0B">
      <w:pPr>
        <w:pStyle w:val="ListParagraph"/>
        <w:numPr>
          <w:ilvl w:val="0"/>
          <w:numId w:val="23"/>
        </w:numPr>
        <w:spacing w:after="120" w:line="276" w:lineRule="auto"/>
        <w:jc w:val="both"/>
        <w:rPr>
          <w:rFonts w:ascii="Arial" w:hAnsi="Arial" w:cs="Arial"/>
          <w:sz w:val="24"/>
        </w:rPr>
      </w:pPr>
      <w:r w:rsidRPr="006B5F30">
        <w:rPr>
          <w:rFonts w:ascii="Arial" w:hAnsi="Arial" w:cs="Arial"/>
          <w:sz w:val="24"/>
        </w:rPr>
        <w:t>Influence upon the market;</w:t>
      </w:r>
    </w:p>
    <w:p w14:paraId="14FD1942" w14:textId="77777777" w:rsidR="00235CFD" w:rsidRPr="006B5F30" w:rsidRDefault="48359B0B" w:rsidP="48359B0B">
      <w:pPr>
        <w:pStyle w:val="ListParagraph"/>
        <w:numPr>
          <w:ilvl w:val="0"/>
          <w:numId w:val="23"/>
        </w:numPr>
        <w:spacing w:after="120" w:line="276" w:lineRule="auto"/>
        <w:jc w:val="both"/>
        <w:rPr>
          <w:rFonts w:ascii="Arial" w:hAnsi="Arial" w:cs="Arial"/>
          <w:sz w:val="24"/>
        </w:rPr>
      </w:pPr>
      <w:r w:rsidRPr="006B5F30">
        <w:rPr>
          <w:rFonts w:ascii="Arial" w:hAnsi="Arial" w:cs="Arial"/>
          <w:sz w:val="24"/>
        </w:rPr>
        <w:t>Being the regulator of a competing business; and</w:t>
      </w:r>
    </w:p>
    <w:p w14:paraId="4CBEACD4" w14:textId="77777777" w:rsidR="00235CFD" w:rsidRPr="006B5F30" w:rsidRDefault="00235CFD" w:rsidP="48359B0B">
      <w:pPr>
        <w:pStyle w:val="ListParagraph"/>
        <w:numPr>
          <w:ilvl w:val="0"/>
          <w:numId w:val="23"/>
        </w:numPr>
        <w:spacing w:after="120" w:line="276" w:lineRule="auto"/>
        <w:jc w:val="both"/>
        <w:rPr>
          <w:rFonts w:ascii="Arial" w:hAnsi="Arial" w:cs="Arial"/>
          <w:sz w:val="24"/>
        </w:rPr>
      </w:pPr>
      <w:r w:rsidRPr="006B5F30">
        <w:rPr>
          <w:rFonts w:ascii="Arial" w:hAnsi="Arial" w:cs="Arial"/>
          <w:sz w:val="24"/>
        </w:rPr>
        <w:t>The requirement to impose full cost-reflective pricing.</w:t>
      </w:r>
      <w:r w:rsidRPr="006B5F30">
        <w:rPr>
          <w:rStyle w:val="FootnoteReference"/>
        </w:rPr>
        <w:footnoteReference w:id="4"/>
      </w:r>
    </w:p>
    <w:p w14:paraId="49F90F2A" w14:textId="77777777" w:rsidR="00235CFD" w:rsidRPr="006B5F30" w:rsidRDefault="48359B0B" w:rsidP="48359B0B">
      <w:pPr>
        <w:pStyle w:val="Heading3"/>
        <w:spacing w:before="0" w:after="120" w:line="276" w:lineRule="auto"/>
        <w:rPr>
          <w:rFonts w:ascii="Arial" w:hAnsi="Arial" w:cs="Arial"/>
          <w:b/>
          <w:color w:val="C0311A"/>
        </w:rPr>
      </w:pPr>
      <w:r w:rsidRPr="006B5F30">
        <w:rPr>
          <w:rFonts w:ascii="Arial" w:hAnsi="Arial" w:cs="Arial"/>
          <w:b/>
          <w:color w:val="C0311A"/>
        </w:rPr>
        <w:t>Types of corporate structures</w:t>
      </w:r>
    </w:p>
    <w:p w14:paraId="72C7A967"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Under company law there are many different corporate structures that can be used, for example:</w:t>
      </w:r>
    </w:p>
    <w:p w14:paraId="70BACAE1"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t>Sole Trader;</w:t>
      </w:r>
    </w:p>
    <w:p w14:paraId="4905FA52"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lastRenderedPageBreak/>
        <w:t>Partnership;</w:t>
      </w:r>
    </w:p>
    <w:p w14:paraId="0560FAE1"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t>Limited liability Partnership;</w:t>
      </w:r>
    </w:p>
    <w:p w14:paraId="74852A1B"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t>Company limited by guarantee;</w:t>
      </w:r>
    </w:p>
    <w:p w14:paraId="33AD39A2"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t>Proprietary Limited company;</w:t>
      </w:r>
    </w:p>
    <w:p w14:paraId="1788BE04"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t>Public company; and</w:t>
      </w:r>
    </w:p>
    <w:p w14:paraId="73EE61D6" w14:textId="77777777" w:rsidR="00235CFD" w:rsidRPr="006B5F30" w:rsidRDefault="48359B0B" w:rsidP="48359B0B">
      <w:pPr>
        <w:pStyle w:val="ListParagraph"/>
        <w:numPr>
          <w:ilvl w:val="0"/>
          <w:numId w:val="24"/>
        </w:numPr>
        <w:spacing w:after="120" w:line="276" w:lineRule="auto"/>
        <w:jc w:val="both"/>
        <w:rPr>
          <w:rFonts w:ascii="Arial" w:hAnsi="Arial" w:cs="Arial"/>
          <w:sz w:val="24"/>
        </w:rPr>
      </w:pPr>
      <w:r w:rsidRPr="006B5F30">
        <w:rPr>
          <w:rFonts w:ascii="Arial" w:hAnsi="Arial" w:cs="Arial"/>
          <w:sz w:val="24"/>
        </w:rPr>
        <w:t>No liability companies.</w:t>
      </w:r>
    </w:p>
    <w:p w14:paraId="1B2C4C66" w14:textId="7CF8DB7F"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rPr>
        <w:t xml:space="preserve">Each structure has different advantages and disadvantages to their operation. If the ability for a local government to create beneficial enterprises is permitted, should a </w:t>
      </w:r>
      <w:r w:rsidRPr="006B5F30">
        <w:rPr>
          <w:rFonts w:ascii="Arial" w:hAnsi="Arial" w:cs="Arial"/>
          <w:sz w:val="24"/>
          <w:szCs w:val="24"/>
        </w:rPr>
        <w:t xml:space="preserve">local government be limited to only certain corporate structures, as this itself could restrain a local government from the most </w:t>
      </w:r>
      <w:r w:rsidR="00E069F2">
        <w:rPr>
          <w:rFonts w:ascii="Arial" w:hAnsi="Arial" w:cs="Arial"/>
          <w:sz w:val="24"/>
          <w:szCs w:val="24"/>
        </w:rPr>
        <w:t>efficient operation as possible.</w:t>
      </w:r>
    </w:p>
    <w:p w14:paraId="0D7BB010" w14:textId="77777777"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szCs w:val="24"/>
        </w:rPr>
        <w:t>When considering corporate structures another question that arises is, should a local government be able to guarantee the debts of the beneficial enterprise?</w:t>
      </w:r>
    </w:p>
    <w:p w14:paraId="5D1E0278" w14:textId="77777777"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szCs w:val="24"/>
        </w:rPr>
        <w:t xml:space="preserve">The ability to guarantee debts raises some issues: </w:t>
      </w:r>
    </w:p>
    <w:p w14:paraId="63519952" w14:textId="77777777" w:rsidR="00235CFD" w:rsidRPr="006B5F30" w:rsidRDefault="48359B0B" w:rsidP="48359B0B">
      <w:pPr>
        <w:pStyle w:val="ListParagraph"/>
        <w:numPr>
          <w:ilvl w:val="0"/>
          <w:numId w:val="25"/>
        </w:numPr>
        <w:spacing w:after="120" w:line="276" w:lineRule="auto"/>
        <w:jc w:val="both"/>
        <w:rPr>
          <w:rFonts w:ascii="Arial" w:hAnsi="Arial" w:cs="Arial"/>
          <w:sz w:val="24"/>
          <w:szCs w:val="24"/>
        </w:rPr>
      </w:pPr>
      <w:r w:rsidRPr="006B5F30">
        <w:rPr>
          <w:rFonts w:ascii="Arial" w:hAnsi="Arial" w:cs="Arial"/>
          <w:sz w:val="24"/>
          <w:szCs w:val="24"/>
        </w:rPr>
        <w:t>Commercial finance will be able to be raised at a cheaper rate (leading to a possible competitive neutrality issue);</w:t>
      </w:r>
    </w:p>
    <w:p w14:paraId="4C73D5ED" w14:textId="77777777" w:rsidR="00235CFD" w:rsidRPr="006B5F30" w:rsidRDefault="48359B0B" w:rsidP="48359B0B">
      <w:pPr>
        <w:pStyle w:val="ListParagraph"/>
        <w:numPr>
          <w:ilvl w:val="0"/>
          <w:numId w:val="25"/>
        </w:numPr>
        <w:spacing w:after="120" w:line="276" w:lineRule="auto"/>
        <w:jc w:val="both"/>
        <w:rPr>
          <w:rFonts w:ascii="Arial" w:hAnsi="Arial" w:cs="Arial"/>
          <w:sz w:val="24"/>
          <w:szCs w:val="24"/>
        </w:rPr>
      </w:pPr>
      <w:r w:rsidRPr="006B5F30">
        <w:rPr>
          <w:rFonts w:ascii="Arial" w:hAnsi="Arial" w:cs="Arial"/>
          <w:sz w:val="24"/>
          <w:szCs w:val="24"/>
        </w:rPr>
        <w:t xml:space="preserve">The appropriateness of using public money for that purpose; and </w:t>
      </w:r>
    </w:p>
    <w:p w14:paraId="12E2B799" w14:textId="77777777" w:rsidR="00235CFD" w:rsidRPr="006B5F30" w:rsidRDefault="48359B0B" w:rsidP="48359B0B">
      <w:pPr>
        <w:pStyle w:val="ListParagraph"/>
        <w:numPr>
          <w:ilvl w:val="0"/>
          <w:numId w:val="25"/>
        </w:numPr>
        <w:spacing w:after="120" w:line="276" w:lineRule="auto"/>
        <w:jc w:val="both"/>
        <w:rPr>
          <w:rFonts w:ascii="Arial" w:hAnsi="Arial" w:cs="Arial"/>
          <w:sz w:val="24"/>
          <w:szCs w:val="24"/>
        </w:rPr>
      </w:pPr>
      <w:r w:rsidRPr="006B5F30">
        <w:rPr>
          <w:rFonts w:ascii="Arial" w:hAnsi="Arial" w:cs="Arial"/>
          <w:sz w:val="24"/>
          <w:szCs w:val="24"/>
        </w:rPr>
        <w:t>Whether a current local government should be able to place an unknown, contingent liability upon unknown rate payers at an unknown time in the future.</w:t>
      </w:r>
    </w:p>
    <w:p w14:paraId="1EAA1B89" w14:textId="77777777"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szCs w:val="24"/>
        </w:rPr>
        <w:t>Not allowing a local government to provide a guarantee may limit the ability of a local government to provide public services, such as aged care.</w:t>
      </w:r>
    </w:p>
    <w:p w14:paraId="7EEF1E06" w14:textId="4D84B5EF" w:rsidR="00235CFD" w:rsidRPr="006B5F30" w:rsidRDefault="48359B0B" w:rsidP="48359B0B">
      <w:pPr>
        <w:pStyle w:val="Heading3"/>
        <w:spacing w:before="0" w:after="120" w:line="276" w:lineRule="auto"/>
        <w:rPr>
          <w:rFonts w:ascii="Arial" w:hAnsi="Arial" w:cs="Arial"/>
          <w:b/>
          <w:color w:val="C0311A"/>
        </w:rPr>
      </w:pPr>
      <w:r w:rsidRPr="006B5F30">
        <w:rPr>
          <w:rFonts w:ascii="Arial" w:hAnsi="Arial" w:cs="Arial"/>
          <w:b/>
          <w:color w:val="C0311A"/>
        </w:rPr>
        <w:t>Risks involved</w:t>
      </w:r>
    </w:p>
    <w:p w14:paraId="365FC26B" w14:textId="77777777" w:rsidR="00235CFD" w:rsidRPr="006B5F30" w:rsidRDefault="48359B0B" w:rsidP="48359B0B">
      <w:pPr>
        <w:keepNext/>
        <w:keepLines/>
        <w:spacing w:after="120" w:line="276" w:lineRule="auto"/>
        <w:rPr>
          <w:rFonts w:ascii="Arial" w:hAnsi="Arial" w:cs="Arial"/>
          <w:sz w:val="24"/>
        </w:rPr>
      </w:pPr>
      <w:r w:rsidRPr="006B5F30">
        <w:rPr>
          <w:rFonts w:ascii="Arial" w:hAnsi="Arial" w:cs="Arial"/>
          <w:sz w:val="24"/>
        </w:rPr>
        <w:t xml:space="preserve">As with all activities there is always risk – who bears those risks needs to be considered.  </w:t>
      </w:r>
    </w:p>
    <w:p w14:paraId="5D7F1C1A" w14:textId="77777777" w:rsidR="00235CFD" w:rsidRPr="006B5F30" w:rsidRDefault="48359B0B" w:rsidP="48359B0B">
      <w:pPr>
        <w:keepNext/>
        <w:keepLines/>
        <w:spacing w:after="120" w:line="276" w:lineRule="auto"/>
        <w:rPr>
          <w:rFonts w:ascii="Arial" w:hAnsi="Arial" w:cs="Arial"/>
          <w:b/>
          <w:i/>
          <w:iCs/>
          <w:color w:val="595959" w:themeColor="text1" w:themeTint="A6"/>
          <w:sz w:val="24"/>
        </w:rPr>
      </w:pPr>
      <w:r w:rsidRPr="006B5F30">
        <w:rPr>
          <w:rFonts w:ascii="Arial" w:hAnsi="Arial" w:cs="Arial"/>
          <w:b/>
          <w:i/>
          <w:iCs/>
          <w:color w:val="595959" w:themeColor="text1" w:themeTint="A6"/>
          <w:sz w:val="24"/>
        </w:rPr>
        <w:t>Financial risks</w:t>
      </w:r>
    </w:p>
    <w:p w14:paraId="7065F253" w14:textId="2F7B53B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The initial funding for the establishment of the beneficial enterprise will be borne by the local government,</w:t>
      </w:r>
      <w:r w:rsidR="006B5F30">
        <w:rPr>
          <w:rFonts w:ascii="Arial" w:hAnsi="Arial" w:cs="Arial"/>
          <w:sz w:val="24"/>
        </w:rPr>
        <w:t xml:space="preserve"> and therefore the ratepayers.</w:t>
      </w:r>
      <w:r w:rsidRPr="006B5F30">
        <w:rPr>
          <w:rFonts w:ascii="Arial" w:hAnsi="Arial" w:cs="Arial"/>
          <w:sz w:val="24"/>
        </w:rPr>
        <w:t xml:space="preserve"> A beneficial enterprise that is conducting an activity such as providing services to the community is l</w:t>
      </w:r>
      <w:r w:rsidR="006B5F30">
        <w:rPr>
          <w:rFonts w:ascii="Arial" w:hAnsi="Arial" w:cs="Arial"/>
          <w:sz w:val="24"/>
        </w:rPr>
        <w:t>ikely to be doing so at a loss.</w:t>
      </w:r>
      <w:r w:rsidRPr="006B5F30">
        <w:rPr>
          <w:rFonts w:ascii="Arial" w:hAnsi="Arial" w:cs="Arial"/>
          <w:sz w:val="24"/>
        </w:rPr>
        <w:t xml:space="preserve"> This will consequently require continued injections of capital from the local government.  </w:t>
      </w:r>
    </w:p>
    <w:p w14:paraId="120E550A"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 xml:space="preserve">While an argument is sometimes made that this enterprise may be able to provide services more efficiently, it will also be subject to the full range of rates and taxes and will have higher finance costs than a local government which can borrow from the Western Australian Treasury Corporation at subsidised rates. </w:t>
      </w:r>
    </w:p>
    <w:p w14:paraId="4AE10FEA" w14:textId="449116A0"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A beneficial enterprise that is established to conduct a commercial activity will still need financial support from the local governm</w:t>
      </w:r>
      <w:r w:rsidR="006B5F30">
        <w:rPr>
          <w:rFonts w:ascii="Arial" w:hAnsi="Arial" w:cs="Arial"/>
          <w:sz w:val="24"/>
        </w:rPr>
        <w:t xml:space="preserve">ent during the start-up phase. </w:t>
      </w:r>
      <w:r w:rsidRPr="006B5F30">
        <w:rPr>
          <w:rFonts w:ascii="Arial" w:hAnsi="Arial" w:cs="Arial"/>
          <w:sz w:val="24"/>
        </w:rPr>
        <w:t>All commercial activity is s</w:t>
      </w:r>
      <w:r w:rsidR="006B5F30">
        <w:rPr>
          <w:rFonts w:ascii="Arial" w:hAnsi="Arial" w:cs="Arial"/>
          <w:sz w:val="24"/>
        </w:rPr>
        <w:t xml:space="preserve">ubject to a risk of failure. </w:t>
      </w:r>
      <w:r w:rsidRPr="006B5F30">
        <w:rPr>
          <w:rFonts w:ascii="Arial" w:hAnsi="Arial" w:cs="Arial"/>
          <w:sz w:val="24"/>
        </w:rPr>
        <w:t>The higher the possible returns, the greater the risk that these will not be achie</w:t>
      </w:r>
      <w:r w:rsidR="006B5F30">
        <w:rPr>
          <w:rFonts w:ascii="Arial" w:hAnsi="Arial" w:cs="Arial"/>
          <w:sz w:val="24"/>
        </w:rPr>
        <w:t xml:space="preserve">ved. </w:t>
      </w:r>
      <w:r w:rsidRPr="006B5F30">
        <w:rPr>
          <w:rFonts w:ascii="Arial" w:hAnsi="Arial" w:cs="Arial"/>
          <w:sz w:val="24"/>
        </w:rPr>
        <w:t xml:space="preserve"> A failed enterprise will reflect badly on </w:t>
      </w:r>
      <w:r w:rsidRPr="006B5F30">
        <w:rPr>
          <w:rFonts w:ascii="Arial" w:hAnsi="Arial" w:cs="Arial"/>
          <w:sz w:val="24"/>
        </w:rPr>
        <w:lastRenderedPageBreak/>
        <w:t>the local government that established it and could have wider effects on the community.</w:t>
      </w:r>
    </w:p>
    <w:p w14:paraId="372C4F16" w14:textId="77777777" w:rsidR="00235CFD" w:rsidRPr="006B5F30" w:rsidRDefault="48359B0B" w:rsidP="48359B0B">
      <w:pPr>
        <w:keepNext/>
        <w:keepLines/>
        <w:spacing w:after="120" w:line="276" w:lineRule="auto"/>
        <w:rPr>
          <w:rFonts w:ascii="Arial" w:hAnsi="Arial" w:cs="Arial"/>
          <w:b/>
          <w:i/>
          <w:iCs/>
          <w:color w:val="595959" w:themeColor="text1" w:themeTint="A6"/>
          <w:sz w:val="24"/>
        </w:rPr>
      </w:pPr>
      <w:r w:rsidRPr="006B5F30">
        <w:rPr>
          <w:rFonts w:ascii="Arial" w:hAnsi="Arial" w:cs="Arial"/>
          <w:b/>
          <w:i/>
          <w:iCs/>
          <w:color w:val="595959" w:themeColor="text1" w:themeTint="A6"/>
          <w:sz w:val="24"/>
        </w:rPr>
        <w:t xml:space="preserve">Concerns with privatisation </w:t>
      </w:r>
    </w:p>
    <w:p w14:paraId="39E2D8FB"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Some members of the community have raised concerns with beneficial enterprises being used to privatise local government services. While WALGA proposes that a beneficial enterprise will not be used to provide regulatory functions, local governments employ a significant number of employees that provide services that are not regulatory in nature.</w:t>
      </w:r>
    </w:p>
    <w:p w14:paraId="4EAAF4CB"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The concerns raised include:</w:t>
      </w:r>
    </w:p>
    <w:p w14:paraId="0F7DE0E6" w14:textId="6B07EB57" w:rsidR="00235CFD" w:rsidRPr="006B5F30" w:rsidRDefault="006B5F30" w:rsidP="48359B0B">
      <w:pPr>
        <w:pStyle w:val="ListParagraph"/>
        <w:numPr>
          <w:ilvl w:val="0"/>
          <w:numId w:val="32"/>
        </w:numPr>
        <w:spacing w:after="120" w:line="276" w:lineRule="auto"/>
        <w:jc w:val="both"/>
        <w:rPr>
          <w:rFonts w:ascii="Arial" w:hAnsi="Arial" w:cs="Arial"/>
          <w:sz w:val="24"/>
        </w:rPr>
      </w:pPr>
      <w:r>
        <w:rPr>
          <w:rFonts w:ascii="Arial" w:hAnsi="Arial" w:cs="Arial"/>
          <w:sz w:val="24"/>
        </w:rPr>
        <w:t>Lower wages;</w:t>
      </w:r>
    </w:p>
    <w:p w14:paraId="6B29802A" w14:textId="1E4CD716" w:rsidR="00235CFD" w:rsidRPr="006B5F30" w:rsidRDefault="48359B0B" w:rsidP="48359B0B">
      <w:pPr>
        <w:pStyle w:val="ListParagraph"/>
        <w:numPr>
          <w:ilvl w:val="0"/>
          <w:numId w:val="32"/>
        </w:numPr>
        <w:spacing w:after="120" w:line="276" w:lineRule="auto"/>
        <w:jc w:val="both"/>
        <w:rPr>
          <w:rFonts w:ascii="Arial" w:hAnsi="Arial" w:cs="Arial"/>
          <w:sz w:val="24"/>
        </w:rPr>
      </w:pPr>
      <w:r w:rsidRPr="006B5F30">
        <w:rPr>
          <w:rFonts w:ascii="Arial" w:hAnsi="Arial" w:cs="Arial"/>
          <w:sz w:val="24"/>
        </w:rPr>
        <w:t>Le</w:t>
      </w:r>
      <w:r w:rsidR="006B5F30">
        <w:rPr>
          <w:rFonts w:ascii="Arial" w:hAnsi="Arial" w:cs="Arial"/>
          <w:sz w:val="24"/>
        </w:rPr>
        <w:t>ss secure employment conditions;</w:t>
      </w:r>
    </w:p>
    <w:p w14:paraId="37B20EF6" w14:textId="7D1E5035" w:rsidR="00C464CF" w:rsidRPr="006B5F30" w:rsidRDefault="48359B0B" w:rsidP="48359B0B">
      <w:pPr>
        <w:pStyle w:val="ListParagraph"/>
        <w:numPr>
          <w:ilvl w:val="0"/>
          <w:numId w:val="32"/>
        </w:numPr>
        <w:spacing w:after="120" w:line="276" w:lineRule="auto"/>
        <w:jc w:val="both"/>
        <w:rPr>
          <w:rFonts w:ascii="Arial" w:hAnsi="Arial" w:cs="Arial"/>
          <w:sz w:val="24"/>
        </w:rPr>
      </w:pPr>
      <w:r w:rsidRPr="006B5F30">
        <w:rPr>
          <w:rFonts w:ascii="Arial" w:hAnsi="Arial" w:cs="Arial"/>
          <w:sz w:val="24"/>
        </w:rPr>
        <w:t>Employees being employed outside the protection of the Western Austral</w:t>
      </w:r>
      <w:r w:rsidR="006B5F30">
        <w:rPr>
          <w:rFonts w:ascii="Arial" w:hAnsi="Arial" w:cs="Arial"/>
          <w:sz w:val="24"/>
        </w:rPr>
        <w:t>ian industrial relations system;</w:t>
      </w:r>
      <w:r w:rsidRPr="006B5F30">
        <w:rPr>
          <w:rFonts w:ascii="Arial" w:hAnsi="Arial" w:cs="Arial"/>
          <w:sz w:val="24"/>
        </w:rPr>
        <w:t xml:space="preserve"> </w:t>
      </w:r>
    </w:p>
    <w:p w14:paraId="3226B655" w14:textId="463CC9DE" w:rsidR="00235CFD" w:rsidRPr="006B5F30" w:rsidRDefault="006B5F30" w:rsidP="48359B0B">
      <w:pPr>
        <w:pStyle w:val="ListParagraph"/>
        <w:numPr>
          <w:ilvl w:val="0"/>
          <w:numId w:val="32"/>
        </w:numPr>
        <w:spacing w:after="120" w:line="276" w:lineRule="auto"/>
        <w:jc w:val="both"/>
        <w:rPr>
          <w:rFonts w:ascii="Arial" w:hAnsi="Arial" w:cs="Arial"/>
          <w:sz w:val="24"/>
        </w:rPr>
      </w:pPr>
      <w:r>
        <w:rPr>
          <w:rFonts w:ascii="Arial" w:hAnsi="Arial" w:cs="Arial"/>
          <w:sz w:val="24"/>
        </w:rPr>
        <w:t>Use of labour hire agreements;</w:t>
      </w:r>
      <w:r w:rsidR="00C464CF" w:rsidRPr="006B5F30">
        <w:rPr>
          <w:rFonts w:ascii="Arial" w:hAnsi="Arial" w:cs="Arial"/>
          <w:sz w:val="24"/>
        </w:rPr>
        <w:t xml:space="preserve"> </w:t>
      </w:r>
      <w:r w:rsidR="00235CFD" w:rsidRPr="006B5F30">
        <w:rPr>
          <w:rFonts w:ascii="Arial" w:hAnsi="Arial" w:cs="Arial"/>
          <w:sz w:val="24"/>
        </w:rPr>
        <w:t>and</w:t>
      </w:r>
    </w:p>
    <w:p w14:paraId="122DA416" w14:textId="30ACD643" w:rsidR="00235CFD" w:rsidRPr="006B5F30" w:rsidRDefault="48359B0B" w:rsidP="48359B0B">
      <w:pPr>
        <w:pStyle w:val="ListParagraph"/>
        <w:numPr>
          <w:ilvl w:val="0"/>
          <w:numId w:val="32"/>
        </w:numPr>
        <w:spacing w:after="120" w:line="276" w:lineRule="auto"/>
        <w:jc w:val="both"/>
        <w:rPr>
          <w:rFonts w:ascii="Arial" w:hAnsi="Arial" w:cs="Arial"/>
          <w:sz w:val="24"/>
        </w:rPr>
      </w:pPr>
      <w:r w:rsidRPr="006B5F30">
        <w:rPr>
          <w:rFonts w:ascii="Arial" w:hAnsi="Arial" w:cs="Arial"/>
          <w:sz w:val="24"/>
        </w:rPr>
        <w:t>Less accountability of public money.</w:t>
      </w:r>
    </w:p>
    <w:p w14:paraId="7BFCA539"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All the issues raised above need to be weighed against the potential benefits associated with permitting a local government to form a beneficial enterprise.</w:t>
      </w:r>
    </w:p>
    <w:p w14:paraId="265B759E" w14:textId="2FE6510B" w:rsidR="00235CFD" w:rsidRPr="006B5F30" w:rsidRDefault="48359B0B" w:rsidP="48359B0B">
      <w:pPr>
        <w:pStyle w:val="Heading2"/>
        <w:spacing w:before="0" w:after="120" w:line="276" w:lineRule="auto"/>
        <w:jc w:val="both"/>
        <w:rPr>
          <w:rFonts w:ascii="Arial" w:hAnsi="Arial" w:cs="Arial"/>
          <w:b/>
          <w:color w:val="C0311A"/>
          <w:sz w:val="24"/>
          <w:szCs w:val="24"/>
        </w:rPr>
      </w:pPr>
      <w:r w:rsidRPr="006B5F30">
        <w:rPr>
          <w:rFonts w:ascii="Arial" w:hAnsi="Arial" w:cs="Arial"/>
          <w:b/>
          <w:color w:val="C0311A"/>
          <w:sz w:val="24"/>
          <w:szCs w:val="24"/>
        </w:rPr>
        <w:t xml:space="preserve">Which local governments should have the ability to form a </w:t>
      </w:r>
      <w:r w:rsidR="006B5F30">
        <w:rPr>
          <w:rFonts w:ascii="Arial" w:hAnsi="Arial" w:cs="Arial"/>
          <w:b/>
          <w:color w:val="C0311A"/>
          <w:sz w:val="24"/>
          <w:szCs w:val="24"/>
        </w:rPr>
        <w:t>beneficial e</w:t>
      </w:r>
      <w:r w:rsidRPr="006B5F30">
        <w:rPr>
          <w:rFonts w:ascii="Arial" w:hAnsi="Arial" w:cs="Arial"/>
          <w:b/>
          <w:color w:val="C0311A"/>
          <w:sz w:val="24"/>
          <w:szCs w:val="24"/>
        </w:rPr>
        <w:t>nterprise?</w:t>
      </w:r>
    </w:p>
    <w:p w14:paraId="1DBBF642" w14:textId="316E5F06"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szCs w:val="24"/>
        </w:rPr>
        <w:t>Beneficial enterprises are complex and present risks to the council and ratepayers.  With the need to obtain legal and financial advice there are significant costs to e</w:t>
      </w:r>
      <w:r w:rsidR="006B5F30">
        <w:rPr>
          <w:rFonts w:ascii="Arial" w:hAnsi="Arial" w:cs="Arial"/>
          <w:sz w:val="24"/>
          <w:szCs w:val="24"/>
        </w:rPr>
        <w:t xml:space="preserve">stablish such an organisation. </w:t>
      </w:r>
      <w:r w:rsidRPr="006B5F30">
        <w:rPr>
          <w:rFonts w:ascii="Arial" w:hAnsi="Arial" w:cs="Arial"/>
          <w:sz w:val="24"/>
          <w:szCs w:val="24"/>
        </w:rPr>
        <w:t>There is also the question of what funding will be provided to the enterprise to enable it to operate.</w:t>
      </w:r>
    </w:p>
    <w:p w14:paraId="4EE2FCDF" w14:textId="46E39E55" w:rsidR="00235CFD" w:rsidRPr="006B5F30" w:rsidRDefault="48359B0B" w:rsidP="48359B0B">
      <w:pPr>
        <w:spacing w:after="120" w:line="276" w:lineRule="auto"/>
        <w:jc w:val="both"/>
        <w:rPr>
          <w:rFonts w:ascii="Arial" w:hAnsi="Arial" w:cs="Arial"/>
          <w:b/>
          <w:i/>
          <w:iCs/>
          <w:color w:val="595959" w:themeColor="text1" w:themeTint="A6"/>
          <w:sz w:val="24"/>
          <w:szCs w:val="24"/>
        </w:rPr>
      </w:pPr>
      <w:r w:rsidRPr="006B5F30">
        <w:rPr>
          <w:rFonts w:ascii="Arial" w:hAnsi="Arial" w:cs="Arial"/>
          <w:b/>
          <w:i/>
          <w:iCs/>
          <w:color w:val="595959" w:themeColor="text1" w:themeTint="A6"/>
          <w:sz w:val="24"/>
          <w:szCs w:val="24"/>
        </w:rPr>
        <w:t xml:space="preserve">Ability to form a </w:t>
      </w:r>
      <w:r w:rsidR="006B5F30">
        <w:rPr>
          <w:rFonts w:ascii="Arial" w:hAnsi="Arial" w:cs="Arial"/>
          <w:b/>
          <w:i/>
          <w:iCs/>
          <w:color w:val="595959" w:themeColor="text1" w:themeTint="A6"/>
          <w:sz w:val="24"/>
          <w:szCs w:val="24"/>
        </w:rPr>
        <w:t>b</w:t>
      </w:r>
      <w:r w:rsidRPr="006B5F30">
        <w:rPr>
          <w:rFonts w:ascii="Arial" w:hAnsi="Arial" w:cs="Arial"/>
          <w:b/>
          <w:i/>
          <w:iCs/>
          <w:color w:val="595959" w:themeColor="text1" w:themeTint="A6"/>
          <w:sz w:val="24"/>
          <w:szCs w:val="24"/>
        </w:rPr>
        <w:t xml:space="preserve">eneficial </w:t>
      </w:r>
      <w:r w:rsidR="006B5F30">
        <w:rPr>
          <w:rFonts w:ascii="Arial" w:hAnsi="Arial" w:cs="Arial"/>
          <w:b/>
          <w:i/>
          <w:iCs/>
          <w:color w:val="595959" w:themeColor="text1" w:themeTint="A6"/>
          <w:sz w:val="24"/>
          <w:szCs w:val="24"/>
        </w:rPr>
        <w:t>e</w:t>
      </w:r>
      <w:r w:rsidRPr="006B5F30">
        <w:rPr>
          <w:rFonts w:ascii="Arial" w:hAnsi="Arial" w:cs="Arial"/>
          <w:b/>
          <w:i/>
          <w:iCs/>
          <w:color w:val="595959" w:themeColor="text1" w:themeTint="A6"/>
          <w:sz w:val="24"/>
          <w:szCs w:val="24"/>
        </w:rPr>
        <w:t>nterprise based on percentage of annual expenditure</w:t>
      </w:r>
    </w:p>
    <w:p w14:paraId="750BC802" w14:textId="77777777"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szCs w:val="24"/>
        </w:rPr>
        <w:t xml:space="preserve">Local governments in Western Australia vary considerably in respect to their capacity to raise revenue and their expenditure. For example, the combined operating budget of the State’s 40 smallest local governments is less than the annual operating expenditure of the State’s largest local government. </w:t>
      </w:r>
    </w:p>
    <w:p w14:paraId="6004DC20" w14:textId="637EB85F" w:rsidR="00235CFD" w:rsidRPr="006B5F30" w:rsidRDefault="48359B0B" w:rsidP="48359B0B">
      <w:pPr>
        <w:spacing w:after="120" w:line="276" w:lineRule="auto"/>
        <w:jc w:val="both"/>
        <w:rPr>
          <w:rFonts w:ascii="Arial" w:hAnsi="Arial" w:cs="Arial"/>
          <w:sz w:val="24"/>
          <w:szCs w:val="24"/>
        </w:rPr>
      </w:pPr>
      <w:r w:rsidRPr="006B5F30">
        <w:rPr>
          <w:rFonts w:ascii="Arial" w:hAnsi="Arial" w:cs="Arial"/>
          <w:sz w:val="24"/>
          <w:szCs w:val="24"/>
        </w:rPr>
        <w:t>This variation complicates allowing all local governments to establish beneficial enterprises. For 88 of the State’s 137 local governments, an investment of $300,000 represents more than 2</w:t>
      </w:r>
      <w:r w:rsidR="006B5F30">
        <w:rPr>
          <w:rFonts w:ascii="Arial" w:hAnsi="Arial" w:cs="Arial"/>
          <w:sz w:val="24"/>
          <w:szCs w:val="24"/>
        </w:rPr>
        <w:t xml:space="preserve">% of their annual expenditure. </w:t>
      </w:r>
      <w:r w:rsidRPr="006B5F30">
        <w:rPr>
          <w:rFonts w:ascii="Arial" w:hAnsi="Arial" w:cs="Arial"/>
          <w:sz w:val="24"/>
          <w:szCs w:val="24"/>
        </w:rPr>
        <w:t>This means that $150,000 can represent a significant proportion of the total annual budget of many local governments. Conversely, 11 local governments have an annual budg</w:t>
      </w:r>
      <w:r w:rsidR="006B5F30">
        <w:rPr>
          <w:rFonts w:ascii="Arial" w:hAnsi="Arial" w:cs="Arial"/>
          <w:sz w:val="24"/>
          <w:szCs w:val="24"/>
        </w:rPr>
        <w:t>et that exceeds $100m annually.</w:t>
      </w:r>
      <w:r w:rsidRPr="006B5F30">
        <w:rPr>
          <w:rFonts w:ascii="Arial" w:hAnsi="Arial" w:cs="Arial"/>
          <w:sz w:val="24"/>
          <w:szCs w:val="24"/>
        </w:rPr>
        <w:t xml:space="preserve"> For these local governments, $300,000 is a comparatively small amount of their total annual budget.  </w:t>
      </w:r>
    </w:p>
    <w:p w14:paraId="00A13126" w14:textId="77777777" w:rsidR="00A47C02" w:rsidRDefault="00A47C02" w:rsidP="48359B0B">
      <w:pPr>
        <w:spacing w:after="120" w:line="276" w:lineRule="auto"/>
        <w:jc w:val="both"/>
        <w:rPr>
          <w:rFonts w:ascii="Arial" w:hAnsi="Arial" w:cs="Arial"/>
          <w:b/>
          <w:i/>
          <w:iCs/>
          <w:color w:val="595959" w:themeColor="text1" w:themeTint="A6"/>
          <w:sz w:val="24"/>
          <w:szCs w:val="24"/>
        </w:rPr>
      </w:pPr>
    </w:p>
    <w:p w14:paraId="1C79788E" w14:textId="77777777" w:rsidR="00A47C02" w:rsidRDefault="00A47C02" w:rsidP="48359B0B">
      <w:pPr>
        <w:spacing w:after="120" w:line="276" w:lineRule="auto"/>
        <w:jc w:val="both"/>
        <w:rPr>
          <w:rFonts w:ascii="Arial" w:hAnsi="Arial" w:cs="Arial"/>
          <w:b/>
          <w:i/>
          <w:iCs/>
          <w:color w:val="595959" w:themeColor="text1" w:themeTint="A6"/>
          <w:sz w:val="24"/>
          <w:szCs w:val="24"/>
        </w:rPr>
      </w:pPr>
    </w:p>
    <w:p w14:paraId="357DAAF1" w14:textId="6ADF8836" w:rsidR="00235CFD" w:rsidRPr="006B5F30" w:rsidRDefault="48359B0B" w:rsidP="48359B0B">
      <w:pPr>
        <w:spacing w:after="120" w:line="276" w:lineRule="auto"/>
        <w:jc w:val="both"/>
        <w:rPr>
          <w:rFonts w:ascii="Arial" w:hAnsi="Arial" w:cs="Arial"/>
          <w:b/>
          <w:i/>
          <w:iCs/>
          <w:color w:val="595959" w:themeColor="text1" w:themeTint="A6"/>
          <w:sz w:val="24"/>
          <w:szCs w:val="24"/>
        </w:rPr>
      </w:pPr>
      <w:r w:rsidRPr="006B5F30">
        <w:rPr>
          <w:rFonts w:ascii="Arial" w:hAnsi="Arial" w:cs="Arial"/>
          <w:b/>
          <w:i/>
          <w:iCs/>
          <w:color w:val="595959" w:themeColor="text1" w:themeTint="A6"/>
          <w:sz w:val="24"/>
          <w:szCs w:val="24"/>
        </w:rPr>
        <w:lastRenderedPageBreak/>
        <w:t xml:space="preserve">Ability to form a </w:t>
      </w:r>
      <w:r w:rsidR="006B5F30">
        <w:rPr>
          <w:rFonts w:ascii="Arial" w:hAnsi="Arial" w:cs="Arial"/>
          <w:b/>
          <w:i/>
          <w:iCs/>
          <w:color w:val="595959" w:themeColor="text1" w:themeTint="A6"/>
          <w:sz w:val="24"/>
          <w:szCs w:val="24"/>
        </w:rPr>
        <w:t>b</w:t>
      </w:r>
      <w:r w:rsidRPr="006B5F30">
        <w:rPr>
          <w:rFonts w:ascii="Arial" w:hAnsi="Arial" w:cs="Arial"/>
          <w:b/>
          <w:i/>
          <w:iCs/>
          <w:color w:val="595959" w:themeColor="text1" w:themeTint="A6"/>
          <w:sz w:val="24"/>
          <w:szCs w:val="24"/>
        </w:rPr>
        <w:t xml:space="preserve">eneficial </w:t>
      </w:r>
      <w:r w:rsidR="006B5F30">
        <w:rPr>
          <w:rFonts w:ascii="Arial" w:hAnsi="Arial" w:cs="Arial"/>
          <w:b/>
          <w:i/>
          <w:iCs/>
          <w:color w:val="595959" w:themeColor="text1" w:themeTint="A6"/>
          <w:sz w:val="24"/>
          <w:szCs w:val="24"/>
        </w:rPr>
        <w:t>e</w:t>
      </w:r>
      <w:r w:rsidRPr="006B5F30">
        <w:rPr>
          <w:rFonts w:ascii="Arial" w:hAnsi="Arial" w:cs="Arial"/>
          <w:b/>
          <w:i/>
          <w:iCs/>
          <w:color w:val="595959" w:themeColor="text1" w:themeTint="A6"/>
          <w:sz w:val="24"/>
          <w:szCs w:val="24"/>
        </w:rPr>
        <w:t>nterprise based on an assigned salaries and allowances band</w:t>
      </w:r>
    </w:p>
    <w:p w14:paraId="3113A7EF" w14:textId="26BE11D6"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Another approach would be to set the eligibility threshold based on an assigned band. Banding is currently used by the Salaries and Allowances Tribunal (Tribunal) to set the remuneration of council members and local government C</w:t>
      </w:r>
      <w:r w:rsidR="006B5F30">
        <w:rPr>
          <w:rFonts w:ascii="Arial" w:hAnsi="Arial" w:cs="Arial"/>
          <w:sz w:val="24"/>
        </w:rPr>
        <w:t xml:space="preserve">hief </w:t>
      </w:r>
      <w:r w:rsidRPr="006B5F30">
        <w:rPr>
          <w:rFonts w:ascii="Arial" w:hAnsi="Arial" w:cs="Arial"/>
          <w:sz w:val="24"/>
        </w:rPr>
        <w:t>E</w:t>
      </w:r>
      <w:r w:rsidR="006B5F30">
        <w:rPr>
          <w:rFonts w:ascii="Arial" w:hAnsi="Arial" w:cs="Arial"/>
          <w:sz w:val="24"/>
        </w:rPr>
        <w:t xml:space="preserve">xecutive </w:t>
      </w:r>
      <w:r w:rsidRPr="006B5F30">
        <w:rPr>
          <w:rFonts w:ascii="Arial" w:hAnsi="Arial" w:cs="Arial"/>
          <w:sz w:val="24"/>
        </w:rPr>
        <w:t>O</w:t>
      </w:r>
      <w:r w:rsidR="006B5F30">
        <w:rPr>
          <w:rFonts w:ascii="Arial" w:hAnsi="Arial" w:cs="Arial"/>
          <w:sz w:val="24"/>
        </w:rPr>
        <w:t>fficer</w:t>
      </w:r>
      <w:r w:rsidRPr="006B5F30">
        <w:rPr>
          <w:rFonts w:ascii="Arial" w:hAnsi="Arial" w:cs="Arial"/>
          <w:sz w:val="24"/>
        </w:rPr>
        <w:t xml:space="preserve">s. Local governments are categorised into one of four bands based on a model that incorporates factors such as population, diversity of services, significant social, economic and environmental issues and expenditure.  </w:t>
      </w:r>
    </w:p>
    <w:p w14:paraId="5A1E4122" w14:textId="77777777"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 xml:space="preserve">Incorporating Tribunal bands could better reflect the diversity and varying capacity of local government. On the other hand, it could be argued that investment or financial risk is not aligned with the factors used by the Tribunal.  </w:t>
      </w:r>
    </w:p>
    <w:p w14:paraId="55B58FDD" w14:textId="691BAA91" w:rsidR="00235CFD" w:rsidRPr="006B5F30" w:rsidRDefault="48359B0B" w:rsidP="48359B0B">
      <w:pPr>
        <w:spacing w:after="120" w:line="276" w:lineRule="auto"/>
        <w:jc w:val="both"/>
        <w:rPr>
          <w:rFonts w:ascii="Arial" w:hAnsi="Arial" w:cs="Arial"/>
          <w:sz w:val="24"/>
        </w:rPr>
      </w:pPr>
      <w:r w:rsidRPr="006B5F30">
        <w:rPr>
          <w:rFonts w:ascii="Arial" w:hAnsi="Arial" w:cs="Arial"/>
          <w:sz w:val="24"/>
        </w:rPr>
        <w:t xml:space="preserve">Examples of which local governments fall into which band is </w:t>
      </w:r>
      <w:r w:rsidR="004F5644">
        <w:rPr>
          <w:rFonts w:ascii="Arial" w:hAnsi="Arial" w:cs="Arial"/>
          <w:sz w:val="24"/>
        </w:rPr>
        <w:t xml:space="preserve">provided </w:t>
      </w:r>
      <w:r w:rsidRPr="006B5F30">
        <w:rPr>
          <w:rFonts w:ascii="Arial" w:hAnsi="Arial" w:cs="Arial"/>
          <w:sz w:val="24"/>
        </w:rPr>
        <w:t xml:space="preserve">below: </w:t>
      </w:r>
    </w:p>
    <w:tbl>
      <w:tblPr>
        <w:tblStyle w:val="TableGrid"/>
        <w:tblW w:w="8931" w:type="dxa"/>
        <w:tblLayout w:type="fixed"/>
        <w:tblLook w:val="04A0" w:firstRow="1" w:lastRow="0" w:firstColumn="1" w:lastColumn="0" w:noHBand="0" w:noVBand="1"/>
      </w:tblPr>
      <w:tblGrid>
        <w:gridCol w:w="2263"/>
        <w:gridCol w:w="6668"/>
      </w:tblGrid>
      <w:tr w:rsidR="006E308A" w:rsidRPr="006E308A" w14:paraId="49A92162" w14:textId="77777777" w:rsidTr="00A47C02">
        <w:trPr>
          <w:cnfStyle w:val="100000000000" w:firstRow="1" w:lastRow="0" w:firstColumn="0" w:lastColumn="0" w:oddVBand="0" w:evenVBand="0" w:oddHBand="0" w:evenHBand="0" w:firstRowFirstColumn="0" w:firstRowLastColumn="0" w:lastRowFirstColumn="0" w:lastRowLastColumn="0"/>
          <w:trHeight w:val="796"/>
        </w:trPr>
        <w:tc>
          <w:tcPr>
            <w:tcW w:w="2263" w:type="dxa"/>
            <w:shd w:val="clear" w:color="auto" w:fill="C0311A"/>
          </w:tcPr>
          <w:p w14:paraId="315CFB4F" w14:textId="0D31E206" w:rsidR="00235CFD" w:rsidRPr="00A47C02" w:rsidRDefault="00A47C02" w:rsidP="48359B0B">
            <w:pPr>
              <w:spacing w:before="0" w:after="120" w:line="276" w:lineRule="auto"/>
              <w:rPr>
                <w:rFonts w:cs="Arial"/>
                <w:color w:val="FFFFFF" w:themeColor="background1"/>
              </w:rPr>
            </w:pPr>
            <w:bookmarkStart w:id="12" w:name="_Hlk521329001"/>
            <w:r>
              <w:rPr>
                <w:rFonts w:cs="Arial"/>
                <w:color w:val="FFFFFF" w:themeColor="background1"/>
              </w:rPr>
              <w:t>Tribunal b</w:t>
            </w:r>
            <w:r w:rsidR="48359B0B" w:rsidRPr="00A47C02">
              <w:rPr>
                <w:rFonts w:cs="Arial"/>
                <w:color w:val="FFFFFF" w:themeColor="background1"/>
              </w:rPr>
              <w:t>and</w:t>
            </w:r>
          </w:p>
        </w:tc>
        <w:tc>
          <w:tcPr>
            <w:tcW w:w="6668" w:type="dxa"/>
            <w:shd w:val="clear" w:color="auto" w:fill="C0311A"/>
          </w:tcPr>
          <w:p w14:paraId="5721E05D" w14:textId="3DA1AA46" w:rsidR="00235CFD" w:rsidRPr="00A47C02" w:rsidRDefault="00A47C02" w:rsidP="48359B0B">
            <w:pPr>
              <w:spacing w:before="0" w:after="120" w:line="276" w:lineRule="auto"/>
              <w:rPr>
                <w:rFonts w:cs="Arial"/>
                <w:color w:val="FFFFFF" w:themeColor="background1"/>
              </w:rPr>
            </w:pPr>
            <w:r>
              <w:rPr>
                <w:rFonts w:cs="Arial"/>
                <w:color w:val="FFFFFF" w:themeColor="background1"/>
              </w:rPr>
              <w:t>Example l</w:t>
            </w:r>
            <w:r w:rsidR="48359B0B" w:rsidRPr="00A47C02">
              <w:rPr>
                <w:rFonts w:cs="Arial"/>
                <w:color w:val="FFFFFF" w:themeColor="background1"/>
              </w:rPr>
              <w:t xml:space="preserve">ocal </w:t>
            </w:r>
            <w:r>
              <w:rPr>
                <w:rFonts w:cs="Arial"/>
                <w:color w:val="FFFFFF" w:themeColor="background1"/>
              </w:rPr>
              <w:t>g</w:t>
            </w:r>
            <w:r w:rsidR="48359B0B" w:rsidRPr="00A47C02">
              <w:rPr>
                <w:rFonts w:cs="Arial"/>
                <w:color w:val="FFFFFF" w:themeColor="background1"/>
              </w:rPr>
              <w:t>overnments</w:t>
            </w:r>
          </w:p>
        </w:tc>
      </w:tr>
      <w:tr w:rsidR="00235CFD" w:rsidRPr="009D5E96" w14:paraId="5315957F" w14:textId="77777777" w:rsidTr="00A47C02">
        <w:trPr>
          <w:trHeight w:val="481"/>
        </w:trPr>
        <w:tc>
          <w:tcPr>
            <w:tcW w:w="2263" w:type="dxa"/>
          </w:tcPr>
          <w:p w14:paraId="78727F05" w14:textId="77777777" w:rsidR="00235CFD" w:rsidRPr="00A47C02" w:rsidRDefault="48359B0B" w:rsidP="48359B0B">
            <w:pPr>
              <w:spacing w:before="0" w:after="120" w:line="276" w:lineRule="auto"/>
              <w:rPr>
                <w:rFonts w:cs="Arial"/>
              </w:rPr>
            </w:pPr>
            <w:r w:rsidRPr="00A47C02">
              <w:rPr>
                <w:rFonts w:cs="Arial"/>
              </w:rPr>
              <w:t>1</w:t>
            </w:r>
          </w:p>
        </w:tc>
        <w:tc>
          <w:tcPr>
            <w:tcW w:w="6668" w:type="dxa"/>
          </w:tcPr>
          <w:p w14:paraId="5B7FDB86" w14:textId="076720AC" w:rsidR="00235CFD" w:rsidRPr="00A47C02" w:rsidRDefault="48359B0B" w:rsidP="48359B0B">
            <w:pPr>
              <w:spacing w:before="0" w:after="120" w:line="276" w:lineRule="auto"/>
              <w:rPr>
                <w:rFonts w:cs="Arial"/>
              </w:rPr>
            </w:pPr>
            <w:r w:rsidRPr="00A47C02">
              <w:rPr>
                <w:rFonts w:cs="Arial"/>
              </w:rPr>
              <w:t xml:space="preserve">Bayswater, </w:t>
            </w:r>
            <w:r w:rsidR="004F5644" w:rsidRPr="00A47C02">
              <w:rPr>
                <w:rFonts w:cs="Arial"/>
              </w:rPr>
              <w:t>Bunbury, Gosnells, Kalgoorlie-</w:t>
            </w:r>
            <w:r w:rsidRPr="00A47C02">
              <w:rPr>
                <w:rFonts w:cs="Arial"/>
              </w:rPr>
              <w:t>Boulder, Port Hedland, Swan</w:t>
            </w:r>
            <w:r w:rsidR="004F5644" w:rsidRPr="00A47C02">
              <w:rPr>
                <w:rFonts w:cs="Arial"/>
              </w:rPr>
              <w:t>.</w:t>
            </w:r>
          </w:p>
        </w:tc>
      </w:tr>
      <w:tr w:rsidR="00235CFD" w:rsidRPr="009D5E96" w14:paraId="0FABD829" w14:textId="77777777" w:rsidTr="00A47C02">
        <w:trPr>
          <w:trHeight w:val="481"/>
        </w:trPr>
        <w:tc>
          <w:tcPr>
            <w:tcW w:w="2263" w:type="dxa"/>
          </w:tcPr>
          <w:p w14:paraId="7E14FF9A" w14:textId="77777777" w:rsidR="00235CFD" w:rsidRPr="00A47C02" w:rsidRDefault="48359B0B" w:rsidP="48359B0B">
            <w:pPr>
              <w:spacing w:before="0" w:after="120" w:line="276" w:lineRule="auto"/>
              <w:rPr>
                <w:rFonts w:cs="Arial"/>
              </w:rPr>
            </w:pPr>
            <w:r w:rsidRPr="00A47C02">
              <w:rPr>
                <w:rFonts w:cs="Arial"/>
              </w:rPr>
              <w:t>2</w:t>
            </w:r>
          </w:p>
        </w:tc>
        <w:tc>
          <w:tcPr>
            <w:tcW w:w="6668" w:type="dxa"/>
          </w:tcPr>
          <w:p w14:paraId="069EA851" w14:textId="0F7AE500" w:rsidR="00235CFD" w:rsidRPr="00A47C02" w:rsidRDefault="48359B0B" w:rsidP="48359B0B">
            <w:pPr>
              <w:spacing w:before="0" w:after="120" w:line="276" w:lineRule="auto"/>
              <w:rPr>
                <w:rFonts w:cs="Arial"/>
              </w:rPr>
            </w:pPr>
            <w:r w:rsidRPr="00A47C02">
              <w:rPr>
                <w:rFonts w:cs="Arial"/>
              </w:rPr>
              <w:t>Esperance, Harvey, Northam, Nedlands, Vincent, South Perth, Subiaco</w:t>
            </w:r>
            <w:r w:rsidR="004F5644" w:rsidRPr="00A47C02">
              <w:rPr>
                <w:rFonts w:cs="Arial"/>
              </w:rPr>
              <w:t>.</w:t>
            </w:r>
          </w:p>
        </w:tc>
      </w:tr>
      <w:tr w:rsidR="00235CFD" w:rsidRPr="009D5E96" w14:paraId="4E3DDBDD" w14:textId="77777777" w:rsidTr="00A47C02">
        <w:trPr>
          <w:trHeight w:val="481"/>
        </w:trPr>
        <w:tc>
          <w:tcPr>
            <w:tcW w:w="2263" w:type="dxa"/>
          </w:tcPr>
          <w:p w14:paraId="4E90613B" w14:textId="77777777" w:rsidR="00235CFD" w:rsidRPr="00A47C02" w:rsidRDefault="48359B0B" w:rsidP="48359B0B">
            <w:pPr>
              <w:spacing w:before="0" w:after="120" w:line="276" w:lineRule="auto"/>
              <w:rPr>
                <w:rFonts w:cs="Arial"/>
              </w:rPr>
            </w:pPr>
            <w:r w:rsidRPr="00A47C02">
              <w:rPr>
                <w:rFonts w:cs="Arial"/>
              </w:rPr>
              <w:t>3</w:t>
            </w:r>
          </w:p>
        </w:tc>
        <w:tc>
          <w:tcPr>
            <w:tcW w:w="6668" w:type="dxa"/>
          </w:tcPr>
          <w:p w14:paraId="13EEE117" w14:textId="6C30ACED" w:rsidR="00235CFD" w:rsidRPr="00A47C02" w:rsidRDefault="48359B0B" w:rsidP="48359B0B">
            <w:pPr>
              <w:spacing w:before="0" w:after="120" w:line="276" w:lineRule="auto"/>
              <w:rPr>
                <w:rFonts w:cs="Arial"/>
              </w:rPr>
            </w:pPr>
            <w:r w:rsidRPr="00A47C02">
              <w:rPr>
                <w:rFonts w:cs="Arial"/>
              </w:rPr>
              <w:t xml:space="preserve">Capel, Claremont, East Fremantle, Gingin, Ravensthorpe, </w:t>
            </w:r>
            <w:proofErr w:type="spellStart"/>
            <w:r w:rsidRPr="00A47C02">
              <w:rPr>
                <w:rFonts w:cs="Arial"/>
              </w:rPr>
              <w:t>Yilgarn</w:t>
            </w:r>
            <w:proofErr w:type="spellEnd"/>
            <w:r w:rsidR="004F5644" w:rsidRPr="00A47C02">
              <w:rPr>
                <w:rFonts w:cs="Arial"/>
              </w:rPr>
              <w:t>.</w:t>
            </w:r>
          </w:p>
        </w:tc>
      </w:tr>
      <w:tr w:rsidR="00235CFD" w:rsidRPr="009D5E96" w14:paraId="756EEEE6" w14:textId="77777777" w:rsidTr="00A47C02">
        <w:trPr>
          <w:trHeight w:val="481"/>
        </w:trPr>
        <w:tc>
          <w:tcPr>
            <w:tcW w:w="2263" w:type="dxa"/>
          </w:tcPr>
          <w:p w14:paraId="36288314" w14:textId="77777777" w:rsidR="00235CFD" w:rsidRPr="00A47C02" w:rsidRDefault="48359B0B" w:rsidP="48359B0B">
            <w:pPr>
              <w:spacing w:before="0" w:after="120" w:line="276" w:lineRule="auto"/>
              <w:rPr>
                <w:rFonts w:cs="Arial"/>
              </w:rPr>
            </w:pPr>
            <w:r w:rsidRPr="00A47C02">
              <w:rPr>
                <w:rFonts w:cs="Arial"/>
              </w:rPr>
              <w:t>4</w:t>
            </w:r>
          </w:p>
        </w:tc>
        <w:tc>
          <w:tcPr>
            <w:tcW w:w="6668" w:type="dxa"/>
          </w:tcPr>
          <w:p w14:paraId="4B396F48" w14:textId="68F61267" w:rsidR="00235CFD" w:rsidRPr="00A47C02" w:rsidRDefault="48359B0B" w:rsidP="48359B0B">
            <w:pPr>
              <w:spacing w:before="0" w:after="120" w:line="276" w:lineRule="auto"/>
              <w:rPr>
                <w:rFonts w:cs="Arial"/>
              </w:rPr>
            </w:pPr>
            <w:r w:rsidRPr="00A47C02">
              <w:rPr>
                <w:rFonts w:cs="Arial"/>
              </w:rPr>
              <w:t>Bruce Rock, Cue, Dundas, Peppermint Grove, Yalgoo, Westonia</w:t>
            </w:r>
            <w:r w:rsidR="004F5644" w:rsidRPr="00A47C02">
              <w:rPr>
                <w:rFonts w:cs="Arial"/>
              </w:rPr>
              <w:t>.</w:t>
            </w:r>
          </w:p>
        </w:tc>
      </w:tr>
      <w:bookmarkEnd w:id="12"/>
    </w:tbl>
    <w:p w14:paraId="3BCFF447" w14:textId="77777777" w:rsidR="00235CFD" w:rsidRPr="009D5E96" w:rsidRDefault="00235CFD" w:rsidP="00235CFD">
      <w:pPr>
        <w:spacing w:after="120" w:line="276" w:lineRule="auto"/>
        <w:rPr>
          <w:rFonts w:ascii="Arial" w:hAnsi="Arial" w:cs="Arial"/>
        </w:rPr>
      </w:pPr>
    </w:p>
    <w:p w14:paraId="33DB120C" w14:textId="6EC466E9" w:rsidR="00235CFD" w:rsidRPr="004F5644" w:rsidRDefault="004F5644" w:rsidP="48359B0B">
      <w:pPr>
        <w:spacing w:after="120" w:line="276" w:lineRule="auto"/>
        <w:jc w:val="both"/>
        <w:rPr>
          <w:rFonts w:ascii="Arial" w:hAnsi="Arial" w:cs="Arial"/>
          <w:b/>
          <w:i/>
          <w:iCs/>
          <w:color w:val="595959" w:themeColor="text1" w:themeTint="A6"/>
          <w:sz w:val="24"/>
          <w:szCs w:val="24"/>
        </w:rPr>
      </w:pPr>
      <w:r>
        <w:rPr>
          <w:rFonts w:ascii="Arial" w:hAnsi="Arial" w:cs="Arial"/>
          <w:b/>
          <w:i/>
          <w:iCs/>
          <w:color w:val="595959" w:themeColor="text1" w:themeTint="A6"/>
          <w:sz w:val="24"/>
          <w:szCs w:val="24"/>
        </w:rPr>
        <w:t>Ability to form a b</w:t>
      </w:r>
      <w:r w:rsidR="48359B0B" w:rsidRPr="004F5644">
        <w:rPr>
          <w:rFonts w:ascii="Arial" w:hAnsi="Arial" w:cs="Arial"/>
          <w:b/>
          <w:i/>
          <w:iCs/>
          <w:color w:val="595959" w:themeColor="text1" w:themeTint="A6"/>
          <w:sz w:val="24"/>
          <w:szCs w:val="24"/>
        </w:rPr>
        <w:t xml:space="preserve">eneficial </w:t>
      </w:r>
      <w:r>
        <w:rPr>
          <w:rFonts w:ascii="Arial" w:hAnsi="Arial" w:cs="Arial"/>
          <w:b/>
          <w:i/>
          <w:iCs/>
          <w:color w:val="595959" w:themeColor="text1" w:themeTint="A6"/>
          <w:sz w:val="24"/>
          <w:szCs w:val="24"/>
        </w:rPr>
        <w:t>e</w:t>
      </w:r>
      <w:r w:rsidR="48359B0B" w:rsidRPr="004F5644">
        <w:rPr>
          <w:rFonts w:ascii="Arial" w:hAnsi="Arial" w:cs="Arial"/>
          <w:b/>
          <w:i/>
          <w:iCs/>
          <w:color w:val="595959" w:themeColor="text1" w:themeTint="A6"/>
          <w:sz w:val="24"/>
          <w:szCs w:val="24"/>
        </w:rPr>
        <w:t xml:space="preserve">nterprise based on the Financial Health Indicator </w:t>
      </w:r>
    </w:p>
    <w:p w14:paraId="7650306C" w14:textId="77777777"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The Financial Health Indicator (FHI) is a measurement of a local government’s overall financial health. The FHI methodology was developed by the Western Australian Treasury Corporation (WATC) with input from financial professionals working in local governments across Western Australia.</w:t>
      </w:r>
    </w:p>
    <w:p w14:paraId="7D5E85CF" w14:textId="77777777"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The result is calculated from the seven financial ratios that local governments are required to report annually. The weighted average of the ratios is used to calculate the overall result.</w:t>
      </w:r>
    </w:p>
    <w:p w14:paraId="2E4049AA" w14:textId="77777777"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Local governments that perform better across the seven areas tend to have greater financial health. This method, while useful, can fluctuate significantly from year to year. If this approach was to be adopted an average over, for example five years, would need to be used.</w:t>
      </w:r>
    </w:p>
    <w:tbl>
      <w:tblPr>
        <w:tblStyle w:val="TableGrid"/>
        <w:tblW w:w="8931" w:type="dxa"/>
        <w:tblLayout w:type="fixed"/>
        <w:tblLook w:val="04A0" w:firstRow="1" w:lastRow="0" w:firstColumn="1" w:lastColumn="0" w:noHBand="0" w:noVBand="1"/>
      </w:tblPr>
      <w:tblGrid>
        <w:gridCol w:w="2263"/>
        <w:gridCol w:w="6668"/>
      </w:tblGrid>
      <w:tr w:rsidR="006E308A" w:rsidRPr="006E308A" w14:paraId="496D8B08" w14:textId="77777777" w:rsidTr="48359B0B">
        <w:trPr>
          <w:cnfStyle w:val="100000000000" w:firstRow="1" w:lastRow="0" w:firstColumn="0" w:lastColumn="0" w:oddVBand="0" w:evenVBand="0" w:oddHBand="0" w:evenHBand="0" w:firstRowFirstColumn="0" w:firstRowLastColumn="0" w:lastRowFirstColumn="0" w:lastRowLastColumn="0"/>
          <w:trHeight w:val="796"/>
        </w:trPr>
        <w:tc>
          <w:tcPr>
            <w:tcW w:w="2263" w:type="dxa"/>
            <w:shd w:val="clear" w:color="auto" w:fill="C0311A"/>
          </w:tcPr>
          <w:p w14:paraId="7356D526" w14:textId="085C5A69" w:rsidR="00235CFD" w:rsidRPr="00A47C02" w:rsidRDefault="48359B0B" w:rsidP="48359B0B">
            <w:pPr>
              <w:spacing w:before="0" w:after="120" w:line="276" w:lineRule="auto"/>
              <w:rPr>
                <w:rFonts w:cs="Arial"/>
                <w:color w:val="FFFFFF" w:themeColor="background1"/>
              </w:rPr>
            </w:pPr>
            <w:r w:rsidRPr="00A47C02">
              <w:rPr>
                <w:rFonts w:cs="Arial"/>
                <w:color w:val="FFFFFF" w:themeColor="background1"/>
              </w:rPr>
              <w:lastRenderedPageBreak/>
              <w:t>Current 5-year average FHI score</w:t>
            </w:r>
          </w:p>
        </w:tc>
        <w:tc>
          <w:tcPr>
            <w:tcW w:w="6668" w:type="dxa"/>
            <w:shd w:val="clear" w:color="auto" w:fill="C0311A"/>
          </w:tcPr>
          <w:p w14:paraId="653BFD33" w14:textId="77777777" w:rsidR="00235CFD" w:rsidRPr="00A47C02" w:rsidRDefault="48359B0B" w:rsidP="48359B0B">
            <w:pPr>
              <w:spacing w:before="0" w:after="120" w:line="276" w:lineRule="auto"/>
              <w:rPr>
                <w:rFonts w:cs="Arial"/>
                <w:color w:val="FFFFFF" w:themeColor="background1"/>
              </w:rPr>
            </w:pPr>
            <w:r w:rsidRPr="00A47C02">
              <w:rPr>
                <w:rFonts w:cs="Arial"/>
                <w:color w:val="FFFFFF" w:themeColor="background1"/>
              </w:rPr>
              <w:t>Example local governments</w:t>
            </w:r>
          </w:p>
        </w:tc>
      </w:tr>
      <w:tr w:rsidR="00235CFD" w:rsidRPr="009D5E96" w14:paraId="7A70D0F3" w14:textId="77777777" w:rsidTr="48359B0B">
        <w:trPr>
          <w:trHeight w:val="481"/>
        </w:trPr>
        <w:tc>
          <w:tcPr>
            <w:tcW w:w="2263" w:type="dxa"/>
          </w:tcPr>
          <w:p w14:paraId="0A7B9544" w14:textId="77777777" w:rsidR="00235CFD" w:rsidRPr="00A47C02" w:rsidRDefault="48359B0B" w:rsidP="48359B0B">
            <w:pPr>
              <w:spacing w:before="0" w:after="120" w:line="276" w:lineRule="auto"/>
              <w:rPr>
                <w:rFonts w:cs="Arial"/>
              </w:rPr>
            </w:pPr>
            <w:r w:rsidRPr="00A47C02">
              <w:rPr>
                <w:rFonts w:cs="Arial"/>
              </w:rPr>
              <w:t>90% +</w:t>
            </w:r>
          </w:p>
        </w:tc>
        <w:tc>
          <w:tcPr>
            <w:tcW w:w="6668" w:type="dxa"/>
          </w:tcPr>
          <w:p w14:paraId="4219FFA2" w14:textId="3F701BC5" w:rsidR="00235CFD" w:rsidRPr="00A47C02" w:rsidRDefault="48359B0B" w:rsidP="48359B0B">
            <w:pPr>
              <w:spacing w:before="0" w:after="120" w:line="276" w:lineRule="auto"/>
              <w:rPr>
                <w:rFonts w:cs="Arial"/>
              </w:rPr>
            </w:pPr>
            <w:r w:rsidRPr="00A47C02">
              <w:rPr>
                <w:rFonts w:cs="Arial"/>
              </w:rPr>
              <w:t>Belmont, Claremont, Cambridge, Karratha, Melville, Stirling, Swan</w:t>
            </w:r>
            <w:r w:rsidR="004F5644" w:rsidRPr="00A47C02">
              <w:rPr>
                <w:rFonts w:cs="Arial"/>
              </w:rPr>
              <w:t>.</w:t>
            </w:r>
          </w:p>
        </w:tc>
      </w:tr>
      <w:tr w:rsidR="00235CFD" w:rsidRPr="009D5E96" w14:paraId="31ECA9D2" w14:textId="77777777" w:rsidTr="48359B0B">
        <w:trPr>
          <w:trHeight w:val="481"/>
        </w:trPr>
        <w:tc>
          <w:tcPr>
            <w:tcW w:w="2263" w:type="dxa"/>
          </w:tcPr>
          <w:p w14:paraId="550CF815" w14:textId="77777777" w:rsidR="00235CFD" w:rsidRPr="00A47C02" w:rsidRDefault="48359B0B" w:rsidP="48359B0B">
            <w:pPr>
              <w:spacing w:before="0" w:after="120" w:line="276" w:lineRule="auto"/>
              <w:rPr>
                <w:rFonts w:cs="Arial"/>
              </w:rPr>
            </w:pPr>
            <w:r w:rsidRPr="00A47C02">
              <w:rPr>
                <w:rFonts w:cs="Arial"/>
              </w:rPr>
              <w:t>80 – 89%</w:t>
            </w:r>
          </w:p>
        </w:tc>
        <w:tc>
          <w:tcPr>
            <w:tcW w:w="6668" w:type="dxa"/>
          </w:tcPr>
          <w:p w14:paraId="6D961691" w14:textId="5A61613D" w:rsidR="00235CFD" w:rsidRPr="00A47C02" w:rsidRDefault="48359B0B" w:rsidP="48359B0B">
            <w:pPr>
              <w:spacing w:before="0" w:after="120" w:line="276" w:lineRule="auto"/>
              <w:rPr>
                <w:rFonts w:cs="Arial"/>
              </w:rPr>
            </w:pPr>
            <w:r w:rsidRPr="00A47C02">
              <w:rPr>
                <w:rFonts w:cs="Arial"/>
              </w:rPr>
              <w:t>Bayswater, Harvey, Kent, South Perth, Victoria Park, Wyalkatchem</w:t>
            </w:r>
            <w:r w:rsidR="004F5644" w:rsidRPr="00A47C02">
              <w:rPr>
                <w:rFonts w:cs="Arial"/>
              </w:rPr>
              <w:t>.</w:t>
            </w:r>
          </w:p>
        </w:tc>
      </w:tr>
      <w:tr w:rsidR="00235CFD" w:rsidRPr="009D5E96" w14:paraId="73517B04" w14:textId="77777777" w:rsidTr="48359B0B">
        <w:trPr>
          <w:trHeight w:val="481"/>
        </w:trPr>
        <w:tc>
          <w:tcPr>
            <w:tcW w:w="2263" w:type="dxa"/>
          </w:tcPr>
          <w:p w14:paraId="5F3B9B8E" w14:textId="77777777" w:rsidR="00235CFD" w:rsidRPr="00A47C02" w:rsidRDefault="48359B0B" w:rsidP="48359B0B">
            <w:pPr>
              <w:spacing w:before="0" w:after="120" w:line="276" w:lineRule="auto"/>
              <w:rPr>
                <w:rFonts w:cs="Arial"/>
              </w:rPr>
            </w:pPr>
            <w:r w:rsidRPr="00A47C02">
              <w:rPr>
                <w:rFonts w:cs="Arial"/>
              </w:rPr>
              <w:t>70 – 79%</w:t>
            </w:r>
          </w:p>
        </w:tc>
        <w:tc>
          <w:tcPr>
            <w:tcW w:w="6668" w:type="dxa"/>
          </w:tcPr>
          <w:p w14:paraId="0CCB6E41" w14:textId="0ACF372C" w:rsidR="00235CFD" w:rsidRPr="00A47C02" w:rsidRDefault="48359B0B" w:rsidP="48359B0B">
            <w:pPr>
              <w:spacing w:before="0" w:after="120" w:line="276" w:lineRule="auto"/>
              <w:rPr>
                <w:rFonts w:cs="Arial"/>
              </w:rPr>
            </w:pPr>
            <w:r w:rsidRPr="00A47C02">
              <w:rPr>
                <w:rFonts w:cs="Arial"/>
              </w:rPr>
              <w:t>Cottesloe, East Fremantle, East Pilbara, Gingin, Katanning, Perth</w:t>
            </w:r>
            <w:r w:rsidR="004F5644" w:rsidRPr="00A47C02">
              <w:rPr>
                <w:rFonts w:cs="Arial"/>
              </w:rPr>
              <w:t>.</w:t>
            </w:r>
          </w:p>
        </w:tc>
      </w:tr>
      <w:tr w:rsidR="00235CFD" w:rsidRPr="009D5E96" w14:paraId="288E8CFD" w14:textId="77777777" w:rsidTr="48359B0B">
        <w:trPr>
          <w:trHeight w:val="481"/>
        </w:trPr>
        <w:tc>
          <w:tcPr>
            <w:tcW w:w="2263" w:type="dxa"/>
          </w:tcPr>
          <w:p w14:paraId="17E94CA1" w14:textId="77777777" w:rsidR="00235CFD" w:rsidRPr="00A47C02" w:rsidRDefault="48359B0B" w:rsidP="48359B0B">
            <w:pPr>
              <w:spacing w:before="0" w:after="120" w:line="276" w:lineRule="auto"/>
              <w:rPr>
                <w:rFonts w:cs="Arial"/>
              </w:rPr>
            </w:pPr>
            <w:r w:rsidRPr="00A47C02">
              <w:rPr>
                <w:rFonts w:cs="Arial"/>
              </w:rPr>
              <w:t>60 – 69%</w:t>
            </w:r>
          </w:p>
        </w:tc>
        <w:tc>
          <w:tcPr>
            <w:tcW w:w="6668" w:type="dxa"/>
          </w:tcPr>
          <w:p w14:paraId="6C2D7FD9" w14:textId="2E8A7D37" w:rsidR="00235CFD" w:rsidRPr="00A47C02" w:rsidRDefault="48359B0B" w:rsidP="48359B0B">
            <w:pPr>
              <w:spacing w:before="0" w:after="120" w:line="276" w:lineRule="auto"/>
              <w:rPr>
                <w:rFonts w:cs="Arial"/>
              </w:rPr>
            </w:pPr>
            <w:r w:rsidRPr="00A47C02">
              <w:rPr>
                <w:rFonts w:cs="Arial"/>
              </w:rPr>
              <w:t>Collie, Fremantle, Gosnells, Peppermint Grove, Vincent, Westonia</w:t>
            </w:r>
            <w:r w:rsidR="004F5644" w:rsidRPr="00A47C02">
              <w:rPr>
                <w:rFonts w:cs="Arial"/>
              </w:rPr>
              <w:t>.</w:t>
            </w:r>
          </w:p>
        </w:tc>
      </w:tr>
    </w:tbl>
    <w:p w14:paraId="7FC381C6" w14:textId="77777777" w:rsidR="004F5644" w:rsidRDefault="004F5644" w:rsidP="48359B0B">
      <w:pPr>
        <w:spacing w:after="120" w:line="276" w:lineRule="auto"/>
        <w:jc w:val="both"/>
        <w:rPr>
          <w:rFonts w:ascii="Arial" w:hAnsi="Arial" w:cs="Arial"/>
          <w:b/>
          <w:i/>
          <w:iCs/>
          <w:color w:val="595959" w:themeColor="text1" w:themeTint="A6"/>
          <w:sz w:val="24"/>
          <w:szCs w:val="24"/>
        </w:rPr>
      </w:pPr>
    </w:p>
    <w:p w14:paraId="0A568E28" w14:textId="321AC15C" w:rsidR="00235CFD" w:rsidRPr="004F5644" w:rsidRDefault="004F5644" w:rsidP="48359B0B">
      <w:pPr>
        <w:spacing w:after="120" w:line="276" w:lineRule="auto"/>
        <w:jc w:val="both"/>
        <w:rPr>
          <w:rFonts w:ascii="Arial" w:hAnsi="Arial" w:cs="Arial"/>
          <w:b/>
          <w:i/>
          <w:iCs/>
          <w:color w:val="595959" w:themeColor="text1" w:themeTint="A6"/>
          <w:sz w:val="24"/>
          <w:szCs w:val="24"/>
        </w:rPr>
      </w:pPr>
      <w:r>
        <w:rPr>
          <w:rFonts w:ascii="Arial" w:hAnsi="Arial" w:cs="Arial"/>
          <w:b/>
          <w:i/>
          <w:iCs/>
          <w:color w:val="595959" w:themeColor="text1" w:themeTint="A6"/>
          <w:sz w:val="24"/>
          <w:szCs w:val="24"/>
        </w:rPr>
        <w:t>Ability to form a b</w:t>
      </w:r>
      <w:r w:rsidR="48359B0B" w:rsidRPr="004F5644">
        <w:rPr>
          <w:rFonts w:ascii="Arial" w:hAnsi="Arial" w:cs="Arial"/>
          <w:b/>
          <w:i/>
          <w:iCs/>
          <w:color w:val="595959" w:themeColor="text1" w:themeTint="A6"/>
          <w:sz w:val="24"/>
          <w:szCs w:val="24"/>
        </w:rPr>
        <w:t xml:space="preserve">eneficial </w:t>
      </w:r>
      <w:r>
        <w:rPr>
          <w:rFonts w:ascii="Arial" w:hAnsi="Arial" w:cs="Arial"/>
          <w:b/>
          <w:i/>
          <w:iCs/>
          <w:color w:val="595959" w:themeColor="text1" w:themeTint="A6"/>
          <w:sz w:val="24"/>
          <w:szCs w:val="24"/>
        </w:rPr>
        <w:t>e</w:t>
      </w:r>
      <w:r w:rsidR="48359B0B" w:rsidRPr="004F5644">
        <w:rPr>
          <w:rFonts w:ascii="Arial" w:hAnsi="Arial" w:cs="Arial"/>
          <w:b/>
          <w:i/>
          <w:iCs/>
          <w:color w:val="595959" w:themeColor="text1" w:themeTint="A6"/>
          <w:sz w:val="24"/>
          <w:szCs w:val="24"/>
        </w:rPr>
        <w:t xml:space="preserve">nterprise based on risk assessment </w:t>
      </w:r>
    </w:p>
    <w:p w14:paraId="35984682" w14:textId="7E745953"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Assigning a local government’s ability to form a beneficial enterprise according to risk may present a m</w:t>
      </w:r>
      <w:r w:rsidR="004F5644">
        <w:rPr>
          <w:rFonts w:ascii="Arial" w:hAnsi="Arial" w:cs="Arial"/>
          <w:sz w:val="24"/>
        </w:rPr>
        <w:t>eans to reward good governance.</w:t>
      </w:r>
      <w:r w:rsidRPr="004F5644">
        <w:rPr>
          <w:rFonts w:ascii="Arial" w:hAnsi="Arial" w:cs="Arial"/>
          <w:sz w:val="24"/>
        </w:rPr>
        <w:t xml:space="preserve"> Currently, local governments are assigned a risk category by the Department annually based on their financial performance and general governance. By expanding and diversifying the factors </w:t>
      </w:r>
      <w:proofErr w:type="gramStart"/>
      <w:r w:rsidRPr="004F5644">
        <w:rPr>
          <w:rFonts w:ascii="Arial" w:hAnsi="Arial" w:cs="Arial"/>
          <w:sz w:val="24"/>
        </w:rPr>
        <w:t>taken into account</w:t>
      </w:r>
      <w:proofErr w:type="gramEnd"/>
      <w:r w:rsidRPr="004F5644">
        <w:rPr>
          <w:rFonts w:ascii="Arial" w:hAnsi="Arial" w:cs="Arial"/>
          <w:sz w:val="24"/>
        </w:rPr>
        <w:t>, it may be possible to scale the ability to form a beneficial enterprise to meet the diverse capacity of local government. This method, known as graduated compliance, would be the most sophisticated of the tiered approaches but would also be the most complex to administer and could result in substantial changes year over year.</w:t>
      </w:r>
    </w:p>
    <w:tbl>
      <w:tblPr>
        <w:tblStyle w:val="TableGrid"/>
        <w:tblW w:w="8931" w:type="dxa"/>
        <w:tblLayout w:type="fixed"/>
        <w:tblLook w:val="04A0" w:firstRow="1" w:lastRow="0" w:firstColumn="1" w:lastColumn="0" w:noHBand="0" w:noVBand="1"/>
      </w:tblPr>
      <w:tblGrid>
        <w:gridCol w:w="2263"/>
        <w:gridCol w:w="6668"/>
      </w:tblGrid>
      <w:tr w:rsidR="006E308A" w:rsidRPr="006E308A" w14:paraId="0A17EF96" w14:textId="77777777" w:rsidTr="48359B0B">
        <w:trPr>
          <w:cnfStyle w:val="100000000000" w:firstRow="1" w:lastRow="0" w:firstColumn="0" w:lastColumn="0" w:oddVBand="0" w:evenVBand="0" w:oddHBand="0" w:evenHBand="0" w:firstRowFirstColumn="0" w:firstRowLastColumn="0" w:lastRowFirstColumn="0" w:lastRowLastColumn="0"/>
          <w:trHeight w:val="796"/>
        </w:trPr>
        <w:tc>
          <w:tcPr>
            <w:tcW w:w="2263" w:type="dxa"/>
            <w:shd w:val="clear" w:color="auto" w:fill="C0311A"/>
          </w:tcPr>
          <w:p w14:paraId="2DD5C8FD" w14:textId="5B777C59" w:rsidR="00235CFD" w:rsidRPr="00A47C02" w:rsidRDefault="00A47C02" w:rsidP="48359B0B">
            <w:pPr>
              <w:spacing w:before="0" w:after="120" w:line="276" w:lineRule="auto"/>
              <w:rPr>
                <w:rFonts w:cs="Arial"/>
                <w:color w:val="FFFFFF" w:themeColor="background1"/>
              </w:rPr>
            </w:pPr>
            <w:r>
              <w:rPr>
                <w:rFonts w:cs="Arial"/>
                <w:color w:val="FFFFFF" w:themeColor="background1"/>
              </w:rPr>
              <w:t>2018 R</w:t>
            </w:r>
            <w:r w:rsidR="48359B0B" w:rsidRPr="00A47C02">
              <w:rPr>
                <w:rFonts w:cs="Arial"/>
                <w:color w:val="FFFFFF" w:themeColor="background1"/>
              </w:rPr>
              <w:t>isk score</w:t>
            </w:r>
          </w:p>
        </w:tc>
        <w:tc>
          <w:tcPr>
            <w:tcW w:w="6668" w:type="dxa"/>
            <w:shd w:val="clear" w:color="auto" w:fill="C0311A"/>
          </w:tcPr>
          <w:p w14:paraId="7D8C4AA1" w14:textId="77777777" w:rsidR="00235CFD" w:rsidRPr="00A47C02" w:rsidRDefault="48359B0B" w:rsidP="48359B0B">
            <w:pPr>
              <w:spacing w:before="0" w:after="120" w:line="276" w:lineRule="auto"/>
              <w:rPr>
                <w:rFonts w:cs="Arial"/>
                <w:color w:val="FFFFFF" w:themeColor="background1"/>
              </w:rPr>
            </w:pPr>
            <w:r w:rsidRPr="00A47C02">
              <w:rPr>
                <w:rFonts w:cs="Arial"/>
                <w:color w:val="FFFFFF" w:themeColor="background1"/>
              </w:rPr>
              <w:t>Example local governments</w:t>
            </w:r>
          </w:p>
        </w:tc>
      </w:tr>
      <w:tr w:rsidR="00235CFD" w:rsidRPr="009D5E96" w14:paraId="059EAD5B" w14:textId="77777777" w:rsidTr="48359B0B">
        <w:trPr>
          <w:trHeight w:val="481"/>
        </w:trPr>
        <w:tc>
          <w:tcPr>
            <w:tcW w:w="2263" w:type="dxa"/>
          </w:tcPr>
          <w:p w14:paraId="534F12F3" w14:textId="77777777" w:rsidR="00235CFD" w:rsidRPr="00A47C02" w:rsidRDefault="48359B0B" w:rsidP="48359B0B">
            <w:pPr>
              <w:spacing w:before="0" w:after="120" w:line="276" w:lineRule="auto"/>
              <w:rPr>
                <w:rFonts w:cs="Arial"/>
              </w:rPr>
            </w:pPr>
            <w:r w:rsidRPr="00A47C02">
              <w:rPr>
                <w:rFonts w:cs="Arial"/>
              </w:rPr>
              <w:t>High</w:t>
            </w:r>
          </w:p>
        </w:tc>
        <w:tc>
          <w:tcPr>
            <w:tcW w:w="6668" w:type="dxa"/>
          </w:tcPr>
          <w:p w14:paraId="1B96DCBB" w14:textId="40DA6036" w:rsidR="00235CFD" w:rsidRPr="00A47C02" w:rsidRDefault="48359B0B" w:rsidP="48359B0B">
            <w:pPr>
              <w:spacing w:before="0" w:after="120" w:line="276" w:lineRule="auto"/>
              <w:rPr>
                <w:rFonts w:cs="Arial"/>
              </w:rPr>
            </w:pPr>
            <w:r w:rsidRPr="00A47C02">
              <w:rPr>
                <w:rFonts w:cs="Arial"/>
              </w:rPr>
              <w:t xml:space="preserve">Carnarvon, Coolgardie, Halls Creek, Perth, Wiluna, </w:t>
            </w:r>
            <w:proofErr w:type="spellStart"/>
            <w:r w:rsidRPr="00A47C02">
              <w:rPr>
                <w:rFonts w:cs="Arial"/>
              </w:rPr>
              <w:t>Yilgarn</w:t>
            </w:r>
            <w:proofErr w:type="spellEnd"/>
            <w:r w:rsidR="004F5644" w:rsidRPr="00A47C02">
              <w:rPr>
                <w:rFonts w:cs="Arial"/>
              </w:rPr>
              <w:t>.</w:t>
            </w:r>
          </w:p>
        </w:tc>
      </w:tr>
      <w:tr w:rsidR="00235CFD" w:rsidRPr="009D5E96" w14:paraId="02A4B426" w14:textId="77777777" w:rsidTr="48359B0B">
        <w:trPr>
          <w:trHeight w:val="481"/>
        </w:trPr>
        <w:tc>
          <w:tcPr>
            <w:tcW w:w="2263" w:type="dxa"/>
          </w:tcPr>
          <w:p w14:paraId="336D311C" w14:textId="77777777" w:rsidR="00235CFD" w:rsidRPr="00A47C02" w:rsidRDefault="48359B0B" w:rsidP="48359B0B">
            <w:pPr>
              <w:spacing w:before="0" w:after="120" w:line="276" w:lineRule="auto"/>
              <w:rPr>
                <w:rFonts w:cs="Arial"/>
              </w:rPr>
            </w:pPr>
            <w:r w:rsidRPr="00A47C02">
              <w:rPr>
                <w:rFonts w:cs="Arial"/>
              </w:rPr>
              <w:t>Medium to high</w:t>
            </w:r>
          </w:p>
        </w:tc>
        <w:tc>
          <w:tcPr>
            <w:tcW w:w="6668" w:type="dxa"/>
          </w:tcPr>
          <w:p w14:paraId="7F01C9B9" w14:textId="3F9CC227" w:rsidR="00235CFD" w:rsidRPr="00A47C02" w:rsidRDefault="48359B0B" w:rsidP="48359B0B">
            <w:pPr>
              <w:spacing w:before="0" w:after="120" w:line="276" w:lineRule="auto"/>
              <w:rPr>
                <w:rFonts w:cs="Arial"/>
              </w:rPr>
            </w:pPr>
            <w:r w:rsidRPr="00A47C02">
              <w:rPr>
                <w:rFonts w:cs="Arial"/>
              </w:rPr>
              <w:t>Beverley, Cunderdin, Exmouth, Katanning, Mukinbudin, Shark Bay</w:t>
            </w:r>
            <w:r w:rsidR="004F5644" w:rsidRPr="00A47C02">
              <w:rPr>
                <w:rFonts w:cs="Arial"/>
              </w:rPr>
              <w:t>.</w:t>
            </w:r>
          </w:p>
        </w:tc>
      </w:tr>
      <w:tr w:rsidR="00235CFD" w:rsidRPr="009D5E96" w14:paraId="0D67FAA6" w14:textId="77777777" w:rsidTr="48359B0B">
        <w:trPr>
          <w:trHeight w:val="481"/>
        </w:trPr>
        <w:tc>
          <w:tcPr>
            <w:tcW w:w="2263" w:type="dxa"/>
          </w:tcPr>
          <w:p w14:paraId="039FC5B0" w14:textId="77777777" w:rsidR="00235CFD" w:rsidRPr="00A47C02" w:rsidRDefault="48359B0B" w:rsidP="48359B0B">
            <w:pPr>
              <w:spacing w:before="0" w:after="120" w:line="276" w:lineRule="auto"/>
              <w:rPr>
                <w:rFonts w:cs="Arial"/>
              </w:rPr>
            </w:pPr>
            <w:r w:rsidRPr="00A47C02">
              <w:rPr>
                <w:rFonts w:cs="Arial"/>
              </w:rPr>
              <w:t>Low to medium</w:t>
            </w:r>
          </w:p>
        </w:tc>
        <w:tc>
          <w:tcPr>
            <w:tcW w:w="6668" w:type="dxa"/>
          </w:tcPr>
          <w:p w14:paraId="236FA70A" w14:textId="63D0A496" w:rsidR="00235CFD" w:rsidRPr="00A47C02" w:rsidRDefault="48359B0B" w:rsidP="48359B0B">
            <w:pPr>
              <w:spacing w:before="0" w:after="120" w:line="276" w:lineRule="auto"/>
              <w:rPr>
                <w:rFonts w:cs="Arial"/>
              </w:rPr>
            </w:pPr>
            <w:r w:rsidRPr="00A47C02">
              <w:rPr>
                <w:rFonts w:cs="Arial"/>
              </w:rPr>
              <w:t>Boddington, Gingin, Joondalup, Kent, Mandurah, Vincent</w:t>
            </w:r>
            <w:r w:rsidR="004F5644" w:rsidRPr="00A47C02">
              <w:rPr>
                <w:rFonts w:cs="Arial"/>
              </w:rPr>
              <w:t>.</w:t>
            </w:r>
          </w:p>
        </w:tc>
      </w:tr>
      <w:tr w:rsidR="00235CFD" w:rsidRPr="009D5E96" w14:paraId="45C112A6" w14:textId="77777777" w:rsidTr="48359B0B">
        <w:trPr>
          <w:trHeight w:val="481"/>
        </w:trPr>
        <w:tc>
          <w:tcPr>
            <w:tcW w:w="2263" w:type="dxa"/>
          </w:tcPr>
          <w:p w14:paraId="69077C98" w14:textId="77777777" w:rsidR="00235CFD" w:rsidRPr="00A47C02" w:rsidRDefault="48359B0B" w:rsidP="48359B0B">
            <w:pPr>
              <w:spacing w:before="0" w:after="120" w:line="276" w:lineRule="auto"/>
              <w:rPr>
                <w:rFonts w:cs="Arial"/>
              </w:rPr>
            </w:pPr>
            <w:r w:rsidRPr="00A47C02">
              <w:rPr>
                <w:rFonts w:cs="Arial"/>
              </w:rPr>
              <w:t xml:space="preserve">Low </w:t>
            </w:r>
          </w:p>
        </w:tc>
        <w:tc>
          <w:tcPr>
            <w:tcW w:w="6668" w:type="dxa"/>
          </w:tcPr>
          <w:p w14:paraId="5F43C3F2" w14:textId="5F447C10" w:rsidR="00235CFD" w:rsidRPr="00A47C02" w:rsidRDefault="48359B0B" w:rsidP="48359B0B">
            <w:pPr>
              <w:spacing w:before="0" w:after="120" w:line="276" w:lineRule="auto"/>
              <w:rPr>
                <w:rFonts w:cs="Arial"/>
              </w:rPr>
            </w:pPr>
            <w:r w:rsidRPr="00A47C02">
              <w:rPr>
                <w:rFonts w:cs="Arial"/>
              </w:rPr>
              <w:t>Bu</w:t>
            </w:r>
            <w:r w:rsidR="004964E3" w:rsidRPr="00A47C02">
              <w:rPr>
                <w:rFonts w:cs="Arial"/>
              </w:rPr>
              <w:t>nbury, Dalwallinu, Kalgoorlie-</w:t>
            </w:r>
            <w:r w:rsidRPr="00A47C02">
              <w:rPr>
                <w:rFonts w:cs="Arial"/>
              </w:rPr>
              <w:t>Boulder, Peppermint Grove, Swan</w:t>
            </w:r>
            <w:r w:rsidR="004F5644" w:rsidRPr="00A47C02">
              <w:rPr>
                <w:rFonts w:cs="Arial"/>
              </w:rPr>
              <w:t>.</w:t>
            </w:r>
          </w:p>
        </w:tc>
      </w:tr>
    </w:tbl>
    <w:p w14:paraId="1AF54E30" w14:textId="77777777" w:rsidR="00235CFD" w:rsidRPr="009D5E96" w:rsidRDefault="00235CFD" w:rsidP="00235CFD">
      <w:pPr>
        <w:spacing w:after="120" w:line="276" w:lineRule="auto"/>
        <w:jc w:val="both"/>
        <w:rPr>
          <w:rFonts w:ascii="Arial" w:hAnsi="Arial" w:cs="Arial"/>
          <w:i/>
        </w:rPr>
      </w:pPr>
    </w:p>
    <w:p w14:paraId="200F2C14" w14:textId="77777777" w:rsidR="00A47C02" w:rsidRDefault="00A47C02" w:rsidP="48359B0B">
      <w:pPr>
        <w:spacing w:after="120" w:line="276" w:lineRule="auto"/>
        <w:jc w:val="both"/>
        <w:rPr>
          <w:rFonts w:ascii="Arial" w:hAnsi="Arial" w:cs="Arial"/>
          <w:b/>
          <w:i/>
          <w:iCs/>
          <w:color w:val="595959" w:themeColor="text1" w:themeTint="A6"/>
          <w:sz w:val="24"/>
          <w:szCs w:val="24"/>
        </w:rPr>
      </w:pPr>
    </w:p>
    <w:p w14:paraId="2EBB7B51" w14:textId="77777777" w:rsidR="00A47C02" w:rsidRDefault="00A47C02" w:rsidP="48359B0B">
      <w:pPr>
        <w:spacing w:after="120" w:line="276" w:lineRule="auto"/>
        <w:jc w:val="both"/>
        <w:rPr>
          <w:rFonts w:ascii="Arial" w:hAnsi="Arial" w:cs="Arial"/>
          <w:b/>
          <w:i/>
          <w:iCs/>
          <w:color w:val="595959" w:themeColor="text1" w:themeTint="A6"/>
          <w:sz w:val="24"/>
          <w:szCs w:val="24"/>
        </w:rPr>
      </w:pPr>
    </w:p>
    <w:p w14:paraId="3BAEA529" w14:textId="77777777" w:rsidR="00A47C02" w:rsidRDefault="00A47C02" w:rsidP="48359B0B">
      <w:pPr>
        <w:spacing w:after="120" w:line="276" w:lineRule="auto"/>
        <w:jc w:val="both"/>
        <w:rPr>
          <w:rFonts w:ascii="Arial" w:hAnsi="Arial" w:cs="Arial"/>
          <w:b/>
          <w:i/>
          <w:iCs/>
          <w:color w:val="595959" w:themeColor="text1" w:themeTint="A6"/>
          <w:sz w:val="24"/>
          <w:szCs w:val="24"/>
        </w:rPr>
      </w:pPr>
    </w:p>
    <w:p w14:paraId="4FC53FC8" w14:textId="536A9A4F" w:rsidR="00235CFD" w:rsidRPr="004F5644" w:rsidRDefault="48359B0B" w:rsidP="48359B0B">
      <w:pPr>
        <w:spacing w:after="120" w:line="276" w:lineRule="auto"/>
        <w:jc w:val="both"/>
        <w:rPr>
          <w:rFonts w:ascii="Arial" w:hAnsi="Arial" w:cs="Arial"/>
          <w:b/>
          <w:i/>
          <w:iCs/>
          <w:color w:val="595959" w:themeColor="text1" w:themeTint="A6"/>
          <w:sz w:val="24"/>
          <w:szCs w:val="24"/>
        </w:rPr>
      </w:pPr>
      <w:r w:rsidRPr="004F5644">
        <w:rPr>
          <w:rFonts w:ascii="Arial" w:hAnsi="Arial" w:cs="Arial"/>
          <w:b/>
          <w:i/>
          <w:iCs/>
          <w:color w:val="595959" w:themeColor="text1" w:themeTint="A6"/>
          <w:sz w:val="24"/>
          <w:szCs w:val="24"/>
        </w:rPr>
        <w:lastRenderedPageBreak/>
        <w:t xml:space="preserve">Ability to form a </w:t>
      </w:r>
      <w:r w:rsidR="004F5644">
        <w:rPr>
          <w:rFonts w:ascii="Arial" w:hAnsi="Arial" w:cs="Arial"/>
          <w:b/>
          <w:i/>
          <w:iCs/>
          <w:color w:val="595959" w:themeColor="text1" w:themeTint="A6"/>
          <w:sz w:val="24"/>
          <w:szCs w:val="24"/>
        </w:rPr>
        <w:t>b</w:t>
      </w:r>
      <w:r w:rsidRPr="004F5644">
        <w:rPr>
          <w:rFonts w:ascii="Arial" w:hAnsi="Arial" w:cs="Arial"/>
          <w:b/>
          <w:i/>
          <w:iCs/>
          <w:color w:val="595959" w:themeColor="text1" w:themeTint="A6"/>
          <w:sz w:val="24"/>
          <w:szCs w:val="24"/>
        </w:rPr>
        <w:t xml:space="preserve">eneficial </w:t>
      </w:r>
      <w:r w:rsidR="004F5644">
        <w:rPr>
          <w:rFonts w:ascii="Arial" w:hAnsi="Arial" w:cs="Arial"/>
          <w:b/>
          <w:i/>
          <w:iCs/>
          <w:color w:val="595959" w:themeColor="text1" w:themeTint="A6"/>
          <w:sz w:val="24"/>
          <w:szCs w:val="24"/>
        </w:rPr>
        <w:t>e</w:t>
      </w:r>
      <w:r w:rsidRPr="004F5644">
        <w:rPr>
          <w:rFonts w:ascii="Arial" w:hAnsi="Arial" w:cs="Arial"/>
          <w:b/>
          <w:i/>
          <w:iCs/>
          <w:color w:val="595959" w:themeColor="text1" w:themeTint="A6"/>
          <w:sz w:val="24"/>
          <w:szCs w:val="24"/>
        </w:rPr>
        <w:t>nterprise based on local government expenditure</w:t>
      </w:r>
    </w:p>
    <w:p w14:paraId="5D2CCC46" w14:textId="77777777"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An alternate methodology would be to provide all local governments with the ability to form a beneficial enterprise but to place a cap on the amount of money the local government could invest based on their annual average expenditure.</w:t>
      </w:r>
    </w:p>
    <w:p w14:paraId="1AA5737F" w14:textId="77777777"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Under this approach, local governments would only be able to form a beneficial enterprise if the investment was less than a set percentage of that local government’s average annual operating expenditure over a set number of years up to a maximum amount.</w:t>
      </w:r>
    </w:p>
    <w:tbl>
      <w:tblPr>
        <w:tblStyle w:val="TableGrid"/>
        <w:tblW w:w="9356" w:type="dxa"/>
        <w:tblInd w:w="-147" w:type="dxa"/>
        <w:shd w:val="clear" w:color="auto" w:fill="C0311A"/>
        <w:tblLook w:val="04A0" w:firstRow="1" w:lastRow="0" w:firstColumn="1" w:lastColumn="0" w:noHBand="0" w:noVBand="1"/>
      </w:tblPr>
      <w:tblGrid>
        <w:gridCol w:w="9356"/>
      </w:tblGrid>
      <w:tr w:rsidR="006E308A" w:rsidRPr="006E308A" w14:paraId="28C3F3D6" w14:textId="77777777" w:rsidTr="004F5644">
        <w:trPr>
          <w:cnfStyle w:val="100000000000" w:firstRow="1" w:lastRow="0" w:firstColumn="0" w:lastColumn="0" w:oddVBand="0" w:evenVBand="0" w:oddHBand="0" w:evenHBand="0" w:firstRowFirstColumn="0" w:firstRowLastColumn="0" w:lastRowFirstColumn="0" w:lastRowLastColumn="0"/>
        </w:trPr>
        <w:tc>
          <w:tcPr>
            <w:tcW w:w="9356" w:type="dxa"/>
            <w:shd w:val="clear" w:color="auto" w:fill="C0311A"/>
          </w:tcPr>
          <w:p w14:paraId="584C8F59" w14:textId="0BE7FA52" w:rsidR="00235CFD" w:rsidRPr="00A47C02" w:rsidRDefault="48359B0B" w:rsidP="004F5644">
            <w:pPr>
              <w:spacing w:before="0" w:after="120" w:line="276" w:lineRule="auto"/>
              <w:jc w:val="both"/>
              <w:rPr>
                <w:rFonts w:cs="Arial"/>
                <w:color w:val="FFFFFF" w:themeColor="background1"/>
              </w:rPr>
            </w:pPr>
            <w:bookmarkStart w:id="13" w:name="_Hlk521316597"/>
            <w:bookmarkStart w:id="14" w:name="_Hlk521316623"/>
            <w:r w:rsidRPr="00A47C02">
              <w:rPr>
                <w:rFonts w:cs="Arial"/>
                <w:color w:val="FFFFFF" w:themeColor="background1"/>
              </w:rPr>
              <w:t xml:space="preserve">Example – Ability to form a </w:t>
            </w:r>
            <w:r w:rsidR="004F5644" w:rsidRPr="00A47C02">
              <w:rPr>
                <w:rFonts w:cs="Arial"/>
                <w:color w:val="FFFFFF" w:themeColor="background1"/>
              </w:rPr>
              <w:t>b</w:t>
            </w:r>
            <w:r w:rsidRPr="00A47C02">
              <w:rPr>
                <w:rFonts w:cs="Arial"/>
                <w:color w:val="FFFFFF" w:themeColor="background1"/>
              </w:rPr>
              <w:t xml:space="preserve">eneficial </w:t>
            </w:r>
            <w:r w:rsidR="004F5644" w:rsidRPr="00A47C02">
              <w:rPr>
                <w:rFonts w:cs="Arial"/>
                <w:color w:val="FFFFFF" w:themeColor="background1"/>
              </w:rPr>
              <w:t>e</w:t>
            </w:r>
            <w:r w:rsidRPr="00A47C02">
              <w:rPr>
                <w:rFonts w:cs="Arial"/>
                <w:color w:val="FFFFFF" w:themeColor="background1"/>
              </w:rPr>
              <w:t>nterprise scaled to expenditure</w:t>
            </w:r>
          </w:p>
          <w:p w14:paraId="0C243CBA" w14:textId="267BB04F" w:rsidR="00235CFD" w:rsidRPr="00A47C02" w:rsidRDefault="48359B0B" w:rsidP="004F5644">
            <w:pPr>
              <w:spacing w:before="0" w:after="120" w:line="276" w:lineRule="auto"/>
              <w:jc w:val="both"/>
              <w:rPr>
                <w:rFonts w:cs="Arial"/>
                <w:b w:val="0"/>
                <w:color w:val="FFFFFF" w:themeColor="background1"/>
              </w:rPr>
            </w:pPr>
            <w:r w:rsidRPr="00A47C02">
              <w:rPr>
                <w:rFonts w:cs="Arial"/>
                <w:b w:val="0"/>
                <w:color w:val="FFFFFF" w:themeColor="background1"/>
              </w:rPr>
              <w:t>Over the last three financial years a given local government has had an annual operating expenditure of $63</w:t>
            </w:r>
            <w:r w:rsidR="004964E3" w:rsidRPr="00A47C02">
              <w:rPr>
                <w:rFonts w:cs="Arial"/>
                <w:b w:val="0"/>
                <w:color w:val="FFFFFF" w:themeColor="background1"/>
              </w:rPr>
              <w:t xml:space="preserve"> </w:t>
            </w:r>
            <w:r w:rsidRPr="00A47C02">
              <w:rPr>
                <w:rFonts w:cs="Arial"/>
                <w:b w:val="0"/>
                <w:color w:val="FFFFFF" w:themeColor="background1"/>
              </w:rPr>
              <w:t>m</w:t>
            </w:r>
            <w:r w:rsidR="004964E3" w:rsidRPr="00A47C02">
              <w:rPr>
                <w:rFonts w:cs="Arial"/>
                <w:b w:val="0"/>
                <w:color w:val="FFFFFF" w:themeColor="background1"/>
              </w:rPr>
              <w:t>illion</w:t>
            </w:r>
            <w:r w:rsidRPr="00A47C02">
              <w:rPr>
                <w:rFonts w:cs="Arial"/>
                <w:b w:val="0"/>
                <w:color w:val="FFFFFF" w:themeColor="background1"/>
              </w:rPr>
              <w:t>, $60</w:t>
            </w:r>
            <w:r w:rsidR="004964E3" w:rsidRPr="00A47C02">
              <w:rPr>
                <w:rFonts w:cs="Arial"/>
                <w:b w:val="0"/>
                <w:color w:val="FFFFFF" w:themeColor="background1"/>
              </w:rPr>
              <w:t xml:space="preserve"> </w:t>
            </w:r>
            <w:r w:rsidRPr="00A47C02">
              <w:rPr>
                <w:rFonts w:cs="Arial"/>
                <w:b w:val="0"/>
                <w:color w:val="FFFFFF" w:themeColor="background1"/>
              </w:rPr>
              <w:t>m</w:t>
            </w:r>
            <w:r w:rsidR="004964E3" w:rsidRPr="00A47C02">
              <w:rPr>
                <w:rFonts w:cs="Arial"/>
                <w:b w:val="0"/>
                <w:color w:val="FFFFFF" w:themeColor="background1"/>
              </w:rPr>
              <w:t>illion</w:t>
            </w:r>
            <w:r w:rsidRPr="00A47C02">
              <w:rPr>
                <w:rFonts w:cs="Arial"/>
                <w:b w:val="0"/>
                <w:color w:val="FFFFFF" w:themeColor="background1"/>
              </w:rPr>
              <w:t xml:space="preserve"> and $59</w:t>
            </w:r>
            <w:r w:rsidR="004964E3" w:rsidRPr="00A47C02">
              <w:rPr>
                <w:rFonts w:cs="Arial"/>
                <w:b w:val="0"/>
                <w:color w:val="FFFFFF" w:themeColor="background1"/>
              </w:rPr>
              <w:t xml:space="preserve"> </w:t>
            </w:r>
            <w:r w:rsidRPr="00A47C02">
              <w:rPr>
                <w:rFonts w:cs="Arial"/>
                <w:b w:val="0"/>
                <w:color w:val="FFFFFF" w:themeColor="background1"/>
              </w:rPr>
              <w:t>m</w:t>
            </w:r>
            <w:r w:rsidR="004964E3" w:rsidRPr="00A47C02">
              <w:rPr>
                <w:rFonts w:cs="Arial"/>
                <w:b w:val="0"/>
                <w:color w:val="FFFFFF" w:themeColor="background1"/>
              </w:rPr>
              <w:t>illion</w:t>
            </w:r>
            <w:r w:rsidRPr="00A47C02">
              <w:rPr>
                <w:rFonts w:cs="Arial"/>
                <w:b w:val="0"/>
                <w:color w:val="FFFFFF" w:themeColor="background1"/>
              </w:rPr>
              <w:t>. The three-year average annual operating expenditure of the local government is $60.6</w:t>
            </w:r>
            <w:r w:rsidR="004964E3" w:rsidRPr="00A47C02">
              <w:rPr>
                <w:rFonts w:cs="Arial"/>
                <w:b w:val="0"/>
                <w:color w:val="FFFFFF" w:themeColor="background1"/>
              </w:rPr>
              <w:t xml:space="preserve"> </w:t>
            </w:r>
            <w:r w:rsidRPr="00A47C02">
              <w:rPr>
                <w:rFonts w:cs="Arial"/>
                <w:b w:val="0"/>
                <w:color w:val="FFFFFF" w:themeColor="background1"/>
              </w:rPr>
              <w:t>m</w:t>
            </w:r>
            <w:r w:rsidR="004964E3" w:rsidRPr="00A47C02">
              <w:rPr>
                <w:rFonts w:cs="Arial"/>
                <w:b w:val="0"/>
                <w:color w:val="FFFFFF" w:themeColor="background1"/>
              </w:rPr>
              <w:t>illion.</w:t>
            </w:r>
          </w:p>
          <w:p w14:paraId="653A548E" w14:textId="77777777" w:rsidR="00235CFD" w:rsidRPr="00A47C02" w:rsidRDefault="48359B0B" w:rsidP="004F5644">
            <w:pPr>
              <w:spacing w:before="0" w:after="120" w:line="276" w:lineRule="auto"/>
              <w:jc w:val="both"/>
              <w:rPr>
                <w:rFonts w:cs="Arial"/>
                <w:b w:val="0"/>
                <w:color w:val="FFFFFF" w:themeColor="background1"/>
              </w:rPr>
            </w:pPr>
            <w:r w:rsidRPr="00A47C02">
              <w:rPr>
                <w:rFonts w:cs="Arial"/>
                <w:b w:val="0"/>
                <w:color w:val="FFFFFF" w:themeColor="background1"/>
              </w:rPr>
              <w:t>Under an approach that provided for a scaled ability to form a beneficial enterprise according to expenditure, the local government would need to have a cost of investment that was less than a set percentage of this average annual expenditure.</w:t>
            </w:r>
          </w:p>
          <w:p w14:paraId="09CAB324" w14:textId="188B786E" w:rsidR="00235CFD" w:rsidRPr="00A47C02" w:rsidRDefault="48359B0B" w:rsidP="004F5644">
            <w:pPr>
              <w:spacing w:before="0" w:after="120" w:line="276" w:lineRule="auto"/>
              <w:jc w:val="both"/>
              <w:rPr>
                <w:rFonts w:cs="Arial"/>
                <w:b w:val="0"/>
                <w:color w:val="FFFFFF" w:themeColor="background1"/>
              </w:rPr>
            </w:pPr>
            <w:r w:rsidRPr="00A47C02">
              <w:rPr>
                <w:rFonts w:cs="Arial"/>
                <w:b w:val="0"/>
                <w:color w:val="FFFFFF" w:themeColor="background1"/>
              </w:rPr>
              <w:t>In this scenario, if the prescribed percentage was 0.5%, for example, the investment threshold for the local government could be $303,000 (0.5%), $606,000 (1%) or $1.2</w:t>
            </w:r>
            <w:r w:rsidR="004964E3" w:rsidRPr="00A47C02">
              <w:rPr>
                <w:rFonts w:cs="Arial"/>
                <w:b w:val="0"/>
                <w:color w:val="FFFFFF" w:themeColor="background1"/>
              </w:rPr>
              <w:t xml:space="preserve"> </w:t>
            </w:r>
            <w:r w:rsidR="004F5644" w:rsidRPr="00A47C02">
              <w:rPr>
                <w:rFonts w:cs="Arial"/>
                <w:b w:val="0"/>
                <w:color w:val="FFFFFF" w:themeColor="background1"/>
              </w:rPr>
              <w:t>m</w:t>
            </w:r>
            <w:r w:rsidR="004964E3" w:rsidRPr="00A47C02">
              <w:rPr>
                <w:rFonts w:cs="Arial"/>
                <w:b w:val="0"/>
                <w:color w:val="FFFFFF" w:themeColor="background1"/>
              </w:rPr>
              <w:t>illion</w:t>
            </w:r>
            <w:r w:rsidRPr="00A47C02">
              <w:rPr>
                <w:rFonts w:cs="Arial"/>
                <w:b w:val="0"/>
                <w:color w:val="FFFFFF" w:themeColor="background1"/>
              </w:rPr>
              <w:t xml:space="preserve"> (2%).</w:t>
            </w:r>
          </w:p>
          <w:p w14:paraId="4047209A" w14:textId="18780AF6" w:rsidR="00235CFD" w:rsidRPr="00A47C02" w:rsidRDefault="48359B0B" w:rsidP="004F5644">
            <w:pPr>
              <w:spacing w:before="0" w:after="120" w:line="276" w:lineRule="auto"/>
              <w:jc w:val="both"/>
              <w:rPr>
                <w:rFonts w:cs="Arial"/>
                <w:b w:val="0"/>
                <w:color w:val="FFFFFF" w:themeColor="background1"/>
              </w:rPr>
            </w:pPr>
            <w:r w:rsidRPr="00A47C02">
              <w:rPr>
                <w:rFonts w:cs="Arial"/>
                <w:b w:val="0"/>
                <w:color w:val="FFFFFF" w:themeColor="background1"/>
              </w:rPr>
              <w:t>Note: The median (average) local government operating expenditure in Western Australia is $10</w:t>
            </w:r>
            <w:r w:rsidR="00C528CC" w:rsidRPr="00A47C02">
              <w:rPr>
                <w:rFonts w:cs="Arial"/>
                <w:b w:val="0"/>
                <w:color w:val="FFFFFF" w:themeColor="background1"/>
              </w:rPr>
              <w:t xml:space="preserve"> </w:t>
            </w:r>
            <w:r w:rsidR="004F5644" w:rsidRPr="00A47C02">
              <w:rPr>
                <w:rFonts w:cs="Arial"/>
                <w:b w:val="0"/>
                <w:color w:val="FFFFFF" w:themeColor="background1"/>
              </w:rPr>
              <w:t>m</w:t>
            </w:r>
            <w:r w:rsidR="00C528CC" w:rsidRPr="00A47C02">
              <w:rPr>
                <w:rFonts w:cs="Arial"/>
                <w:b w:val="0"/>
                <w:color w:val="FFFFFF" w:themeColor="background1"/>
              </w:rPr>
              <w:t>illion</w:t>
            </w:r>
            <w:r w:rsidRPr="00A47C02">
              <w:rPr>
                <w:rFonts w:cs="Arial"/>
                <w:b w:val="0"/>
                <w:color w:val="FFFFFF" w:themeColor="background1"/>
              </w:rPr>
              <w:t xml:space="preserve">. The threshold for the median local government would be: </w:t>
            </w:r>
          </w:p>
          <w:p w14:paraId="03BA9A74" w14:textId="1691F4A0" w:rsidR="00235CFD" w:rsidRPr="006E308A" w:rsidRDefault="48359B0B" w:rsidP="004F5644">
            <w:pPr>
              <w:spacing w:before="0" w:after="120" w:line="276" w:lineRule="auto"/>
              <w:jc w:val="both"/>
              <w:rPr>
                <w:rFonts w:cs="Arial"/>
                <w:color w:val="FFFFFF" w:themeColor="background1"/>
              </w:rPr>
            </w:pPr>
            <w:r w:rsidRPr="00A47C02">
              <w:rPr>
                <w:rFonts w:cs="Arial"/>
                <w:b w:val="0"/>
                <w:color w:val="FFFFFF" w:themeColor="background1"/>
              </w:rPr>
              <w:t>$50</w:t>
            </w:r>
            <w:r w:rsidR="004F5644" w:rsidRPr="00A47C02">
              <w:rPr>
                <w:rFonts w:cs="Arial"/>
                <w:b w:val="0"/>
                <w:color w:val="FFFFFF" w:themeColor="background1"/>
              </w:rPr>
              <w:t>,000 (if set at 0.5%), $100,000 (1%), $200,000 (2%), $500,000 (5%) $1</w:t>
            </w:r>
            <w:r w:rsidR="004964E3" w:rsidRPr="00A47C02">
              <w:rPr>
                <w:rFonts w:cs="Arial"/>
                <w:b w:val="0"/>
                <w:color w:val="FFFFFF" w:themeColor="background1"/>
              </w:rPr>
              <w:t xml:space="preserve"> </w:t>
            </w:r>
            <w:r w:rsidR="004F5644" w:rsidRPr="00A47C02">
              <w:rPr>
                <w:rFonts w:cs="Arial"/>
                <w:b w:val="0"/>
                <w:color w:val="FFFFFF" w:themeColor="background1"/>
              </w:rPr>
              <w:t>m</w:t>
            </w:r>
            <w:r w:rsidR="004964E3" w:rsidRPr="00A47C02">
              <w:rPr>
                <w:rFonts w:cs="Arial"/>
                <w:b w:val="0"/>
                <w:color w:val="FFFFFF" w:themeColor="background1"/>
              </w:rPr>
              <w:t>illion</w:t>
            </w:r>
            <w:r w:rsidRPr="00A47C02">
              <w:rPr>
                <w:rFonts w:cs="Arial"/>
                <w:b w:val="0"/>
                <w:color w:val="FFFFFF" w:themeColor="background1"/>
              </w:rPr>
              <w:t xml:space="preserve"> (10%).</w:t>
            </w:r>
            <w:bookmarkEnd w:id="13"/>
          </w:p>
        </w:tc>
      </w:tr>
      <w:bookmarkEnd w:id="14"/>
    </w:tbl>
    <w:p w14:paraId="006E2C37" w14:textId="72E0106E" w:rsidR="00235CFD" w:rsidRDefault="00235CFD" w:rsidP="00235CFD">
      <w:pPr>
        <w:pStyle w:val="Heading3"/>
        <w:spacing w:before="0" w:after="120" w:line="276" w:lineRule="auto"/>
        <w:rPr>
          <w:rFonts w:ascii="Arial" w:hAnsi="Arial" w:cs="Arial"/>
          <w:color w:val="auto"/>
        </w:rPr>
      </w:pPr>
    </w:p>
    <w:p w14:paraId="18E341AD" w14:textId="4EFFADB2" w:rsidR="00C464CF" w:rsidRPr="004F5644" w:rsidRDefault="48359B0B" w:rsidP="48359B0B">
      <w:pPr>
        <w:spacing w:after="120" w:line="276" w:lineRule="auto"/>
        <w:jc w:val="both"/>
        <w:rPr>
          <w:rFonts w:ascii="Arial" w:hAnsi="Arial" w:cs="Arial"/>
          <w:b/>
          <w:i/>
          <w:iCs/>
          <w:color w:val="595959" w:themeColor="text1" w:themeTint="A6"/>
          <w:sz w:val="24"/>
          <w:szCs w:val="24"/>
        </w:rPr>
      </w:pPr>
      <w:r w:rsidRPr="004F5644">
        <w:rPr>
          <w:rFonts w:ascii="Arial" w:hAnsi="Arial" w:cs="Arial"/>
          <w:b/>
          <w:i/>
          <w:iCs/>
          <w:color w:val="595959" w:themeColor="text1" w:themeTint="A6"/>
          <w:sz w:val="24"/>
          <w:szCs w:val="24"/>
        </w:rPr>
        <w:t>Risks with limiting which local governments can form a beneficial enterprise</w:t>
      </w:r>
    </w:p>
    <w:p w14:paraId="7D0DAFFF" w14:textId="2D860A3D" w:rsidR="00C464CF" w:rsidRPr="004F5644" w:rsidRDefault="48359B0B" w:rsidP="48359B0B">
      <w:pPr>
        <w:spacing w:after="120" w:line="276" w:lineRule="auto"/>
        <w:jc w:val="both"/>
        <w:rPr>
          <w:rFonts w:ascii="Arial" w:hAnsi="Arial" w:cs="Arial"/>
          <w:sz w:val="24"/>
        </w:rPr>
      </w:pPr>
      <w:r w:rsidRPr="004F5644">
        <w:rPr>
          <w:rFonts w:ascii="Arial" w:hAnsi="Arial" w:cs="Arial"/>
          <w:sz w:val="24"/>
        </w:rPr>
        <w:t xml:space="preserve">While there is merit in considering if the ability to form a beneficial enterprise should not be available to all local governments, there are disadvantages to restricting the ability. </w:t>
      </w:r>
    </w:p>
    <w:p w14:paraId="1151ED00" w14:textId="260AF241" w:rsidR="00E2500B" w:rsidRPr="004F5644" w:rsidRDefault="48359B0B" w:rsidP="48359B0B">
      <w:pPr>
        <w:spacing w:after="120" w:line="276" w:lineRule="auto"/>
        <w:jc w:val="both"/>
        <w:rPr>
          <w:rFonts w:ascii="Arial" w:hAnsi="Arial" w:cs="Arial"/>
          <w:sz w:val="24"/>
        </w:rPr>
      </w:pPr>
      <w:r w:rsidRPr="004F5644">
        <w:rPr>
          <w:rFonts w:ascii="Arial" w:hAnsi="Arial" w:cs="Arial"/>
          <w:sz w:val="24"/>
        </w:rPr>
        <w:t xml:space="preserve">Some regional and remote local governments see merit in providing commercial services with the intention of arresting or reversing economic decline in regional towns. </w:t>
      </w:r>
    </w:p>
    <w:p w14:paraId="0A438DF2" w14:textId="4DD797C8" w:rsidR="00E2500B" w:rsidRPr="004F5644" w:rsidRDefault="48359B0B" w:rsidP="48359B0B">
      <w:pPr>
        <w:spacing w:after="120" w:line="276" w:lineRule="auto"/>
        <w:jc w:val="both"/>
        <w:rPr>
          <w:rFonts w:ascii="Arial" w:hAnsi="Arial" w:cs="Arial"/>
          <w:sz w:val="24"/>
        </w:rPr>
      </w:pPr>
      <w:r w:rsidRPr="004F5644">
        <w:rPr>
          <w:rFonts w:ascii="Arial" w:hAnsi="Arial" w:cs="Arial"/>
          <w:sz w:val="24"/>
        </w:rPr>
        <w:t>In many such cases, private owners are unable to obtain an adequate commercial return from an enterprise or are unable to service the associated debts, resulting in the closure of local businesses with consequential loss of amenity and increased costs for the community. In such circumstances a local government may see opportunities to achieve broader social outcomes that justify accepting reduced financial returns, and thus step into the service gap itself.</w:t>
      </w:r>
    </w:p>
    <w:p w14:paraId="1DA2FACC" w14:textId="51EF943D" w:rsidR="00235CFD" w:rsidRPr="004F5644" w:rsidRDefault="48359B0B" w:rsidP="48359B0B">
      <w:pPr>
        <w:pStyle w:val="Heading2"/>
        <w:spacing w:before="0" w:after="120" w:line="276" w:lineRule="auto"/>
        <w:rPr>
          <w:rFonts w:ascii="Arial" w:hAnsi="Arial" w:cs="Arial"/>
          <w:b/>
          <w:color w:val="C0311A"/>
          <w:sz w:val="24"/>
          <w:szCs w:val="24"/>
        </w:rPr>
      </w:pPr>
      <w:r w:rsidRPr="004F5644">
        <w:rPr>
          <w:rFonts w:ascii="Arial" w:hAnsi="Arial" w:cs="Arial"/>
          <w:b/>
          <w:color w:val="C0311A"/>
          <w:sz w:val="24"/>
          <w:szCs w:val="24"/>
        </w:rPr>
        <w:lastRenderedPageBreak/>
        <w:t xml:space="preserve">Control and accountability of the </w:t>
      </w:r>
      <w:r w:rsidR="005B25D6">
        <w:rPr>
          <w:rFonts w:ascii="Arial" w:hAnsi="Arial" w:cs="Arial"/>
          <w:b/>
          <w:color w:val="C0311A"/>
          <w:sz w:val="24"/>
          <w:szCs w:val="24"/>
        </w:rPr>
        <w:t>b</w:t>
      </w:r>
      <w:r w:rsidRPr="004F5644">
        <w:rPr>
          <w:rFonts w:ascii="Arial" w:hAnsi="Arial" w:cs="Arial"/>
          <w:b/>
          <w:color w:val="C0311A"/>
          <w:sz w:val="24"/>
          <w:szCs w:val="24"/>
        </w:rPr>
        <w:t xml:space="preserve">eneficial </w:t>
      </w:r>
      <w:r w:rsidR="005B25D6">
        <w:rPr>
          <w:rFonts w:ascii="Arial" w:hAnsi="Arial" w:cs="Arial"/>
          <w:b/>
          <w:color w:val="C0311A"/>
          <w:sz w:val="24"/>
          <w:szCs w:val="24"/>
        </w:rPr>
        <w:t>e</w:t>
      </w:r>
      <w:r w:rsidRPr="004F5644">
        <w:rPr>
          <w:rFonts w:ascii="Arial" w:hAnsi="Arial" w:cs="Arial"/>
          <w:b/>
          <w:color w:val="C0311A"/>
          <w:sz w:val="24"/>
          <w:szCs w:val="24"/>
        </w:rPr>
        <w:t>nterprise</w:t>
      </w:r>
    </w:p>
    <w:p w14:paraId="107C1C29" w14:textId="77777777"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The underlying principle of company law is that on incorporation the company becomes a ‘legal person’ with the ability to sue and be sued and make its own decisions.</w:t>
      </w:r>
    </w:p>
    <w:p w14:paraId="04510AC8" w14:textId="27F63801" w:rsidR="00235CFD" w:rsidRPr="004F5644" w:rsidRDefault="48359B0B" w:rsidP="48359B0B">
      <w:pPr>
        <w:spacing w:after="120" w:line="276" w:lineRule="auto"/>
        <w:jc w:val="both"/>
        <w:rPr>
          <w:rFonts w:ascii="Arial" w:hAnsi="Arial" w:cs="Arial"/>
          <w:sz w:val="24"/>
        </w:rPr>
      </w:pPr>
      <w:r w:rsidRPr="004F5644">
        <w:rPr>
          <w:rFonts w:ascii="Arial" w:hAnsi="Arial" w:cs="Arial"/>
          <w:sz w:val="24"/>
        </w:rPr>
        <w:t>WALGA has suggested that an appropriate amount of control can be achieved through a Statement of Intent created by the local government prior to establishment of a beneficial enterprise, and which is reviewed ann</w:t>
      </w:r>
      <w:r w:rsidR="004F5644">
        <w:rPr>
          <w:rFonts w:ascii="Arial" w:hAnsi="Arial" w:cs="Arial"/>
          <w:sz w:val="24"/>
        </w:rPr>
        <w:t xml:space="preserve">ually by the local government. </w:t>
      </w:r>
      <w:r w:rsidRPr="004F5644">
        <w:rPr>
          <w:rFonts w:ascii="Arial" w:hAnsi="Arial" w:cs="Arial"/>
          <w:sz w:val="24"/>
        </w:rPr>
        <w:t xml:space="preserve">This will allow the local government to link the Statement of Intent with the </w:t>
      </w:r>
      <w:r w:rsidR="004F5644">
        <w:rPr>
          <w:rFonts w:ascii="Arial" w:hAnsi="Arial" w:cs="Arial"/>
          <w:sz w:val="24"/>
        </w:rPr>
        <w:t>C</w:t>
      </w:r>
      <w:r w:rsidRPr="004F5644">
        <w:rPr>
          <w:rFonts w:ascii="Arial" w:hAnsi="Arial" w:cs="Arial"/>
          <w:sz w:val="24"/>
        </w:rPr>
        <w:t xml:space="preserve">ommunity </w:t>
      </w:r>
      <w:r w:rsidR="004F5644">
        <w:rPr>
          <w:rFonts w:ascii="Arial" w:hAnsi="Arial" w:cs="Arial"/>
          <w:sz w:val="24"/>
        </w:rPr>
        <w:t>S</w:t>
      </w:r>
      <w:r w:rsidRPr="004F5644">
        <w:rPr>
          <w:rFonts w:ascii="Arial" w:hAnsi="Arial" w:cs="Arial"/>
          <w:sz w:val="24"/>
        </w:rPr>
        <w:t xml:space="preserve">trategic </w:t>
      </w:r>
      <w:r w:rsidR="004F5644">
        <w:rPr>
          <w:rFonts w:ascii="Arial" w:hAnsi="Arial" w:cs="Arial"/>
          <w:sz w:val="24"/>
        </w:rPr>
        <w:t>P</w:t>
      </w:r>
      <w:r w:rsidRPr="004F5644">
        <w:rPr>
          <w:rFonts w:ascii="Arial" w:hAnsi="Arial" w:cs="Arial"/>
          <w:sz w:val="24"/>
        </w:rPr>
        <w:t>lan and other long-term planning obje</w:t>
      </w:r>
      <w:r w:rsidR="0013486C">
        <w:rPr>
          <w:rFonts w:ascii="Arial" w:hAnsi="Arial" w:cs="Arial"/>
          <w:sz w:val="24"/>
        </w:rPr>
        <w:t>ctives of the local government.</w:t>
      </w:r>
      <w:r w:rsidR="005B25D6">
        <w:rPr>
          <w:rFonts w:ascii="Arial" w:hAnsi="Arial" w:cs="Arial"/>
          <w:sz w:val="24"/>
        </w:rPr>
        <w:t xml:space="preserve"> </w:t>
      </w:r>
      <w:r w:rsidRPr="004F5644">
        <w:rPr>
          <w:rFonts w:ascii="Arial" w:hAnsi="Arial" w:cs="Arial"/>
          <w:sz w:val="24"/>
        </w:rPr>
        <w:t>The objectives in the Statement of Intent would be set by the local government(s) and because the local government(s) would be the majority shareholder(s) the local government will have some ability to control the beneficial enterprise.</w:t>
      </w:r>
    </w:p>
    <w:p w14:paraId="34174721" w14:textId="77777777" w:rsidR="00235CFD" w:rsidRPr="0013486C" w:rsidRDefault="48359B0B" w:rsidP="48359B0B">
      <w:pPr>
        <w:spacing w:after="120" w:line="276" w:lineRule="auto"/>
        <w:jc w:val="both"/>
        <w:rPr>
          <w:rFonts w:ascii="Arial" w:hAnsi="Arial" w:cs="Arial"/>
          <w:sz w:val="24"/>
        </w:rPr>
      </w:pPr>
      <w:r w:rsidRPr="0013486C">
        <w:rPr>
          <w:rFonts w:ascii="Arial" w:hAnsi="Arial" w:cs="Arial"/>
          <w:sz w:val="24"/>
        </w:rPr>
        <w:t>While a beneficial enterprise would be a separate legal body from the local government, it would still be one that has been created with public money and assets.  As such it raises questions about what, if any, additional accountability measures should be required as part of a governance regime.</w:t>
      </w:r>
    </w:p>
    <w:p w14:paraId="7C107C1D" w14:textId="77777777" w:rsidR="00235CFD" w:rsidRPr="0013486C" w:rsidRDefault="48359B0B" w:rsidP="48359B0B">
      <w:pPr>
        <w:spacing w:after="120" w:line="276" w:lineRule="auto"/>
        <w:jc w:val="both"/>
        <w:rPr>
          <w:rFonts w:ascii="Arial" w:hAnsi="Arial" w:cs="Arial"/>
          <w:sz w:val="24"/>
        </w:rPr>
      </w:pPr>
      <w:r w:rsidRPr="0013486C">
        <w:rPr>
          <w:rFonts w:ascii="Arial" w:hAnsi="Arial" w:cs="Arial"/>
          <w:sz w:val="24"/>
        </w:rPr>
        <w:t>Several different accountability mechanisms have been suggested:</w:t>
      </w:r>
    </w:p>
    <w:p w14:paraId="1F7652CB" w14:textId="77777777" w:rsidR="00235CFD" w:rsidRPr="0013486C" w:rsidRDefault="48359B0B" w:rsidP="48359B0B">
      <w:pPr>
        <w:pStyle w:val="ListParagraph"/>
        <w:numPr>
          <w:ilvl w:val="0"/>
          <w:numId w:val="26"/>
        </w:numPr>
        <w:spacing w:after="120" w:line="276" w:lineRule="auto"/>
        <w:jc w:val="both"/>
        <w:rPr>
          <w:rFonts w:ascii="Arial" w:hAnsi="Arial" w:cs="Arial"/>
          <w:sz w:val="24"/>
        </w:rPr>
      </w:pPr>
      <w:r w:rsidRPr="0013486C">
        <w:rPr>
          <w:rFonts w:ascii="Arial" w:hAnsi="Arial" w:cs="Arial"/>
          <w:sz w:val="24"/>
        </w:rPr>
        <w:t>Ministerial approval;</w:t>
      </w:r>
    </w:p>
    <w:p w14:paraId="19530758" w14:textId="77777777" w:rsidR="00235CFD" w:rsidRPr="0013486C" w:rsidRDefault="48359B0B" w:rsidP="48359B0B">
      <w:pPr>
        <w:pStyle w:val="ListParagraph"/>
        <w:numPr>
          <w:ilvl w:val="0"/>
          <w:numId w:val="26"/>
        </w:numPr>
        <w:spacing w:after="120" w:line="276" w:lineRule="auto"/>
        <w:jc w:val="both"/>
        <w:rPr>
          <w:rFonts w:ascii="Arial" w:hAnsi="Arial" w:cs="Arial"/>
          <w:sz w:val="24"/>
        </w:rPr>
      </w:pPr>
      <w:r w:rsidRPr="0013486C">
        <w:rPr>
          <w:rFonts w:ascii="Arial" w:hAnsi="Arial" w:cs="Arial"/>
          <w:sz w:val="24"/>
        </w:rPr>
        <w:t>Audits by the Auditor General; and</w:t>
      </w:r>
    </w:p>
    <w:p w14:paraId="214D8D64" w14:textId="77777777" w:rsidR="00235CFD" w:rsidRPr="0013486C" w:rsidRDefault="48359B0B" w:rsidP="48359B0B">
      <w:pPr>
        <w:pStyle w:val="ListParagraph"/>
        <w:numPr>
          <w:ilvl w:val="0"/>
          <w:numId w:val="26"/>
        </w:numPr>
        <w:spacing w:after="120" w:line="276" w:lineRule="auto"/>
        <w:jc w:val="both"/>
        <w:rPr>
          <w:rFonts w:ascii="Arial" w:hAnsi="Arial" w:cs="Arial"/>
          <w:sz w:val="24"/>
        </w:rPr>
      </w:pPr>
      <w:r w:rsidRPr="0013486C">
        <w:rPr>
          <w:rFonts w:ascii="Arial" w:hAnsi="Arial" w:cs="Arial"/>
          <w:sz w:val="24"/>
        </w:rPr>
        <w:t>Public meetings.</w:t>
      </w:r>
    </w:p>
    <w:p w14:paraId="373607AD" w14:textId="77777777" w:rsidR="00235CFD" w:rsidRPr="005B25D6" w:rsidRDefault="48359B0B" w:rsidP="48359B0B">
      <w:pPr>
        <w:spacing w:after="120" w:line="276" w:lineRule="auto"/>
        <w:jc w:val="both"/>
        <w:rPr>
          <w:rFonts w:ascii="Arial" w:hAnsi="Arial" w:cs="Arial"/>
          <w:b/>
          <w:i/>
          <w:iCs/>
          <w:color w:val="595959" w:themeColor="text1" w:themeTint="A6"/>
          <w:sz w:val="24"/>
          <w:szCs w:val="24"/>
        </w:rPr>
      </w:pPr>
      <w:r w:rsidRPr="005B25D6">
        <w:rPr>
          <w:rFonts w:ascii="Arial" w:hAnsi="Arial" w:cs="Arial"/>
          <w:b/>
          <w:i/>
          <w:iCs/>
          <w:color w:val="595959" w:themeColor="text1" w:themeTint="A6"/>
          <w:sz w:val="24"/>
          <w:szCs w:val="24"/>
        </w:rPr>
        <w:t>State Government’s role</w:t>
      </w:r>
    </w:p>
    <w:p w14:paraId="2ED1433A" w14:textId="312A0218" w:rsidR="00235CFD" w:rsidRPr="005B25D6" w:rsidRDefault="48359B0B" w:rsidP="48359B0B">
      <w:pPr>
        <w:keepNext/>
        <w:keepLines/>
        <w:spacing w:after="120" w:line="276" w:lineRule="auto"/>
        <w:jc w:val="both"/>
        <w:rPr>
          <w:rFonts w:ascii="Arial" w:hAnsi="Arial" w:cs="Arial"/>
          <w:sz w:val="24"/>
        </w:rPr>
      </w:pPr>
      <w:r w:rsidRPr="005B25D6">
        <w:rPr>
          <w:rFonts w:ascii="Arial" w:hAnsi="Arial" w:cs="Arial"/>
          <w:sz w:val="24"/>
        </w:rPr>
        <w:t>Any Ministerial approval would address whether processes set out in legislation or policy had been correctly followed</w:t>
      </w:r>
      <w:r w:rsidR="005B25D6">
        <w:rPr>
          <w:rFonts w:ascii="Arial" w:hAnsi="Arial" w:cs="Arial"/>
          <w:sz w:val="24"/>
        </w:rPr>
        <w:t xml:space="preserve">. </w:t>
      </w:r>
      <w:r w:rsidRPr="005B25D6">
        <w:rPr>
          <w:rFonts w:ascii="Arial" w:hAnsi="Arial" w:cs="Arial"/>
          <w:sz w:val="24"/>
        </w:rPr>
        <w:t xml:space="preserve">The State Government does not assess the commercial viability of a business proposal, the level of risk to the community or whether appropriate controls are in place. </w:t>
      </w:r>
    </w:p>
    <w:p w14:paraId="2D0CD792" w14:textId="77777777" w:rsidR="00235CFD" w:rsidRPr="005B25D6" w:rsidRDefault="48359B0B" w:rsidP="48359B0B">
      <w:pPr>
        <w:spacing w:after="120" w:line="276" w:lineRule="auto"/>
        <w:jc w:val="both"/>
        <w:rPr>
          <w:rFonts w:ascii="Arial" w:hAnsi="Arial" w:cs="Arial"/>
          <w:b/>
          <w:i/>
          <w:iCs/>
          <w:color w:val="595959" w:themeColor="text1" w:themeTint="A6"/>
          <w:sz w:val="24"/>
          <w:szCs w:val="24"/>
        </w:rPr>
      </w:pPr>
      <w:r w:rsidRPr="005B25D6">
        <w:rPr>
          <w:rFonts w:ascii="Arial" w:hAnsi="Arial" w:cs="Arial"/>
          <w:b/>
          <w:i/>
          <w:iCs/>
          <w:color w:val="595959" w:themeColor="text1" w:themeTint="A6"/>
          <w:sz w:val="24"/>
          <w:szCs w:val="24"/>
        </w:rPr>
        <w:t>Auditor General</w:t>
      </w:r>
    </w:p>
    <w:p w14:paraId="60B6CB29" w14:textId="77777777" w:rsidR="00235CFD" w:rsidRPr="005B25D6" w:rsidRDefault="48359B0B" w:rsidP="48359B0B">
      <w:pPr>
        <w:keepNext/>
        <w:keepLines/>
        <w:spacing w:after="120" w:line="276" w:lineRule="auto"/>
        <w:jc w:val="both"/>
        <w:rPr>
          <w:rFonts w:ascii="Arial" w:hAnsi="Arial" w:cs="Arial"/>
          <w:sz w:val="24"/>
        </w:rPr>
      </w:pPr>
      <w:r w:rsidRPr="005B25D6">
        <w:rPr>
          <w:rFonts w:ascii="Arial" w:hAnsi="Arial" w:cs="Arial"/>
          <w:sz w:val="24"/>
        </w:rPr>
        <w:t xml:space="preserve">With the passage of the </w:t>
      </w:r>
      <w:r w:rsidRPr="005B25D6">
        <w:rPr>
          <w:rFonts w:ascii="Arial" w:hAnsi="Arial" w:cs="Arial"/>
          <w:i/>
          <w:iCs/>
          <w:sz w:val="24"/>
        </w:rPr>
        <w:t>Local Government (Auditing) Act 2017</w:t>
      </w:r>
      <w:r w:rsidRPr="005B25D6">
        <w:rPr>
          <w:rFonts w:ascii="Arial" w:hAnsi="Arial" w:cs="Arial"/>
          <w:sz w:val="24"/>
        </w:rPr>
        <w:t>, the Auditor General became responsible for auditing all local governments in line with the responsibility to audit State Government agencies.</w:t>
      </w:r>
    </w:p>
    <w:p w14:paraId="5F9CDCE7" w14:textId="5E9B05E6" w:rsidR="00235CFD" w:rsidRPr="005B25D6" w:rsidRDefault="00235CFD" w:rsidP="48359B0B">
      <w:pPr>
        <w:spacing w:after="120" w:line="276" w:lineRule="auto"/>
        <w:jc w:val="both"/>
        <w:rPr>
          <w:rFonts w:ascii="Arial" w:hAnsi="Arial" w:cs="Arial"/>
          <w:sz w:val="24"/>
        </w:rPr>
      </w:pPr>
      <w:r w:rsidRPr="005B25D6">
        <w:rPr>
          <w:rFonts w:ascii="Arial" w:hAnsi="Arial" w:cs="Arial"/>
          <w:sz w:val="24"/>
        </w:rPr>
        <w:t>In addition to auditing State Government agencies the Auditor General is responsible for auditing or appointing the auditor</w:t>
      </w:r>
      <w:r w:rsidR="00C245C9">
        <w:rPr>
          <w:rStyle w:val="FootnoteReference"/>
          <w:rFonts w:ascii="Arial" w:hAnsi="Arial" w:cs="Arial"/>
          <w:sz w:val="24"/>
        </w:rPr>
        <w:footnoteReference w:id="5"/>
      </w:r>
      <w:r w:rsidRPr="005B25D6">
        <w:rPr>
          <w:rFonts w:ascii="Arial" w:hAnsi="Arial" w:cs="Arial"/>
          <w:sz w:val="24"/>
        </w:rPr>
        <w:t xml:space="preserve"> of all subsidiary bodies (normally referred to as Government Trading Enterprises) formed by the State</w:t>
      </w:r>
      <w:r w:rsidR="005B25D6">
        <w:rPr>
          <w:rFonts w:ascii="Arial" w:hAnsi="Arial" w:cs="Arial"/>
          <w:sz w:val="24"/>
        </w:rPr>
        <w:t xml:space="preserve"> Government. </w:t>
      </w:r>
      <w:r w:rsidRPr="005B25D6">
        <w:rPr>
          <w:rFonts w:ascii="Arial" w:hAnsi="Arial" w:cs="Arial"/>
          <w:sz w:val="24"/>
        </w:rPr>
        <w:t>Similar requirements could be imposed upon a local government that forms beneficial enterprise.</w:t>
      </w:r>
    </w:p>
    <w:p w14:paraId="29CDBBD2" w14:textId="77777777" w:rsidR="00704A60" w:rsidRDefault="00704A60" w:rsidP="48359B0B">
      <w:pPr>
        <w:spacing w:after="120" w:line="276" w:lineRule="auto"/>
        <w:jc w:val="both"/>
        <w:rPr>
          <w:rFonts w:ascii="Arial" w:hAnsi="Arial" w:cs="Arial"/>
          <w:b/>
          <w:i/>
          <w:iCs/>
          <w:color w:val="595959" w:themeColor="text1" w:themeTint="A6"/>
          <w:sz w:val="24"/>
          <w:szCs w:val="24"/>
        </w:rPr>
      </w:pPr>
    </w:p>
    <w:p w14:paraId="1FD3712C" w14:textId="01761344" w:rsidR="00235CFD" w:rsidRPr="005B25D6" w:rsidRDefault="48359B0B" w:rsidP="48359B0B">
      <w:pPr>
        <w:spacing w:after="120" w:line="276" w:lineRule="auto"/>
        <w:jc w:val="both"/>
        <w:rPr>
          <w:rFonts w:ascii="Arial" w:hAnsi="Arial" w:cs="Arial"/>
          <w:b/>
          <w:i/>
          <w:iCs/>
          <w:color w:val="595959" w:themeColor="text1" w:themeTint="A6"/>
          <w:sz w:val="24"/>
          <w:szCs w:val="24"/>
        </w:rPr>
      </w:pPr>
      <w:r w:rsidRPr="005B25D6">
        <w:rPr>
          <w:rFonts w:ascii="Arial" w:hAnsi="Arial" w:cs="Arial"/>
          <w:b/>
          <w:i/>
          <w:iCs/>
          <w:color w:val="595959" w:themeColor="text1" w:themeTint="A6"/>
          <w:sz w:val="24"/>
          <w:szCs w:val="24"/>
        </w:rPr>
        <w:lastRenderedPageBreak/>
        <w:t>Public meetings</w:t>
      </w:r>
    </w:p>
    <w:p w14:paraId="0DA96401" w14:textId="77777777" w:rsidR="00235CFD" w:rsidRPr="005B25D6" w:rsidRDefault="48359B0B" w:rsidP="48359B0B">
      <w:pPr>
        <w:spacing w:after="120" w:line="276" w:lineRule="auto"/>
        <w:jc w:val="both"/>
        <w:rPr>
          <w:rFonts w:ascii="Arial" w:hAnsi="Arial" w:cs="Arial"/>
          <w:sz w:val="24"/>
        </w:rPr>
      </w:pPr>
      <w:r w:rsidRPr="005B25D6">
        <w:rPr>
          <w:rFonts w:ascii="Arial" w:hAnsi="Arial" w:cs="Arial"/>
          <w:sz w:val="24"/>
        </w:rPr>
        <w:t xml:space="preserve">While companies are required to have annual general meetings for their shareholders, there is no requirement to have a general meeting for members of the public to attend. </w:t>
      </w:r>
    </w:p>
    <w:p w14:paraId="366E24A0" w14:textId="085C6297" w:rsidR="00235CFD" w:rsidRPr="005B25D6" w:rsidRDefault="48359B0B" w:rsidP="48359B0B">
      <w:pPr>
        <w:spacing w:after="120" w:line="276" w:lineRule="auto"/>
        <w:jc w:val="both"/>
        <w:rPr>
          <w:rFonts w:ascii="Arial" w:hAnsi="Arial" w:cs="Arial"/>
          <w:sz w:val="24"/>
        </w:rPr>
      </w:pPr>
      <w:r w:rsidRPr="005B25D6">
        <w:rPr>
          <w:rFonts w:ascii="Arial" w:hAnsi="Arial" w:cs="Arial"/>
          <w:sz w:val="24"/>
        </w:rPr>
        <w:t>Similarly, State Government trading enterprises</w:t>
      </w:r>
      <w:r w:rsidR="005B25D6">
        <w:rPr>
          <w:rFonts w:ascii="Arial" w:hAnsi="Arial" w:cs="Arial"/>
          <w:sz w:val="24"/>
        </w:rPr>
        <w:t>,</w:t>
      </w:r>
      <w:r w:rsidRPr="005B25D6">
        <w:rPr>
          <w:rFonts w:ascii="Arial" w:hAnsi="Arial" w:cs="Arial"/>
          <w:sz w:val="24"/>
        </w:rPr>
        <w:t xml:space="preserve"> for example Water Corporation</w:t>
      </w:r>
      <w:r w:rsidR="005B25D6">
        <w:rPr>
          <w:rFonts w:ascii="Arial" w:hAnsi="Arial" w:cs="Arial"/>
          <w:sz w:val="24"/>
        </w:rPr>
        <w:t>,</w:t>
      </w:r>
      <w:r w:rsidRPr="005B25D6">
        <w:rPr>
          <w:rFonts w:ascii="Arial" w:hAnsi="Arial" w:cs="Arial"/>
          <w:sz w:val="24"/>
        </w:rPr>
        <w:t xml:space="preserve"> are not required to hold public meetings although they are held to account indirectly through the Parliament via the Minister responsible.</w:t>
      </w:r>
    </w:p>
    <w:p w14:paraId="3A7FD2AF" w14:textId="77777777" w:rsidR="00235CFD" w:rsidRPr="005B25D6" w:rsidRDefault="48359B0B" w:rsidP="48359B0B">
      <w:pPr>
        <w:spacing w:after="120" w:line="276" w:lineRule="auto"/>
        <w:jc w:val="both"/>
        <w:rPr>
          <w:rFonts w:ascii="Arial" w:hAnsi="Arial" w:cs="Arial"/>
          <w:sz w:val="24"/>
        </w:rPr>
      </w:pPr>
      <w:r w:rsidRPr="005B25D6">
        <w:rPr>
          <w:rFonts w:ascii="Arial" w:hAnsi="Arial" w:cs="Arial"/>
          <w:sz w:val="24"/>
        </w:rPr>
        <w:t>If beneficial enterprises were permitted, is it reasonable to expect a beneficial enterprise to hold public meetings and bear the associated costs incurred with hosting a public meeting. In addition to the requirement to hold an annual general meeting of shareholders, which the local government(s) will be able to attend and hold the beneficial enterprise to account on behalf of the community as the major shareholder.</w:t>
      </w:r>
    </w:p>
    <w:p w14:paraId="1544A1B6" w14:textId="77777777" w:rsidR="00A47C02" w:rsidRDefault="00A47C02" w:rsidP="00C528CC">
      <w:pPr>
        <w:pStyle w:val="Heading1"/>
        <w:rPr>
          <w:rFonts w:ascii="Arial" w:hAnsi="Arial" w:cs="Arial"/>
          <w:color w:val="C0311A"/>
        </w:rPr>
      </w:pPr>
      <w:bookmarkStart w:id="15" w:name="_Hlk522529714"/>
    </w:p>
    <w:p w14:paraId="64EBE277" w14:textId="7267DADF" w:rsidR="00C528CC" w:rsidRDefault="00C528CC" w:rsidP="00C528CC">
      <w:pPr>
        <w:pStyle w:val="Heading1"/>
        <w:rPr>
          <w:rFonts w:ascii="Arial" w:hAnsi="Arial" w:cs="Arial"/>
          <w:color w:val="C0311A"/>
        </w:rPr>
      </w:pPr>
      <w:r w:rsidRPr="10C190E4">
        <w:rPr>
          <w:rFonts w:ascii="Arial" w:hAnsi="Arial" w:cs="Arial"/>
          <w:color w:val="C0311A"/>
        </w:rPr>
        <w:t>What do you think?</w:t>
      </w:r>
    </w:p>
    <w:p w14:paraId="485BDFA0" w14:textId="77777777" w:rsidR="00C528CC" w:rsidRPr="00180B74" w:rsidRDefault="00C528CC" w:rsidP="00C528CC">
      <w:pPr>
        <w:jc w:val="both"/>
        <w:rPr>
          <w:rFonts w:ascii="Arial" w:hAnsi="Arial" w:cs="Arial"/>
          <w:sz w:val="24"/>
        </w:rPr>
      </w:pPr>
      <w:bookmarkStart w:id="16" w:name="_Hlk523308458"/>
      <w:r w:rsidRPr="00180B74">
        <w:rPr>
          <w:rFonts w:ascii="Arial" w:hAnsi="Arial" w:cs="Arial"/>
          <w:sz w:val="24"/>
        </w:rPr>
        <w:t xml:space="preserve">The easiest way to have a say on the future of your community is to complete the survey available </w:t>
      </w:r>
      <w:hyperlink r:id="rId12" w:history="1">
        <w:r>
          <w:rPr>
            <w:rStyle w:val="Hyperlink"/>
          </w:rPr>
          <w:t>here</w:t>
        </w:r>
      </w:hyperlink>
      <w:r w:rsidRPr="00180B74">
        <w:rPr>
          <w:rFonts w:ascii="Arial" w:hAnsi="Arial" w:cs="Arial"/>
          <w:sz w:val="24"/>
        </w:rPr>
        <w:t>.</w:t>
      </w:r>
    </w:p>
    <w:p w14:paraId="079ED94A" w14:textId="77777777" w:rsidR="00C528CC" w:rsidRPr="00180B74" w:rsidRDefault="00C528CC" w:rsidP="00C528CC">
      <w:pPr>
        <w:jc w:val="both"/>
        <w:rPr>
          <w:rFonts w:ascii="Arial" w:hAnsi="Arial" w:cs="Arial"/>
          <w:sz w:val="24"/>
        </w:rPr>
      </w:pPr>
      <w:r w:rsidRPr="00180B74">
        <w:rPr>
          <w:rFonts w:ascii="Arial" w:hAnsi="Arial" w:cs="Arial"/>
          <w:sz w:val="24"/>
        </w:rPr>
        <w:t xml:space="preserve">Your responses to this survey will inform the review and will take approximately 15 minutes to complete. </w:t>
      </w:r>
    </w:p>
    <w:p w14:paraId="7402AF64" w14:textId="7B432113" w:rsidR="00C528CC" w:rsidRPr="00180B74" w:rsidRDefault="00C528CC" w:rsidP="00C528CC">
      <w:pPr>
        <w:jc w:val="both"/>
        <w:rPr>
          <w:rFonts w:ascii="Arial" w:hAnsi="Arial" w:cs="Arial"/>
          <w:sz w:val="24"/>
        </w:rPr>
      </w:pPr>
      <w:r w:rsidRPr="00180B74">
        <w:rPr>
          <w:rFonts w:ascii="Arial" w:hAnsi="Arial" w:cs="Arial"/>
          <w:sz w:val="24"/>
        </w:rPr>
        <w:t>We ask that you tak</w:t>
      </w:r>
      <w:r>
        <w:rPr>
          <w:rFonts w:ascii="Arial" w:hAnsi="Arial" w:cs="Arial"/>
          <w:sz w:val="24"/>
        </w:rPr>
        <w:t xml:space="preserve">e care in completing a survey. </w:t>
      </w:r>
      <w:r w:rsidRPr="00180B74">
        <w:rPr>
          <w:rFonts w:ascii="Arial" w:hAnsi="Arial" w:cs="Arial"/>
          <w:sz w:val="24"/>
        </w:rPr>
        <w:t>While you may lodge multiple written submissions</w:t>
      </w:r>
      <w:r>
        <w:rPr>
          <w:rFonts w:ascii="Arial" w:hAnsi="Arial" w:cs="Arial"/>
          <w:sz w:val="24"/>
        </w:rPr>
        <w:t xml:space="preserve"> </w:t>
      </w:r>
      <w:r w:rsidRPr="00180B74">
        <w:rPr>
          <w:rFonts w:ascii="Arial" w:hAnsi="Arial" w:cs="Arial"/>
          <w:sz w:val="24"/>
        </w:rPr>
        <w:t>via emai</w:t>
      </w:r>
      <w:r>
        <w:rPr>
          <w:rFonts w:ascii="Arial" w:hAnsi="Arial" w:cs="Arial"/>
          <w:sz w:val="24"/>
        </w:rPr>
        <w:t xml:space="preserve">l at </w:t>
      </w:r>
      <w:hyperlink r:id="rId13" w:history="1">
        <w:r w:rsidRPr="00196316">
          <w:rPr>
            <w:rStyle w:val="Hyperlink"/>
            <w:rFonts w:cs="Arial"/>
          </w:rPr>
          <w:t>actreview@dlgsc.wa.gov.au</w:t>
        </w:r>
      </w:hyperlink>
      <w:r w:rsidRPr="001E3B1C">
        <w:rPr>
          <w:rFonts w:ascii="Arial" w:hAnsi="Arial" w:cs="Arial"/>
          <w:sz w:val="24"/>
          <w:szCs w:val="24"/>
        </w:rPr>
        <w:t>, y</w:t>
      </w:r>
      <w:r w:rsidRPr="00180B74">
        <w:rPr>
          <w:rFonts w:ascii="Arial" w:hAnsi="Arial" w:cs="Arial"/>
          <w:sz w:val="24"/>
        </w:rPr>
        <w:t xml:space="preserve">ou will only be able to complete each </w:t>
      </w:r>
      <w:r>
        <w:rPr>
          <w:rFonts w:ascii="Arial" w:hAnsi="Arial" w:cs="Arial"/>
          <w:sz w:val="24"/>
        </w:rPr>
        <w:t>on</w:t>
      </w:r>
      <w:r w:rsidR="009232A2">
        <w:rPr>
          <w:rFonts w:ascii="Arial" w:hAnsi="Arial" w:cs="Arial"/>
          <w:sz w:val="24"/>
        </w:rPr>
        <w:t>l</w:t>
      </w:r>
      <w:r>
        <w:rPr>
          <w:rFonts w:ascii="Arial" w:hAnsi="Arial" w:cs="Arial"/>
          <w:sz w:val="24"/>
        </w:rPr>
        <w:t xml:space="preserve">ine </w:t>
      </w:r>
      <w:r w:rsidRPr="00180B74">
        <w:rPr>
          <w:rFonts w:ascii="Arial" w:hAnsi="Arial" w:cs="Arial"/>
          <w:sz w:val="24"/>
        </w:rPr>
        <w:t>topic survey once.</w:t>
      </w:r>
    </w:p>
    <w:p w14:paraId="260F826B" w14:textId="77777777" w:rsidR="00C528CC" w:rsidRPr="00180B74" w:rsidRDefault="00C528CC" w:rsidP="00C528CC">
      <w:pPr>
        <w:jc w:val="both"/>
        <w:rPr>
          <w:rFonts w:ascii="Arial" w:hAnsi="Arial" w:cs="Arial"/>
          <w:sz w:val="24"/>
        </w:rPr>
      </w:pPr>
      <w:r w:rsidRPr="00180B74">
        <w:rPr>
          <w:rFonts w:ascii="Arial" w:hAnsi="Arial" w:cs="Arial"/>
          <w:sz w:val="24"/>
        </w:rPr>
        <w:t>The public submission period closes on 3</w:t>
      </w:r>
      <w:r>
        <w:rPr>
          <w:rFonts w:ascii="Arial" w:hAnsi="Arial" w:cs="Arial"/>
          <w:sz w:val="24"/>
        </w:rPr>
        <w:t xml:space="preserve">1 March 2019. </w:t>
      </w:r>
      <w:r w:rsidRPr="00180B74">
        <w:rPr>
          <w:rFonts w:ascii="Arial" w:hAnsi="Arial" w:cs="Arial"/>
          <w:sz w:val="24"/>
        </w:rPr>
        <w:t xml:space="preserve">This is the last day </w:t>
      </w:r>
      <w:r>
        <w:rPr>
          <w:rFonts w:ascii="Arial" w:hAnsi="Arial" w:cs="Arial"/>
          <w:sz w:val="24"/>
        </w:rPr>
        <w:t xml:space="preserve">that </w:t>
      </w:r>
      <w:r w:rsidRPr="00180B74">
        <w:rPr>
          <w:rFonts w:ascii="Arial" w:hAnsi="Arial" w:cs="Arial"/>
          <w:sz w:val="24"/>
        </w:rPr>
        <w:t>you will be able to respond to the surveys.</w:t>
      </w:r>
    </w:p>
    <w:p w14:paraId="3C0B1CB6" w14:textId="77777777" w:rsidR="00C528CC" w:rsidRDefault="00C528CC" w:rsidP="00C528CC">
      <w:pPr>
        <w:jc w:val="both"/>
        <w:rPr>
          <w:rFonts w:ascii="Arial" w:hAnsi="Arial" w:cs="Arial"/>
          <w:sz w:val="24"/>
        </w:rPr>
      </w:pPr>
      <w:r w:rsidRPr="00180B74">
        <w:rPr>
          <w:rFonts w:ascii="Arial" w:hAnsi="Arial" w:cs="Arial"/>
          <w:sz w:val="24"/>
        </w:rPr>
        <w:t>Unless marked as confidential, your submission (including survey responses) will be made public and published in full on the Department’s website. Submissions that contain defamatory o</w:t>
      </w:r>
      <w:bookmarkStart w:id="17" w:name="_GoBack"/>
      <w:bookmarkEnd w:id="17"/>
      <w:r w:rsidRPr="00180B74">
        <w:rPr>
          <w:rFonts w:ascii="Arial" w:hAnsi="Arial" w:cs="Arial"/>
          <w:sz w:val="24"/>
        </w:rPr>
        <w:t>r offensive material will not be published.</w:t>
      </w:r>
    </w:p>
    <w:p w14:paraId="115943CB" w14:textId="77777777" w:rsidR="00C528CC" w:rsidRPr="00180B74" w:rsidRDefault="00C528CC" w:rsidP="00C528CC">
      <w:pPr>
        <w:jc w:val="both"/>
        <w:rPr>
          <w:rFonts w:ascii="Arial" w:hAnsi="Arial" w:cs="Arial"/>
          <w:sz w:val="24"/>
        </w:rPr>
      </w:pPr>
      <w:r w:rsidRPr="00180B74">
        <w:rPr>
          <w:rFonts w:ascii="Arial" w:hAnsi="Arial" w:cs="Arial"/>
          <w:sz w:val="24"/>
        </w:rPr>
        <w:t xml:space="preserve">The questions </w:t>
      </w:r>
      <w:r>
        <w:rPr>
          <w:rFonts w:ascii="Arial" w:hAnsi="Arial" w:cs="Arial"/>
          <w:sz w:val="24"/>
        </w:rPr>
        <w:t>in</w:t>
      </w:r>
      <w:r w:rsidRPr="00180B74">
        <w:rPr>
          <w:rFonts w:ascii="Arial" w:hAnsi="Arial" w:cs="Arial"/>
          <w:sz w:val="24"/>
        </w:rPr>
        <w:t xml:space="preserve"> the survey are provided below but we encourage you to complete the survey online which is available </w:t>
      </w:r>
      <w:hyperlink r:id="rId14" w:history="1">
        <w:r>
          <w:rPr>
            <w:rStyle w:val="Hyperlink"/>
          </w:rPr>
          <w:t>here</w:t>
        </w:r>
      </w:hyperlink>
      <w:r w:rsidRPr="00180B74">
        <w:rPr>
          <w:rFonts w:ascii="Arial" w:hAnsi="Arial" w:cs="Arial"/>
          <w:sz w:val="24"/>
        </w:rPr>
        <w:t>.</w:t>
      </w:r>
    </w:p>
    <w:bookmarkEnd w:id="16"/>
    <w:p w14:paraId="0FD986E7" w14:textId="03C813D1" w:rsidR="0067033C" w:rsidRDefault="0067033C" w:rsidP="005B25D6">
      <w:pPr>
        <w:jc w:val="both"/>
        <w:rPr>
          <w:rFonts w:ascii="Arial" w:hAnsi="Arial" w:cs="Arial"/>
        </w:rPr>
      </w:pPr>
      <w:r>
        <w:rPr>
          <w:rFonts w:ascii="Arial" w:hAnsi="Arial" w:cs="Arial"/>
        </w:rPr>
        <w:br w:type="page"/>
      </w:r>
    </w:p>
    <w:p w14:paraId="66D049F7" w14:textId="032FBEF8" w:rsidR="005770B8" w:rsidRPr="00514047" w:rsidRDefault="48359B0B" w:rsidP="48359B0B">
      <w:pPr>
        <w:rPr>
          <w:rFonts w:ascii="Arial" w:hAnsi="Arial" w:cs="Arial"/>
          <w:b/>
          <w:bCs/>
          <w:sz w:val="24"/>
        </w:rPr>
      </w:pPr>
      <w:r w:rsidRPr="00514047">
        <w:rPr>
          <w:rFonts w:ascii="Arial" w:hAnsi="Arial" w:cs="Arial"/>
          <w:b/>
          <w:bCs/>
          <w:i/>
          <w:iCs/>
          <w:sz w:val="24"/>
        </w:rPr>
        <w:lastRenderedPageBreak/>
        <w:t>Survey</w:t>
      </w:r>
      <w:r w:rsidRPr="00514047">
        <w:rPr>
          <w:rFonts w:ascii="Arial" w:hAnsi="Arial" w:cs="Arial"/>
          <w:b/>
          <w:bCs/>
          <w:sz w:val="24"/>
        </w:rPr>
        <w:t xml:space="preserve"> - Beneficial </w:t>
      </w:r>
      <w:r w:rsidR="00514047" w:rsidRPr="00514047">
        <w:rPr>
          <w:rFonts w:ascii="Arial" w:hAnsi="Arial" w:cs="Arial"/>
          <w:b/>
          <w:bCs/>
          <w:sz w:val="24"/>
        </w:rPr>
        <w:t>E</w:t>
      </w:r>
      <w:r w:rsidRPr="00514047">
        <w:rPr>
          <w:rFonts w:ascii="Arial" w:hAnsi="Arial" w:cs="Arial"/>
          <w:b/>
          <w:bCs/>
          <w:sz w:val="24"/>
        </w:rPr>
        <w:t xml:space="preserve">nterprises </w:t>
      </w:r>
    </w:p>
    <w:p w14:paraId="7198A6F3"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bookmarkStart w:id="18" w:name="_Hlk523309606"/>
      <w:r w:rsidRPr="00514047">
        <w:rPr>
          <w:rFonts w:ascii="Arial" w:hAnsi="Arial" w:cs="Arial"/>
          <w:sz w:val="24"/>
        </w:rPr>
        <w:t>Have you read the discussion paper associated with this survey?</w:t>
      </w:r>
    </w:p>
    <w:p w14:paraId="0849AF31"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Yes</w:t>
      </w:r>
    </w:p>
    <w:p w14:paraId="0DD2A878"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No</w:t>
      </w:r>
    </w:p>
    <w:p w14:paraId="6595C9E0"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Who are you completing this submission on behalf of?</w:t>
      </w:r>
    </w:p>
    <w:p w14:paraId="3E6E7EC0"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Yourself</w:t>
      </w:r>
    </w:p>
    <w:p w14:paraId="30016690" w14:textId="31E57DA3"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 xml:space="preserve">An organisation, including a </w:t>
      </w:r>
      <w:r w:rsidR="00514047">
        <w:rPr>
          <w:rFonts w:ascii="Arial" w:hAnsi="Arial" w:cs="Arial"/>
          <w:sz w:val="24"/>
        </w:rPr>
        <w:t>l</w:t>
      </w:r>
      <w:r w:rsidRPr="00514047">
        <w:rPr>
          <w:rFonts w:ascii="Arial" w:hAnsi="Arial" w:cs="Arial"/>
          <w:sz w:val="24"/>
        </w:rPr>
        <w:t xml:space="preserve">ocal </w:t>
      </w:r>
      <w:r w:rsidR="00514047">
        <w:rPr>
          <w:rFonts w:ascii="Arial" w:hAnsi="Arial" w:cs="Arial"/>
          <w:sz w:val="24"/>
        </w:rPr>
        <w:t>g</w:t>
      </w:r>
      <w:r w:rsidRPr="00514047">
        <w:rPr>
          <w:rFonts w:ascii="Arial" w:hAnsi="Arial" w:cs="Arial"/>
          <w:sz w:val="24"/>
        </w:rPr>
        <w:t>overnment, peak body or business</w:t>
      </w:r>
    </w:p>
    <w:p w14:paraId="40C881D9" w14:textId="04F33200"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What is the name of that organisation?</w:t>
      </w:r>
    </w:p>
    <w:p w14:paraId="672A2C02"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What is your name?</w:t>
      </w:r>
    </w:p>
    <w:p w14:paraId="57E7422F" w14:textId="18B60E98"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 xml:space="preserve">What best describes your relationship to </w:t>
      </w:r>
      <w:r w:rsidR="00514047">
        <w:rPr>
          <w:rFonts w:ascii="Arial" w:hAnsi="Arial" w:cs="Arial"/>
          <w:sz w:val="24"/>
        </w:rPr>
        <w:t>l</w:t>
      </w:r>
      <w:r w:rsidRPr="00514047">
        <w:rPr>
          <w:rFonts w:ascii="Arial" w:hAnsi="Arial" w:cs="Arial"/>
          <w:sz w:val="24"/>
        </w:rPr>
        <w:t xml:space="preserve">ocal </w:t>
      </w:r>
      <w:r w:rsidR="00514047">
        <w:rPr>
          <w:rFonts w:ascii="Arial" w:hAnsi="Arial" w:cs="Arial"/>
          <w:sz w:val="24"/>
        </w:rPr>
        <w:t>g</w:t>
      </w:r>
      <w:r w:rsidRPr="00514047">
        <w:rPr>
          <w:rFonts w:ascii="Arial" w:hAnsi="Arial" w:cs="Arial"/>
          <w:sz w:val="24"/>
        </w:rPr>
        <w:t>overnment?</w:t>
      </w:r>
    </w:p>
    <w:p w14:paraId="5DE2EFC5"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Resident / ratepayer</w:t>
      </w:r>
    </w:p>
    <w:p w14:paraId="66154B94"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Staff member or CEO</w:t>
      </w:r>
    </w:p>
    <w:p w14:paraId="5A016600" w14:textId="32E491B9"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 xml:space="preserve">Council member, including Mayor </w:t>
      </w:r>
      <w:r w:rsidR="00514047">
        <w:rPr>
          <w:rFonts w:ascii="Arial" w:hAnsi="Arial" w:cs="Arial"/>
          <w:sz w:val="24"/>
        </w:rPr>
        <w:t>or</w:t>
      </w:r>
      <w:r w:rsidRPr="00514047">
        <w:rPr>
          <w:rFonts w:ascii="Arial" w:hAnsi="Arial" w:cs="Arial"/>
          <w:sz w:val="24"/>
        </w:rPr>
        <w:t xml:space="preserve"> President</w:t>
      </w:r>
    </w:p>
    <w:p w14:paraId="02B2E3CC"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Peak body</w:t>
      </w:r>
    </w:p>
    <w:p w14:paraId="23D9BBC3"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State Government agency</w:t>
      </w:r>
    </w:p>
    <w:p w14:paraId="7304F996"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Supplier or commercial partner</w:t>
      </w:r>
    </w:p>
    <w:p w14:paraId="20E7E6DB"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Community organisation</w:t>
      </w:r>
    </w:p>
    <w:p w14:paraId="7B9020AB"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What best describes your gender?</w:t>
      </w:r>
    </w:p>
    <w:p w14:paraId="63423A67"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Male</w:t>
      </w:r>
    </w:p>
    <w:p w14:paraId="7EC76C0A"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Female</w:t>
      </w:r>
    </w:p>
    <w:p w14:paraId="4388A7AE"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Other</w:t>
      </w:r>
    </w:p>
    <w:p w14:paraId="6C95955A"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Not applicable / the submission is from an organisation</w:t>
      </w:r>
    </w:p>
    <w:p w14:paraId="418F810D"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What is your age?</w:t>
      </w:r>
    </w:p>
    <w:p w14:paraId="3956A42B"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0 – 18</w:t>
      </w:r>
    </w:p>
    <w:p w14:paraId="4BE4D44C"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19 – 35</w:t>
      </w:r>
    </w:p>
    <w:p w14:paraId="24B136D0"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36 – 45</w:t>
      </w:r>
    </w:p>
    <w:p w14:paraId="3D907CD0"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46 – 55</w:t>
      </w:r>
    </w:p>
    <w:p w14:paraId="6B111AB1"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56 – 65</w:t>
      </w:r>
    </w:p>
    <w:p w14:paraId="0A39DE0F"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66 – 75</w:t>
      </w:r>
    </w:p>
    <w:p w14:paraId="69088C56"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76+</w:t>
      </w:r>
    </w:p>
    <w:p w14:paraId="07FCA380"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Not applicable</w:t>
      </w:r>
    </w:p>
    <w:p w14:paraId="02191A54" w14:textId="6B6C3BDE"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 xml:space="preserve">Which </w:t>
      </w:r>
      <w:r w:rsidR="00514047">
        <w:rPr>
          <w:rFonts w:ascii="Arial" w:hAnsi="Arial" w:cs="Arial"/>
          <w:sz w:val="24"/>
        </w:rPr>
        <w:t>l</w:t>
      </w:r>
      <w:r w:rsidRPr="00514047">
        <w:rPr>
          <w:rFonts w:ascii="Arial" w:hAnsi="Arial" w:cs="Arial"/>
          <w:sz w:val="24"/>
        </w:rPr>
        <w:t xml:space="preserve">ocal </w:t>
      </w:r>
      <w:r w:rsidR="00514047">
        <w:rPr>
          <w:rFonts w:ascii="Arial" w:hAnsi="Arial" w:cs="Arial"/>
          <w:sz w:val="24"/>
        </w:rPr>
        <w:t>g</w:t>
      </w:r>
      <w:r w:rsidRPr="00514047">
        <w:rPr>
          <w:rFonts w:ascii="Arial" w:hAnsi="Arial" w:cs="Arial"/>
          <w:sz w:val="24"/>
        </w:rPr>
        <w:t>overnment do you interact with most?</w:t>
      </w:r>
    </w:p>
    <w:p w14:paraId="1813BE2B"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 xml:space="preserve">Would you like to be updated on the progress of the </w:t>
      </w:r>
      <w:r w:rsidRPr="00514047">
        <w:rPr>
          <w:rFonts w:ascii="Arial" w:hAnsi="Arial" w:cs="Arial"/>
          <w:i/>
          <w:sz w:val="24"/>
        </w:rPr>
        <w:t>Local Government Act 1995</w:t>
      </w:r>
      <w:r w:rsidRPr="00514047">
        <w:rPr>
          <w:rFonts w:ascii="Arial" w:hAnsi="Arial" w:cs="Arial"/>
          <w:sz w:val="24"/>
        </w:rPr>
        <w:t xml:space="preserve"> review and further opportunities to have your say?</w:t>
      </w:r>
    </w:p>
    <w:p w14:paraId="48732D32"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Yes</w:t>
      </w:r>
    </w:p>
    <w:p w14:paraId="0599C324"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No</w:t>
      </w:r>
    </w:p>
    <w:p w14:paraId="76DFE5BC" w14:textId="77777777" w:rsidR="005770B8"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Do you wish for your response to this survey to be confidential?</w:t>
      </w:r>
    </w:p>
    <w:p w14:paraId="067D5D34"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Yes</w:t>
      </w:r>
    </w:p>
    <w:p w14:paraId="126D49C4" w14:textId="77777777" w:rsidR="005770B8"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No</w:t>
      </w:r>
    </w:p>
    <w:p w14:paraId="66E54FED" w14:textId="2FE3C7C6" w:rsidR="008A6D27"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What is your email address?</w:t>
      </w:r>
      <w:bookmarkEnd w:id="18"/>
    </w:p>
    <w:p w14:paraId="6AB9B13E" w14:textId="77777777" w:rsidR="00514047" w:rsidRDefault="48359B0B" w:rsidP="00A272EE">
      <w:pPr>
        <w:pStyle w:val="ListParagraph"/>
        <w:keepNext/>
        <w:keepLines/>
        <w:numPr>
          <w:ilvl w:val="0"/>
          <w:numId w:val="1"/>
        </w:numPr>
        <w:spacing w:after="120" w:line="276" w:lineRule="auto"/>
        <w:ind w:left="567" w:hanging="357"/>
        <w:jc w:val="both"/>
        <w:rPr>
          <w:rFonts w:ascii="Arial" w:hAnsi="Arial" w:cs="Arial"/>
          <w:sz w:val="24"/>
        </w:rPr>
      </w:pPr>
      <w:bookmarkStart w:id="19" w:name="_Hlk524016079"/>
      <w:r w:rsidRPr="00514047">
        <w:rPr>
          <w:rFonts w:ascii="Arial" w:hAnsi="Arial" w:cs="Arial"/>
          <w:sz w:val="24"/>
        </w:rPr>
        <w:lastRenderedPageBreak/>
        <w:t>The local government sector has been requesting that it be given additional powers to form independent corporations. These entities could be used to manage part of a local government’s existing business activity or pursu</w:t>
      </w:r>
      <w:r w:rsidR="00514047">
        <w:rPr>
          <w:rFonts w:ascii="Arial" w:hAnsi="Arial" w:cs="Arial"/>
          <w:sz w:val="24"/>
        </w:rPr>
        <w:t xml:space="preserve">e new commercial opportunities. </w:t>
      </w:r>
      <w:r w:rsidRPr="00514047">
        <w:rPr>
          <w:rFonts w:ascii="Arial" w:hAnsi="Arial" w:cs="Arial"/>
          <w:sz w:val="24"/>
        </w:rPr>
        <w:t xml:space="preserve">To what extent do you support the following statement? </w:t>
      </w:r>
    </w:p>
    <w:p w14:paraId="7C55BCD5" w14:textId="26A6DEAF" w:rsidR="00957DE0" w:rsidRPr="00514047" w:rsidRDefault="48359B0B" w:rsidP="00514047">
      <w:pPr>
        <w:pStyle w:val="ListParagraph"/>
        <w:spacing w:after="120" w:line="276" w:lineRule="auto"/>
        <w:ind w:left="567"/>
        <w:jc w:val="both"/>
        <w:rPr>
          <w:rFonts w:ascii="Arial" w:hAnsi="Arial" w:cs="Arial"/>
          <w:sz w:val="24"/>
        </w:rPr>
      </w:pPr>
      <w:r w:rsidRPr="00514047">
        <w:rPr>
          <w:rFonts w:ascii="Arial" w:hAnsi="Arial" w:cs="Arial"/>
          <w:sz w:val="24"/>
        </w:rPr>
        <w:t>"A</w:t>
      </w:r>
      <w:r w:rsidR="00514047">
        <w:rPr>
          <w:rFonts w:ascii="Arial" w:hAnsi="Arial" w:cs="Arial"/>
          <w:sz w:val="24"/>
        </w:rPr>
        <w:t xml:space="preserve"> local g</w:t>
      </w:r>
      <w:r w:rsidRPr="00514047">
        <w:rPr>
          <w:rFonts w:ascii="Arial" w:hAnsi="Arial" w:cs="Arial"/>
          <w:sz w:val="24"/>
        </w:rPr>
        <w:t>overnment should be able to create a company known as a beneficial enterprise."</w:t>
      </w:r>
    </w:p>
    <w:p w14:paraId="003A42F9" w14:textId="77777777" w:rsidR="00957DE0"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Very unsupportive</w:t>
      </w:r>
    </w:p>
    <w:p w14:paraId="56280D38" w14:textId="77777777" w:rsidR="00957DE0"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Unsupportive</w:t>
      </w:r>
    </w:p>
    <w:p w14:paraId="598FF11D" w14:textId="77777777" w:rsidR="00957DE0"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Neutral</w:t>
      </w:r>
    </w:p>
    <w:p w14:paraId="0221D09D" w14:textId="77777777" w:rsidR="00957DE0"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Supportive</w:t>
      </w:r>
    </w:p>
    <w:p w14:paraId="664CB9CD" w14:textId="77777777" w:rsidR="00957DE0" w:rsidRPr="00514047" w:rsidRDefault="48359B0B" w:rsidP="48359B0B">
      <w:pPr>
        <w:pStyle w:val="ListParagraph"/>
        <w:numPr>
          <w:ilvl w:val="1"/>
          <w:numId w:val="1"/>
        </w:numPr>
        <w:spacing w:after="120" w:line="276" w:lineRule="auto"/>
        <w:jc w:val="both"/>
        <w:rPr>
          <w:rFonts w:ascii="Arial" w:hAnsi="Arial" w:cs="Arial"/>
          <w:sz w:val="24"/>
        </w:rPr>
      </w:pPr>
      <w:r w:rsidRPr="00514047">
        <w:rPr>
          <w:rFonts w:ascii="Arial" w:hAnsi="Arial" w:cs="Arial"/>
          <w:sz w:val="24"/>
        </w:rPr>
        <w:t>Very supportive</w:t>
      </w:r>
    </w:p>
    <w:p w14:paraId="2880D21B" w14:textId="77777777" w:rsidR="008D019D"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 xml:space="preserve">To what extent do you support the following statements? </w:t>
      </w:r>
    </w:p>
    <w:tbl>
      <w:tblPr>
        <w:tblStyle w:val="TableGrid"/>
        <w:tblW w:w="9782" w:type="dxa"/>
        <w:tblInd w:w="-289" w:type="dxa"/>
        <w:tblLook w:val="04A0" w:firstRow="1" w:lastRow="0" w:firstColumn="1" w:lastColumn="0" w:noHBand="0" w:noVBand="1"/>
      </w:tblPr>
      <w:tblGrid>
        <w:gridCol w:w="5246"/>
        <w:gridCol w:w="907"/>
        <w:gridCol w:w="907"/>
        <w:gridCol w:w="907"/>
        <w:gridCol w:w="907"/>
        <w:gridCol w:w="908"/>
      </w:tblGrid>
      <w:tr w:rsidR="003774E0" w:rsidRPr="00A528EC" w14:paraId="34B5EB51" w14:textId="77777777" w:rsidTr="001127BB">
        <w:trPr>
          <w:cnfStyle w:val="100000000000" w:firstRow="1" w:lastRow="0" w:firstColumn="0" w:lastColumn="0" w:oddVBand="0" w:evenVBand="0" w:oddHBand="0" w:evenHBand="0" w:firstRowFirstColumn="0" w:firstRowLastColumn="0" w:lastRowFirstColumn="0" w:lastRowLastColumn="0"/>
          <w:cantSplit/>
          <w:trHeight w:val="2263"/>
        </w:trPr>
        <w:tc>
          <w:tcPr>
            <w:tcW w:w="5246" w:type="dxa"/>
          </w:tcPr>
          <w:p w14:paraId="71091E1D" w14:textId="77777777" w:rsidR="003774E0" w:rsidRPr="00A528EC" w:rsidRDefault="003774E0" w:rsidP="005A2825">
            <w:pPr>
              <w:spacing w:before="120" w:after="120"/>
              <w:jc w:val="both"/>
              <w:rPr>
                <w:rFonts w:cs="Arial"/>
                <w:b w:val="0"/>
                <w:szCs w:val="24"/>
              </w:rPr>
            </w:pPr>
          </w:p>
        </w:tc>
        <w:tc>
          <w:tcPr>
            <w:tcW w:w="907" w:type="dxa"/>
            <w:textDirection w:val="btLr"/>
          </w:tcPr>
          <w:p w14:paraId="05D5233E" w14:textId="77777777" w:rsidR="003774E0" w:rsidRPr="00A528EC" w:rsidRDefault="48359B0B" w:rsidP="005A2825">
            <w:pPr>
              <w:spacing w:before="120" w:after="120"/>
              <w:jc w:val="both"/>
              <w:rPr>
                <w:rFonts w:cs="Arial"/>
                <w:b w:val="0"/>
                <w:szCs w:val="24"/>
              </w:rPr>
            </w:pPr>
            <w:r w:rsidRPr="00A528EC">
              <w:rPr>
                <w:rFonts w:cs="Arial"/>
                <w:b w:val="0"/>
                <w:szCs w:val="24"/>
              </w:rPr>
              <w:t>Very unsupportive</w:t>
            </w:r>
          </w:p>
        </w:tc>
        <w:tc>
          <w:tcPr>
            <w:tcW w:w="907" w:type="dxa"/>
            <w:textDirection w:val="btLr"/>
          </w:tcPr>
          <w:p w14:paraId="5CB5B9CB" w14:textId="77777777" w:rsidR="003774E0" w:rsidRPr="00A528EC" w:rsidRDefault="48359B0B" w:rsidP="005A2825">
            <w:pPr>
              <w:spacing w:before="120" w:after="120"/>
              <w:jc w:val="both"/>
              <w:rPr>
                <w:rFonts w:cs="Arial"/>
                <w:b w:val="0"/>
                <w:szCs w:val="24"/>
              </w:rPr>
            </w:pPr>
            <w:r w:rsidRPr="00A528EC">
              <w:rPr>
                <w:rFonts w:cs="Arial"/>
                <w:b w:val="0"/>
                <w:szCs w:val="24"/>
              </w:rPr>
              <w:t>Unsupportive</w:t>
            </w:r>
          </w:p>
        </w:tc>
        <w:tc>
          <w:tcPr>
            <w:tcW w:w="907" w:type="dxa"/>
            <w:textDirection w:val="btLr"/>
          </w:tcPr>
          <w:p w14:paraId="42A58A65" w14:textId="77777777" w:rsidR="003774E0" w:rsidRPr="00A528EC" w:rsidRDefault="48359B0B" w:rsidP="005A2825">
            <w:pPr>
              <w:spacing w:before="120" w:after="120"/>
              <w:jc w:val="both"/>
              <w:rPr>
                <w:rFonts w:cs="Arial"/>
                <w:b w:val="0"/>
                <w:szCs w:val="24"/>
              </w:rPr>
            </w:pPr>
            <w:r w:rsidRPr="00A528EC">
              <w:rPr>
                <w:rFonts w:cs="Arial"/>
                <w:b w:val="0"/>
                <w:szCs w:val="24"/>
              </w:rPr>
              <w:t>Neutral</w:t>
            </w:r>
          </w:p>
        </w:tc>
        <w:tc>
          <w:tcPr>
            <w:tcW w:w="907" w:type="dxa"/>
            <w:textDirection w:val="btLr"/>
          </w:tcPr>
          <w:p w14:paraId="63BB22E0" w14:textId="77777777" w:rsidR="003774E0" w:rsidRPr="00A528EC" w:rsidRDefault="48359B0B" w:rsidP="005A2825">
            <w:pPr>
              <w:spacing w:before="120" w:after="120"/>
              <w:jc w:val="both"/>
              <w:rPr>
                <w:rFonts w:cs="Arial"/>
                <w:b w:val="0"/>
                <w:szCs w:val="24"/>
              </w:rPr>
            </w:pPr>
            <w:r w:rsidRPr="00A528EC">
              <w:rPr>
                <w:rFonts w:cs="Arial"/>
                <w:b w:val="0"/>
                <w:szCs w:val="24"/>
              </w:rPr>
              <w:t>Supportive</w:t>
            </w:r>
          </w:p>
        </w:tc>
        <w:tc>
          <w:tcPr>
            <w:tcW w:w="908" w:type="dxa"/>
            <w:textDirection w:val="btLr"/>
          </w:tcPr>
          <w:p w14:paraId="1D35D194" w14:textId="77777777" w:rsidR="003774E0" w:rsidRPr="00A528EC" w:rsidRDefault="48359B0B" w:rsidP="005A2825">
            <w:pPr>
              <w:spacing w:before="120" w:after="120"/>
              <w:jc w:val="both"/>
              <w:rPr>
                <w:rFonts w:cs="Arial"/>
                <w:b w:val="0"/>
                <w:szCs w:val="24"/>
              </w:rPr>
            </w:pPr>
            <w:r w:rsidRPr="00A528EC">
              <w:rPr>
                <w:rFonts w:cs="Arial"/>
                <w:b w:val="0"/>
                <w:szCs w:val="24"/>
              </w:rPr>
              <w:t>Very supportive</w:t>
            </w:r>
          </w:p>
        </w:tc>
      </w:tr>
      <w:tr w:rsidR="003774E0" w:rsidRPr="00A528EC" w14:paraId="184150A9" w14:textId="77777777" w:rsidTr="48359B0B">
        <w:tc>
          <w:tcPr>
            <w:tcW w:w="5246" w:type="dxa"/>
          </w:tcPr>
          <w:p w14:paraId="42114004" w14:textId="77777777" w:rsidR="003774E0" w:rsidRPr="00A528EC" w:rsidRDefault="48359B0B" w:rsidP="005A2825">
            <w:pPr>
              <w:spacing w:before="120" w:after="120"/>
              <w:rPr>
                <w:rFonts w:cs="Arial"/>
                <w:szCs w:val="24"/>
              </w:rPr>
            </w:pPr>
            <w:r w:rsidRPr="00A528EC">
              <w:rPr>
                <w:rFonts w:cs="Arial"/>
                <w:szCs w:val="24"/>
              </w:rPr>
              <w:t>“There should be no limitations on a Local Government to create a beneficial enterprise."</w:t>
            </w:r>
          </w:p>
        </w:tc>
        <w:tc>
          <w:tcPr>
            <w:tcW w:w="907" w:type="dxa"/>
          </w:tcPr>
          <w:p w14:paraId="2AD1BF22" w14:textId="77777777" w:rsidR="003774E0" w:rsidRPr="00A528EC" w:rsidRDefault="003774E0" w:rsidP="005A2825">
            <w:pPr>
              <w:spacing w:before="120" w:after="120"/>
              <w:jc w:val="both"/>
              <w:rPr>
                <w:rFonts w:cs="Arial"/>
                <w:b/>
                <w:szCs w:val="24"/>
              </w:rPr>
            </w:pPr>
          </w:p>
        </w:tc>
        <w:tc>
          <w:tcPr>
            <w:tcW w:w="907" w:type="dxa"/>
          </w:tcPr>
          <w:p w14:paraId="4B9E417C" w14:textId="77777777" w:rsidR="003774E0" w:rsidRPr="00A528EC" w:rsidRDefault="003774E0" w:rsidP="005A2825">
            <w:pPr>
              <w:spacing w:before="120" w:after="120"/>
              <w:jc w:val="both"/>
              <w:rPr>
                <w:rFonts w:cs="Arial"/>
                <w:b/>
                <w:szCs w:val="24"/>
              </w:rPr>
            </w:pPr>
          </w:p>
        </w:tc>
        <w:tc>
          <w:tcPr>
            <w:tcW w:w="907" w:type="dxa"/>
          </w:tcPr>
          <w:p w14:paraId="11430C7D" w14:textId="77777777" w:rsidR="003774E0" w:rsidRPr="00A528EC" w:rsidRDefault="003774E0" w:rsidP="005A2825">
            <w:pPr>
              <w:spacing w:before="120" w:after="120"/>
              <w:jc w:val="both"/>
              <w:rPr>
                <w:rFonts w:cs="Arial"/>
                <w:b/>
                <w:szCs w:val="24"/>
              </w:rPr>
            </w:pPr>
          </w:p>
        </w:tc>
        <w:tc>
          <w:tcPr>
            <w:tcW w:w="907" w:type="dxa"/>
          </w:tcPr>
          <w:p w14:paraId="5442D41A" w14:textId="77777777" w:rsidR="003774E0" w:rsidRPr="00A528EC" w:rsidRDefault="003774E0" w:rsidP="005A2825">
            <w:pPr>
              <w:spacing w:before="120" w:after="120"/>
              <w:jc w:val="both"/>
              <w:rPr>
                <w:rFonts w:cs="Arial"/>
                <w:b/>
                <w:szCs w:val="24"/>
              </w:rPr>
            </w:pPr>
          </w:p>
        </w:tc>
        <w:tc>
          <w:tcPr>
            <w:tcW w:w="908" w:type="dxa"/>
          </w:tcPr>
          <w:p w14:paraId="22CFC83B" w14:textId="77777777" w:rsidR="003774E0" w:rsidRPr="00A528EC" w:rsidRDefault="003774E0" w:rsidP="005A2825">
            <w:pPr>
              <w:spacing w:before="120" w:after="120"/>
              <w:jc w:val="both"/>
              <w:rPr>
                <w:rFonts w:cs="Arial"/>
                <w:b/>
                <w:szCs w:val="24"/>
              </w:rPr>
            </w:pPr>
          </w:p>
        </w:tc>
      </w:tr>
      <w:tr w:rsidR="003774E0" w:rsidRPr="00A528EC" w14:paraId="22CE6BFE" w14:textId="77777777" w:rsidTr="48359B0B">
        <w:tc>
          <w:tcPr>
            <w:tcW w:w="5246" w:type="dxa"/>
          </w:tcPr>
          <w:p w14:paraId="1CC012FA" w14:textId="7993686A" w:rsidR="003774E0" w:rsidRPr="00A528EC" w:rsidRDefault="48359B0B" w:rsidP="005A2825">
            <w:pPr>
              <w:spacing w:before="120" w:after="120"/>
              <w:rPr>
                <w:rFonts w:cs="Arial"/>
                <w:szCs w:val="24"/>
              </w:rPr>
            </w:pPr>
            <w:r w:rsidRPr="00A528EC">
              <w:rPr>
                <w:rFonts w:cs="Arial"/>
                <w:szCs w:val="24"/>
              </w:rPr>
              <w:t xml:space="preserve">"Only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overnments deemed to be a low risk should be allowed to create a beneficial enterprise."</w:t>
            </w:r>
          </w:p>
        </w:tc>
        <w:tc>
          <w:tcPr>
            <w:tcW w:w="907" w:type="dxa"/>
          </w:tcPr>
          <w:p w14:paraId="0FA4C169" w14:textId="77777777" w:rsidR="003774E0" w:rsidRPr="00A528EC" w:rsidRDefault="003774E0" w:rsidP="005A2825">
            <w:pPr>
              <w:spacing w:before="120" w:after="120"/>
              <w:jc w:val="both"/>
              <w:rPr>
                <w:rFonts w:cs="Arial"/>
                <w:szCs w:val="24"/>
              </w:rPr>
            </w:pPr>
          </w:p>
        </w:tc>
        <w:tc>
          <w:tcPr>
            <w:tcW w:w="907" w:type="dxa"/>
          </w:tcPr>
          <w:p w14:paraId="3E9CA2A6" w14:textId="77777777" w:rsidR="003774E0" w:rsidRPr="00A528EC" w:rsidRDefault="003774E0" w:rsidP="005A2825">
            <w:pPr>
              <w:spacing w:before="120" w:after="120"/>
              <w:jc w:val="both"/>
              <w:rPr>
                <w:rFonts w:cs="Arial"/>
                <w:szCs w:val="24"/>
              </w:rPr>
            </w:pPr>
          </w:p>
        </w:tc>
        <w:tc>
          <w:tcPr>
            <w:tcW w:w="907" w:type="dxa"/>
          </w:tcPr>
          <w:p w14:paraId="1A189B6A" w14:textId="77777777" w:rsidR="003774E0" w:rsidRPr="00A528EC" w:rsidRDefault="003774E0" w:rsidP="005A2825">
            <w:pPr>
              <w:spacing w:before="120" w:after="120"/>
              <w:jc w:val="both"/>
              <w:rPr>
                <w:rFonts w:cs="Arial"/>
                <w:szCs w:val="24"/>
              </w:rPr>
            </w:pPr>
          </w:p>
        </w:tc>
        <w:tc>
          <w:tcPr>
            <w:tcW w:w="907" w:type="dxa"/>
          </w:tcPr>
          <w:p w14:paraId="3D0EF492" w14:textId="77777777" w:rsidR="003774E0" w:rsidRPr="00A528EC" w:rsidRDefault="003774E0" w:rsidP="005A2825">
            <w:pPr>
              <w:spacing w:before="120" w:after="120"/>
              <w:jc w:val="both"/>
              <w:rPr>
                <w:rFonts w:cs="Arial"/>
                <w:szCs w:val="24"/>
              </w:rPr>
            </w:pPr>
          </w:p>
        </w:tc>
        <w:tc>
          <w:tcPr>
            <w:tcW w:w="908" w:type="dxa"/>
          </w:tcPr>
          <w:p w14:paraId="01C94E53" w14:textId="77777777" w:rsidR="003774E0" w:rsidRPr="00A528EC" w:rsidRDefault="003774E0" w:rsidP="005A2825">
            <w:pPr>
              <w:spacing w:before="120" w:after="120"/>
              <w:jc w:val="both"/>
              <w:rPr>
                <w:rFonts w:cs="Arial"/>
                <w:szCs w:val="24"/>
              </w:rPr>
            </w:pPr>
          </w:p>
        </w:tc>
      </w:tr>
      <w:tr w:rsidR="003774E0" w:rsidRPr="00A528EC" w14:paraId="7B6622E2" w14:textId="77777777" w:rsidTr="48359B0B">
        <w:tc>
          <w:tcPr>
            <w:tcW w:w="5246" w:type="dxa"/>
          </w:tcPr>
          <w:p w14:paraId="6411BEB3" w14:textId="4B9F8B3E" w:rsidR="003774E0" w:rsidRPr="00A528EC" w:rsidRDefault="48359B0B" w:rsidP="005A2825">
            <w:pPr>
              <w:spacing w:before="120" w:after="120"/>
              <w:rPr>
                <w:rFonts w:cs="Arial"/>
                <w:szCs w:val="24"/>
              </w:rPr>
            </w:pPr>
            <w:r w:rsidRPr="00A528EC">
              <w:rPr>
                <w:rFonts w:cs="Arial"/>
                <w:szCs w:val="24"/>
              </w:rPr>
              <w:t xml:space="preserve">"Only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overnments that meet a threshold for financial health should be allowed to be create a beneficial enterprise."</w:t>
            </w:r>
          </w:p>
        </w:tc>
        <w:tc>
          <w:tcPr>
            <w:tcW w:w="907" w:type="dxa"/>
          </w:tcPr>
          <w:p w14:paraId="17CDB830" w14:textId="77777777" w:rsidR="003774E0" w:rsidRPr="00A528EC" w:rsidRDefault="003774E0" w:rsidP="005A2825">
            <w:pPr>
              <w:spacing w:before="120" w:after="120"/>
              <w:jc w:val="both"/>
              <w:rPr>
                <w:rFonts w:cs="Arial"/>
                <w:szCs w:val="24"/>
              </w:rPr>
            </w:pPr>
          </w:p>
        </w:tc>
        <w:tc>
          <w:tcPr>
            <w:tcW w:w="907" w:type="dxa"/>
          </w:tcPr>
          <w:p w14:paraId="4A1FD723" w14:textId="77777777" w:rsidR="003774E0" w:rsidRPr="00A528EC" w:rsidRDefault="003774E0" w:rsidP="005A2825">
            <w:pPr>
              <w:spacing w:before="120" w:after="120"/>
              <w:jc w:val="both"/>
              <w:rPr>
                <w:rFonts w:cs="Arial"/>
                <w:szCs w:val="24"/>
              </w:rPr>
            </w:pPr>
          </w:p>
        </w:tc>
        <w:tc>
          <w:tcPr>
            <w:tcW w:w="907" w:type="dxa"/>
          </w:tcPr>
          <w:p w14:paraId="428D416A" w14:textId="77777777" w:rsidR="003774E0" w:rsidRPr="00A528EC" w:rsidRDefault="003774E0" w:rsidP="005A2825">
            <w:pPr>
              <w:spacing w:before="120" w:after="120"/>
              <w:jc w:val="both"/>
              <w:rPr>
                <w:rFonts w:cs="Arial"/>
                <w:szCs w:val="24"/>
              </w:rPr>
            </w:pPr>
          </w:p>
        </w:tc>
        <w:tc>
          <w:tcPr>
            <w:tcW w:w="907" w:type="dxa"/>
          </w:tcPr>
          <w:p w14:paraId="40136855" w14:textId="77777777" w:rsidR="003774E0" w:rsidRPr="00A528EC" w:rsidRDefault="003774E0" w:rsidP="005A2825">
            <w:pPr>
              <w:spacing w:before="120" w:after="120"/>
              <w:jc w:val="both"/>
              <w:rPr>
                <w:rFonts w:cs="Arial"/>
                <w:szCs w:val="24"/>
              </w:rPr>
            </w:pPr>
          </w:p>
        </w:tc>
        <w:tc>
          <w:tcPr>
            <w:tcW w:w="908" w:type="dxa"/>
          </w:tcPr>
          <w:p w14:paraId="43966324" w14:textId="77777777" w:rsidR="003774E0" w:rsidRPr="00A528EC" w:rsidRDefault="003774E0" w:rsidP="005A2825">
            <w:pPr>
              <w:spacing w:before="120" w:after="120"/>
              <w:jc w:val="both"/>
              <w:rPr>
                <w:rFonts w:cs="Arial"/>
                <w:szCs w:val="24"/>
              </w:rPr>
            </w:pPr>
          </w:p>
        </w:tc>
      </w:tr>
      <w:tr w:rsidR="003774E0" w:rsidRPr="00A528EC" w14:paraId="22E88C38" w14:textId="77777777" w:rsidTr="48359B0B">
        <w:tc>
          <w:tcPr>
            <w:tcW w:w="5246" w:type="dxa"/>
          </w:tcPr>
          <w:p w14:paraId="18552AE5" w14:textId="1510AE72" w:rsidR="003774E0" w:rsidRPr="00A528EC" w:rsidRDefault="48359B0B" w:rsidP="005A2825">
            <w:pPr>
              <w:spacing w:before="120" w:after="120"/>
              <w:rPr>
                <w:rFonts w:cs="Arial"/>
                <w:szCs w:val="24"/>
              </w:rPr>
            </w:pPr>
            <w:r w:rsidRPr="00A528EC">
              <w:rPr>
                <w:rFonts w:cs="Arial"/>
                <w:szCs w:val="24"/>
              </w:rPr>
              <w:t xml:space="preserve">"Local </w:t>
            </w:r>
            <w:r w:rsidR="00514047" w:rsidRPr="00A528EC">
              <w:rPr>
                <w:rFonts w:cs="Arial"/>
                <w:szCs w:val="24"/>
              </w:rPr>
              <w:t>g</w:t>
            </w:r>
            <w:r w:rsidRPr="00A528EC">
              <w:rPr>
                <w:rFonts w:cs="Arial"/>
                <w:szCs w:val="24"/>
              </w:rPr>
              <w:t>overnments should only be permitted to invest in a company up to a specific percentage of their annual expenditure."</w:t>
            </w:r>
          </w:p>
        </w:tc>
        <w:tc>
          <w:tcPr>
            <w:tcW w:w="907" w:type="dxa"/>
          </w:tcPr>
          <w:p w14:paraId="165B5129" w14:textId="77777777" w:rsidR="003774E0" w:rsidRPr="00A528EC" w:rsidRDefault="003774E0" w:rsidP="005A2825">
            <w:pPr>
              <w:spacing w:before="120" w:after="120"/>
              <w:jc w:val="both"/>
              <w:rPr>
                <w:rFonts w:cs="Arial"/>
                <w:szCs w:val="24"/>
              </w:rPr>
            </w:pPr>
          </w:p>
        </w:tc>
        <w:tc>
          <w:tcPr>
            <w:tcW w:w="907" w:type="dxa"/>
          </w:tcPr>
          <w:p w14:paraId="48454DB0" w14:textId="77777777" w:rsidR="003774E0" w:rsidRPr="00A528EC" w:rsidRDefault="003774E0" w:rsidP="005A2825">
            <w:pPr>
              <w:spacing w:before="120" w:after="120"/>
              <w:jc w:val="both"/>
              <w:rPr>
                <w:rFonts w:cs="Arial"/>
                <w:szCs w:val="24"/>
              </w:rPr>
            </w:pPr>
          </w:p>
        </w:tc>
        <w:tc>
          <w:tcPr>
            <w:tcW w:w="907" w:type="dxa"/>
          </w:tcPr>
          <w:p w14:paraId="25C230D5" w14:textId="77777777" w:rsidR="003774E0" w:rsidRPr="00A528EC" w:rsidRDefault="003774E0" w:rsidP="005A2825">
            <w:pPr>
              <w:spacing w:before="120" w:after="120"/>
              <w:jc w:val="both"/>
              <w:rPr>
                <w:rFonts w:cs="Arial"/>
                <w:szCs w:val="24"/>
              </w:rPr>
            </w:pPr>
          </w:p>
        </w:tc>
        <w:tc>
          <w:tcPr>
            <w:tcW w:w="907" w:type="dxa"/>
          </w:tcPr>
          <w:p w14:paraId="25D81154" w14:textId="77777777" w:rsidR="003774E0" w:rsidRPr="00A528EC" w:rsidRDefault="003774E0" w:rsidP="005A2825">
            <w:pPr>
              <w:spacing w:before="120" w:after="120"/>
              <w:jc w:val="both"/>
              <w:rPr>
                <w:rFonts w:cs="Arial"/>
                <w:szCs w:val="24"/>
              </w:rPr>
            </w:pPr>
          </w:p>
        </w:tc>
        <w:tc>
          <w:tcPr>
            <w:tcW w:w="908" w:type="dxa"/>
          </w:tcPr>
          <w:p w14:paraId="6D1D94F6" w14:textId="77777777" w:rsidR="003774E0" w:rsidRPr="00A528EC" w:rsidRDefault="003774E0" w:rsidP="005A2825">
            <w:pPr>
              <w:spacing w:before="120" w:after="120"/>
              <w:jc w:val="both"/>
              <w:rPr>
                <w:rFonts w:cs="Arial"/>
                <w:szCs w:val="24"/>
              </w:rPr>
            </w:pPr>
          </w:p>
        </w:tc>
      </w:tr>
      <w:tr w:rsidR="003774E0" w:rsidRPr="00A528EC" w14:paraId="1197799C" w14:textId="77777777" w:rsidTr="48359B0B">
        <w:tc>
          <w:tcPr>
            <w:tcW w:w="5246" w:type="dxa"/>
          </w:tcPr>
          <w:p w14:paraId="4E57F4B8" w14:textId="1CB0F590" w:rsidR="003774E0" w:rsidRPr="00A528EC" w:rsidRDefault="48359B0B" w:rsidP="005A2825">
            <w:pPr>
              <w:spacing w:before="120" w:after="120"/>
              <w:rPr>
                <w:rFonts w:cs="Arial"/>
                <w:szCs w:val="24"/>
              </w:rPr>
            </w:pPr>
            <w:r w:rsidRPr="00A528EC">
              <w:rPr>
                <w:rFonts w:cs="Arial"/>
                <w:szCs w:val="24"/>
              </w:rPr>
              <w:t xml:space="preserve">"Only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overnments that are in band 1 &amp; 2 of the Salaries and Allowance Tribunal banding should be allowed to create a beneficial enterprise."</w:t>
            </w:r>
          </w:p>
        </w:tc>
        <w:tc>
          <w:tcPr>
            <w:tcW w:w="907" w:type="dxa"/>
          </w:tcPr>
          <w:p w14:paraId="1F540F69" w14:textId="77777777" w:rsidR="003774E0" w:rsidRPr="00A528EC" w:rsidRDefault="003774E0" w:rsidP="005A2825">
            <w:pPr>
              <w:spacing w:before="120" w:after="120"/>
              <w:jc w:val="both"/>
              <w:rPr>
                <w:rFonts w:cs="Arial"/>
                <w:szCs w:val="24"/>
              </w:rPr>
            </w:pPr>
          </w:p>
        </w:tc>
        <w:tc>
          <w:tcPr>
            <w:tcW w:w="907" w:type="dxa"/>
          </w:tcPr>
          <w:p w14:paraId="76DFFD71" w14:textId="77777777" w:rsidR="003774E0" w:rsidRPr="00A528EC" w:rsidRDefault="003774E0" w:rsidP="005A2825">
            <w:pPr>
              <w:spacing w:before="120" w:after="120"/>
              <w:jc w:val="both"/>
              <w:rPr>
                <w:rFonts w:cs="Arial"/>
                <w:szCs w:val="24"/>
              </w:rPr>
            </w:pPr>
          </w:p>
        </w:tc>
        <w:tc>
          <w:tcPr>
            <w:tcW w:w="907" w:type="dxa"/>
          </w:tcPr>
          <w:p w14:paraId="0A0AD123" w14:textId="77777777" w:rsidR="003774E0" w:rsidRPr="00A528EC" w:rsidRDefault="003774E0" w:rsidP="005A2825">
            <w:pPr>
              <w:spacing w:before="120" w:after="120"/>
              <w:jc w:val="both"/>
              <w:rPr>
                <w:rFonts w:cs="Arial"/>
                <w:szCs w:val="24"/>
              </w:rPr>
            </w:pPr>
          </w:p>
        </w:tc>
        <w:tc>
          <w:tcPr>
            <w:tcW w:w="907" w:type="dxa"/>
          </w:tcPr>
          <w:p w14:paraId="5C05F392" w14:textId="77777777" w:rsidR="003774E0" w:rsidRPr="00A528EC" w:rsidRDefault="003774E0" w:rsidP="005A2825">
            <w:pPr>
              <w:spacing w:before="120" w:after="120"/>
              <w:jc w:val="both"/>
              <w:rPr>
                <w:rFonts w:cs="Arial"/>
                <w:szCs w:val="24"/>
              </w:rPr>
            </w:pPr>
          </w:p>
        </w:tc>
        <w:tc>
          <w:tcPr>
            <w:tcW w:w="908" w:type="dxa"/>
          </w:tcPr>
          <w:p w14:paraId="6B5E094B" w14:textId="77777777" w:rsidR="003774E0" w:rsidRPr="00A528EC" w:rsidRDefault="003774E0" w:rsidP="005A2825">
            <w:pPr>
              <w:spacing w:before="120" w:after="120"/>
              <w:jc w:val="both"/>
              <w:rPr>
                <w:rFonts w:cs="Arial"/>
                <w:szCs w:val="24"/>
              </w:rPr>
            </w:pPr>
          </w:p>
        </w:tc>
      </w:tr>
      <w:tr w:rsidR="003774E0" w:rsidRPr="00A528EC" w14:paraId="12FA6912" w14:textId="77777777" w:rsidTr="48359B0B">
        <w:tc>
          <w:tcPr>
            <w:tcW w:w="5246" w:type="dxa"/>
          </w:tcPr>
          <w:p w14:paraId="7B2116C8" w14:textId="4AD75817" w:rsidR="003774E0" w:rsidRPr="00A528EC" w:rsidRDefault="48359B0B" w:rsidP="005A2825">
            <w:pPr>
              <w:spacing w:before="120" w:after="120"/>
              <w:rPr>
                <w:rFonts w:cs="Arial"/>
                <w:szCs w:val="24"/>
              </w:rPr>
            </w:pPr>
            <w:r w:rsidRPr="00A528EC">
              <w:rPr>
                <w:rFonts w:cs="Arial"/>
                <w:szCs w:val="24"/>
              </w:rPr>
              <w:lastRenderedPageBreak/>
              <w:t xml:space="preserve">"Local </w:t>
            </w:r>
            <w:r w:rsidR="00514047" w:rsidRPr="00A528EC">
              <w:rPr>
                <w:rFonts w:cs="Arial"/>
                <w:szCs w:val="24"/>
              </w:rPr>
              <w:t>g</w:t>
            </w:r>
            <w:r w:rsidRPr="00A528EC">
              <w:rPr>
                <w:rFonts w:cs="Arial"/>
                <w:szCs w:val="24"/>
              </w:rPr>
              <w:t>overnment beneficial enterprises should be able to compete with private businesses."</w:t>
            </w:r>
          </w:p>
        </w:tc>
        <w:tc>
          <w:tcPr>
            <w:tcW w:w="907" w:type="dxa"/>
          </w:tcPr>
          <w:p w14:paraId="3F73F0F1" w14:textId="77777777" w:rsidR="003774E0" w:rsidRPr="00A528EC" w:rsidRDefault="003774E0" w:rsidP="005A2825">
            <w:pPr>
              <w:spacing w:before="120" w:after="120"/>
              <w:jc w:val="both"/>
              <w:rPr>
                <w:rFonts w:cs="Arial"/>
                <w:szCs w:val="24"/>
              </w:rPr>
            </w:pPr>
          </w:p>
        </w:tc>
        <w:tc>
          <w:tcPr>
            <w:tcW w:w="907" w:type="dxa"/>
          </w:tcPr>
          <w:p w14:paraId="5DEF11CF" w14:textId="77777777" w:rsidR="003774E0" w:rsidRPr="00A528EC" w:rsidRDefault="003774E0" w:rsidP="005A2825">
            <w:pPr>
              <w:spacing w:before="120" w:after="120"/>
              <w:jc w:val="both"/>
              <w:rPr>
                <w:rFonts w:cs="Arial"/>
                <w:szCs w:val="24"/>
              </w:rPr>
            </w:pPr>
          </w:p>
        </w:tc>
        <w:tc>
          <w:tcPr>
            <w:tcW w:w="907" w:type="dxa"/>
          </w:tcPr>
          <w:p w14:paraId="378B1E3F" w14:textId="77777777" w:rsidR="003774E0" w:rsidRPr="00A528EC" w:rsidRDefault="003774E0" w:rsidP="005A2825">
            <w:pPr>
              <w:spacing w:before="120" w:after="120"/>
              <w:jc w:val="both"/>
              <w:rPr>
                <w:rFonts w:cs="Arial"/>
                <w:szCs w:val="24"/>
              </w:rPr>
            </w:pPr>
          </w:p>
        </w:tc>
        <w:tc>
          <w:tcPr>
            <w:tcW w:w="907" w:type="dxa"/>
          </w:tcPr>
          <w:p w14:paraId="6F142DE0" w14:textId="77777777" w:rsidR="003774E0" w:rsidRPr="00A528EC" w:rsidRDefault="003774E0" w:rsidP="005A2825">
            <w:pPr>
              <w:spacing w:before="120" w:after="120"/>
              <w:jc w:val="both"/>
              <w:rPr>
                <w:rFonts w:cs="Arial"/>
                <w:szCs w:val="24"/>
              </w:rPr>
            </w:pPr>
          </w:p>
        </w:tc>
        <w:tc>
          <w:tcPr>
            <w:tcW w:w="908" w:type="dxa"/>
          </w:tcPr>
          <w:p w14:paraId="7430E627" w14:textId="77777777" w:rsidR="003774E0" w:rsidRPr="00A528EC" w:rsidRDefault="003774E0" w:rsidP="005A2825">
            <w:pPr>
              <w:spacing w:before="120" w:after="120"/>
              <w:jc w:val="both"/>
              <w:rPr>
                <w:rFonts w:cs="Arial"/>
                <w:szCs w:val="24"/>
              </w:rPr>
            </w:pPr>
          </w:p>
        </w:tc>
      </w:tr>
      <w:tr w:rsidR="003774E0" w:rsidRPr="00A528EC" w14:paraId="740C4BE3" w14:textId="77777777" w:rsidTr="48359B0B">
        <w:tc>
          <w:tcPr>
            <w:tcW w:w="5246" w:type="dxa"/>
          </w:tcPr>
          <w:p w14:paraId="2B9D979B" w14:textId="51E796DB" w:rsidR="003774E0" w:rsidRPr="00A528EC" w:rsidRDefault="48359B0B" w:rsidP="005A2825">
            <w:pPr>
              <w:spacing w:before="120" w:after="120"/>
              <w:rPr>
                <w:rFonts w:cs="Arial"/>
                <w:szCs w:val="24"/>
              </w:rPr>
            </w:pPr>
            <w:r w:rsidRPr="00A528EC">
              <w:rPr>
                <w:rFonts w:cs="Arial"/>
                <w:szCs w:val="24"/>
              </w:rPr>
              <w:t xml:space="preserve">"Beneficial enterprises should have to employ staff under the same pay rates and conditions as employees of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overnments."</w:t>
            </w:r>
          </w:p>
        </w:tc>
        <w:tc>
          <w:tcPr>
            <w:tcW w:w="907" w:type="dxa"/>
          </w:tcPr>
          <w:p w14:paraId="57CDD466" w14:textId="77777777" w:rsidR="003774E0" w:rsidRPr="00A528EC" w:rsidRDefault="003774E0" w:rsidP="005A2825">
            <w:pPr>
              <w:spacing w:before="120" w:after="120"/>
              <w:jc w:val="both"/>
              <w:rPr>
                <w:rFonts w:cs="Arial"/>
                <w:szCs w:val="24"/>
              </w:rPr>
            </w:pPr>
          </w:p>
          <w:p w14:paraId="0E5A24A6" w14:textId="77777777" w:rsidR="003774E0" w:rsidRPr="00A528EC" w:rsidRDefault="003774E0" w:rsidP="005A2825">
            <w:pPr>
              <w:spacing w:before="120" w:after="120"/>
              <w:rPr>
                <w:rFonts w:cs="Arial"/>
                <w:szCs w:val="24"/>
              </w:rPr>
            </w:pPr>
          </w:p>
        </w:tc>
        <w:tc>
          <w:tcPr>
            <w:tcW w:w="907" w:type="dxa"/>
          </w:tcPr>
          <w:p w14:paraId="333CB4BE" w14:textId="77777777" w:rsidR="003774E0" w:rsidRPr="00A528EC" w:rsidRDefault="003774E0" w:rsidP="005A2825">
            <w:pPr>
              <w:spacing w:before="120" w:after="120"/>
              <w:jc w:val="both"/>
              <w:rPr>
                <w:rFonts w:cs="Arial"/>
                <w:szCs w:val="24"/>
              </w:rPr>
            </w:pPr>
          </w:p>
        </w:tc>
        <w:tc>
          <w:tcPr>
            <w:tcW w:w="907" w:type="dxa"/>
          </w:tcPr>
          <w:p w14:paraId="3AEEBEF5" w14:textId="77777777" w:rsidR="003774E0" w:rsidRPr="00A528EC" w:rsidRDefault="003774E0" w:rsidP="005A2825">
            <w:pPr>
              <w:spacing w:before="120" w:after="120"/>
              <w:jc w:val="both"/>
              <w:rPr>
                <w:rFonts w:cs="Arial"/>
                <w:szCs w:val="24"/>
              </w:rPr>
            </w:pPr>
          </w:p>
        </w:tc>
        <w:tc>
          <w:tcPr>
            <w:tcW w:w="907" w:type="dxa"/>
          </w:tcPr>
          <w:p w14:paraId="74207FFD" w14:textId="77777777" w:rsidR="003774E0" w:rsidRPr="00A528EC" w:rsidRDefault="003774E0" w:rsidP="005A2825">
            <w:pPr>
              <w:spacing w:before="120" w:after="120"/>
              <w:jc w:val="both"/>
              <w:rPr>
                <w:rFonts w:cs="Arial"/>
                <w:szCs w:val="24"/>
              </w:rPr>
            </w:pPr>
          </w:p>
        </w:tc>
        <w:tc>
          <w:tcPr>
            <w:tcW w:w="908" w:type="dxa"/>
          </w:tcPr>
          <w:p w14:paraId="1DDAF596" w14:textId="77777777" w:rsidR="003774E0" w:rsidRPr="00A528EC" w:rsidRDefault="003774E0" w:rsidP="005A2825">
            <w:pPr>
              <w:spacing w:before="120" w:after="120"/>
              <w:jc w:val="both"/>
              <w:rPr>
                <w:rFonts w:cs="Arial"/>
                <w:szCs w:val="24"/>
              </w:rPr>
            </w:pPr>
          </w:p>
        </w:tc>
      </w:tr>
      <w:tr w:rsidR="003774E0" w:rsidRPr="00A528EC" w14:paraId="7157B5F5" w14:textId="77777777" w:rsidTr="48359B0B">
        <w:tc>
          <w:tcPr>
            <w:tcW w:w="5246" w:type="dxa"/>
          </w:tcPr>
          <w:p w14:paraId="16C83FD9" w14:textId="101BE328" w:rsidR="003774E0" w:rsidRPr="00A528EC" w:rsidRDefault="48359B0B" w:rsidP="005A2825">
            <w:pPr>
              <w:spacing w:before="120" w:after="120"/>
              <w:rPr>
                <w:rFonts w:cs="Arial"/>
                <w:szCs w:val="24"/>
              </w:rPr>
            </w:pPr>
            <w:r w:rsidRPr="00A528EC">
              <w:rPr>
                <w:rFonts w:cs="Arial"/>
                <w:szCs w:val="24"/>
              </w:rPr>
              <w:t xml:space="preserve">"Local </w:t>
            </w:r>
            <w:r w:rsidR="00514047" w:rsidRPr="00A528EC">
              <w:rPr>
                <w:rFonts w:cs="Arial"/>
                <w:szCs w:val="24"/>
              </w:rPr>
              <w:t>g</w:t>
            </w:r>
            <w:r w:rsidRPr="00A528EC">
              <w:rPr>
                <w:rFonts w:cs="Arial"/>
                <w:szCs w:val="24"/>
              </w:rPr>
              <w:t>overnments should have to tell their community how much they are investing in a beneficial enterprise."</w:t>
            </w:r>
          </w:p>
        </w:tc>
        <w:tc>
          <w:tcPr>
            <w:tcW w:w="907" w:type="dxa"/>
          </w:tcPr>
          <w:p w14:paraId="1B462F64" w14:textId="77777777" w:rsidR="003774E0" w:rsidRPr="00A528EC" w:rsidRDefault="003774E0" w:rsidP="005A2825">
            <w:pPr>
              <w:spacing w:before="120" w:after="120"/>
              <w:jc w:val="both"/>
              <w:rPr>
                <w:rFonts w:cs="Arial"/>
                <w:szCs w:val="24"/>
              </w:rPr>
            </w:pPr>
          </w:p>
        </w:tc>
        <w:tc>
          <w:tcPr>
            <w:tcW w:w="907" w:type="dxa"/>
          </w:tcPr>
          <w:p w14:paraId="6E94D4B6" w14:textId="77777777" w:rsidR="003774E0" w:rsidRPr="00A528EC" w:rsidRDefault="003774E0" w:rsidP="005A2825">
            <w:pPr>
              <w:spacing w:before="120" w:after="120"/>
              <w:jc w:val="both"/>
              <w:rPr>
                <w:rFonts w:cs="Arial"/>
                <w:szCs w:val="24"/>
              </w:rPr>
            </w:pPr>
          </w:p>
        </w:tc>
        <w:tc>
          <w:tcPr>
            <w:tcW w:w="907" w:type="dxa"/>
          </w:tcPr>
          <w:p w14:paraId="5EB12B99" w14:textId="77777777" w:rsidR="003774E0" w:rsidRPr="00A528EC" w:rsidRDefault="003774E0" w:rsidP="005A2825">
            <w:pPr>
              <w:spacing w:before="120" w:after="120"/>
              <w:jc w:val="both"/>
              <w:rPr>
                <w:rFonts w:cs="Arial"/>
                <w:szCs w:val="24"/>
              </w:rPr>
            </w:pPr>
          </w:p>
        </w:tc>
        <w:tc>
          <w:tcPr>
            <w:tcW w:w="907" w:type="dxa"/>
          </w:tcPr>
          <w:p w14:paraId="4DE2728F" w14:textId="77777777" w:rsidR="003774E0" w:rsidRPr="00A528EC" w:rsidRDefault="003774E0" w:rsidP="005A2825">
            <w:pPr>
              <w:spacing w:before="120" w:after="120"/>
              <w:jc w:val="both"/>
              <w:rPr>
                <w:rFonts w:cs="Arial"/>
                <w:szCs w:val="24"/>
              </w:rPr>
            </w:pPr>
          </w:p>
        </w:tc>
        <w:tc>
          <w:tcPr>
            <w:tcW w:w="908" w:type="dxa"/>
          </w:tcPr>
          <w:p w14:paraId="0351B9F6" w14:textId="77777777" w:rsidR="003774E0" w:rsidRPr="00A528EC" w:rsidRDefault="003774E0" w:rsidP="005A2825">
            <w:pPr>
              <w:spacing w:before="120" w:after="120"/>
              <w:jc w:val="both"/>
              <w:rPr>
                <w:rFonts w:cs="Arial"/>
                <w:szCs w:val="24"/>
              </w:rPr>
            </w:pPr>
          </w:p>
        </w:tc>
      </w:tr>
      <w:tr w:rsidR="003774E0" w:rsidRPr="00A528EC" w14:paraId="323E5B9D" w14:textId="77777777" w:rsidTr="48359B0B">
        <w:tc>
          <w:tcPr>
            <w:tcW w:w="5246" w:type="dxa"/>
          </w:tcPr>
          <w:p w14:paraId="4CEC5C8F" w14:textId="77777777" w:rsidR="003774E0" w:rsidRPr="00A528EC" w:rsidRDefault="48359B0B" w:rsidP="005A2825">
            <w:pPr>
              <w:spacing w:before="120" w:after="120"/>
              <w:rPr>
                <w:rFonts w:cs="Arial"/>
                <w:szCs w:val="24"/>
              </w:rPr>
            </w:pPr>
            <w:r w:rsidRPr="00A528EC">
              <w:rPr>
                <w:rFonts w:cs="Arial"/>
                <w:szCs w:val="24"/>
              </w:rPr>
              <w:t>"Communities should be able to decide if their local governments can establish a beneficial enterprise."</w:t>
            </w:r>
          </w:p>
        </w:tc>
        <w:tc>
          <w:tcPr>
            <w:tcW w:w="907" w:type="dxa"/>
          </w:tcPr>
          <w:p w14:paraId="22A7C1BA" w14:textId="77777777" w:rsidR="003774E0" w:rsidRPr="00A528EC" w:rsidRDefault="003774E0" w:rsidP="005A2825">
            <w:pPr>
              <w:spacing w:before="120" w:after="120"/>
              <w:jc w:val="both"/>
              <w:rPr>
                <w:rFonts w:cs="Arial"/>
                <w:szCs w:val="24"/>
              </w:rPr>
            </w:pPr>
          </w:p>
        </w:tc>
        <w:tc>
          <w:tcPr>
            <w:tcW w:w="907" w:type="dxa"/>
          </w:tcPr>
          <w:p w14:paraId="18BFC601" w14:textId="77777777" w:rsidR="003774E0" w:rsidRPr="00A528EC" w:rsidRDefault="003774E0" w:rsidP="005A2825">
            <w:pPr>
              <w:spacing w:before="120" w:after="120"/>
              <w:jc w:val="both"/>
              <w:rPr>
                <w:rFonts w:cs="Arial"/>
                <w:szCs w:val="24"/>
              </w:rPr>
            </w:pPr>
          </w:p>
        </w:tc>
        <w:tc>
          <w:tcPr>
            <w:tcW w:w="907" w:type="dxa"/>
          </w:tcPr>
          <w:p w14:paraId="101BC824" w14:textId="77777777" w:rsidR="003774E0" w:rsidRPr="00A528EC" w:rsidRDefault="003774E0" w:rsidP="005A2825">
            <w:pPr>
              <w:spacing w:before="120" w:after="120"/>
              <w:jc w:val="both"/>
              <w:rPr>
                <w:rFonts w:cs="Arial"/>
                <w:szCs w:val="24"/>
              </w:rPr>
            </w:pPr>
          </w:p>
        </w:tc>
        <w:tc>
          <w:tcPr>
            <w:tcW w:w="907" w:type="dxa"/>
          </w:tcPr>
          <w:p w14:paraId="14D9D443" w14:textId="77777777" w:rsidR="003774E0" w:rsidRPr="00A528EC" w:rsidRDefault="003774E0" w:rsidP="005A2825">
            <w:pPr>
              <w:spacing w:before="120" w:after="120"/>
              <w:jc w:val="both"/>
              <w:rPr>
                <w:rFonts w:cs="Arial"/>
                <w:szCs w:val="24"/>
              </w:rPr>
            </w:pPr>
          </w:p>
        </w:tc>
        <w:tc>
          <w:tcPr>
            <w:tcW w:w="908" w:type="dxa"/>
          </w:tcPr>
          <w:p w14:paraId="03B0D740" w14:textId="77777777" w:rsidR="003774E0" w:rsidRPr="00A528EC" w:rsidRDefault="003774E0" w:rsidP="005A2825">
            <w:pPr>
              <w:spacing w:before="120" w:after="120"/>
              <w:jc w:val="both"/>
              <w:rPr>
                <w:rFonts w:cs="Arial"/>
                <w:szCs w:val="24"/>
              </w:rPr>
            </w:pPr>
          </w:p>
        </w:tc>
      </w:tr>
    </w:tbl>
    <w:p w14:paraId="1D4D53B4" w14:textId="77777777" w:rsidR="003774E0" w:rsidRPr="00514047" w:rsidRDefault="003774E0" w:rsidP="003774E0">
      <w:pPr>
        <w:pStyle w:val="ListParagraph"/>
        <w:spacing w:after="120" w:line="276" w:lineRule="auto"/>
        <w:jc w:val="both"/>
        <w:rPr>
          <w:rFonts w:ascii="Arial" w:hAnsi="Arial" w:cs="Arial"/>
          <w:sz w:val="24"/>
        </w:rPr>
      </w:pPr>
    </w:p>
    <w:p w14:paraId="3A90E6AD" w14:textId="3542FD10" w:rsidR="00950438" w:rsidRPr="00514047" w:rsidRDefault="48359B0B" w:rsidP="48359B0B">
      <w:pPr>
        <w:pStyle w:val="ListParagraph"/>
        <w:numPr>
          <w:ilvl w:val="0"/>
          <w:numId w:val="1"/>
        </w:numPr>
        <w:spacing w:after="120" w:line="276" w:lineRule="auto"/>
        <w:jc w:val="both"/>
        <w:rPr>
          <w:rFonts w:ascii="Arial" w:hAnsi="Arial" w:cs="Arial"/>
          <w:sz w:val="24"/>
        </w:rPr>
      </w:pPr>
      <w:r w:rsidRPr="00514047">
        <w:rPr>
          <w:rFonts w:ascii="Arial" w:hAnsi="Arial" w:cs="Arial"/>
          <w:sz w:val="24"/>
        </w:rPr>
        <w:t xml:space="preserve">Which of the following functions should a </w:t>
      </w:r>
      <w:r w:rsidR="00514047">
        <w:rPr>
          <w:rFonts w:ascii="Arial" w:hAnsi="Arial" w:cs="Arial"/>
          <w:sz w:val="24"/>
        </w:rPr>
        <w:t>l</w:t>
      </w:r>
      <w:r w:rsidRPr="00514047">
        <w:rPr>
          <w:rFonts w:ascii="Arial" w:hAnsi="Arial" w:cs="Arial"/>
          <w:sz w:val="24"/>
        </w:rPr>
        <w:t xml:space="preserve">ocal </w:t>
      </w:r>
      <w:r w:rsidR="00514047">
        <w:rPr>
          <w:rFonts w:ascii="Arial" w:hAnsi="Arial" w:cs="Arial"/>
          <w:sz w:val="24"/>
        </w:rPr>
        <w:t>g</w:t>
      </w:r>
      <w:r w:rsidRPr="00514047">
        <w:rPr>
          <w:rFonts w:ascii="Arial" w:hAnsi="Arial" w:cs="Arial"/>
          <w:sz w:val="24"/>
        </w:rPr>
        <w:t>overnment beneficial enterprise be permitted to undertake?</w:t>
      </w:r>
    </w:p>
    <w:tbl>
      <w:tblPr>
        <w:tblStyle w:val="TableGrid"/>
        <w:tblW w:w="9782" w:type="dxa"/>
        <w:tblInd w:w="-289" w:type="dxa"/>
        <w:tblLook w:val="04A0" w:firstRow="1" w:lastRow="0" w:firstColumn="1" w:lastColumn="0" w:noHBand="0" w:noVBand="1"/>
      </w:tblPr>
      <w:tblGrid>
        <w:gridCol w:w="7068"/>
        <w:gridCol w:w="1197"/>
        <w:gridCol w:w="1517"/>
      </w:tblGrid>
      <w:tr w:rsidR="00514E04" w:rsidRPr="00A528EC" w14:paraId="7042C28E" w14:textId="77777777" w:rsidTr="48359B0B">
        <w:trPr>
          <w:cnfStyle w:val="100000000000" w:firstRow="1" w:lastRow="0" w:firstColumn="0" w:lastColumn="0" w:oddVBand="0" w:evenVBand="0" w:oddHBand="0" w:evenHBand="0" w:firstRowFirstColumn="0" w:firstRowLastColumn="0" w:lastRowFirstColumn="0" w:lastRowLastColumn="0"/>
        </w:trPr>
        <w:tc>
          <w:tcPr>
            <w:tcW w:w="7514" w:type="dxa"/>
          </w:tcPr>
          <w:p w14:paraId="63EE3CDC" w14:textId="77777777" w:rsidR="00514E04" w:rsidRPr="00A528EC" w:rsidRDefault="00514E04" w:rsidP="005A2825">
            <w:pPr>
              <w:spacing w:before="120" w:after="120"/>
              <w:jc w:val="both"/>
              <w:rPr>
                <w:rFonts w:cs="Arial"/>
                <w:b w:val="0"/>
              </w:rPr>
            </w:pPr>
          </w:p>
        </w:tc>
        <w:tc>
          <w:tcPr>
            <w:tcW w:w="1134" w:type="dxa"/>
          </w:tcPr>
          <w:p w14:paraId="45A19EBC" w14:textId="77777777" w:rsidR="00514E04" w:rsidRPr="00A528EC" w:rsidRDefault="48359B0B" w:rsidP="005A2825">
            <w:pPr>
              <w:spacing w:before="120" w:after="120"/>
              <w:jc w:val="both"/>
              <w:rPr>
                <w:rFonts w:cs="Arial"/>
                <w:b w:val="0"/>
              </w:rPr>
            </w:pPr>
            <w:r w:rsidRPr="00A528EC">
              <w:rPr>
                <w:rFonts w:cs="Arial"/>
                <w:b w:val="0"/>
              </w:rPr>
              <w:t>Agree</w:t>
            </w:r>
          </w:p>
        </w:tc>
        <w:tc>
          <w:tcPr>
            <w:tcW w:w="1134" w:type="dxa"/>
          </w:tcPr>
          <w:p w14:paraId="645371D4" w14:textId="77777777" w:rsidR="00514E04" w:rsidRPr="00A528EC" w:rsidRDefault="48359B0B" w:rsidP="005A2825">
            <w:pPr>
              <w:spacing w:before="120" w:after="120"/>
              <w:jc w:val="both"/>
              <w:rPr>
                <w:rFonts w:cs="Arial"/>
                <w:b w:val="0"/>
              </w:rPr>
            </w:pPr>
            <w:r w:rsidRPr="00A528EC">
              <w:rPr>
                <w:rFonts w:cs="Arial"/>
                <w:b w:val="0"/>
              </w:rPr>
              <w:t>Disagree</w:t>
            </w:r>
          </w:p>
        </w:tc>
      </w:tr>
      <w:tr w:rsidR="00514E04" w:rsidRPr="00A528EC" w14:paraId="516D0C30" w14:textId="77777777" w:rsidTr="48359B0B">
        <w:tc>
          <w:tcPr>
            <w:tcW w:w="7514" w:type="dxa"/>
          </w:tcPr>
          <w:p w14:paraId="4C2EBB0B" w14:textId="77777777" w:rsidR="00514E04" w:rsidRPr="00A528EC" w:rsidRDefault="48359B0B" w:rsidP="005A2825">
            <w:pPr>
              <w:spacing w:before="120" w:after="120"/>
              <w:jc w:val="both"/>
              <w:rPr>
                <w:rFonts w:cs="Arial"/>
              </w:rPr>
            </w:pPr>
            <w:r w:rsidRPr="00A528EC">
              <w:rPr>
                <w:rFonts w:cs="Arial"/>
              </w:rPr>
              <w:t>There should be no restrictions</w:t>
            </w:r>
          </w:p>
        </w:tc>
        <w:tc>
          <w:tcPr>
            <w:tcW w:w="1134" w:type="dxa"/>
          </w:tcPr>
          <w:p w14:paraId="37CA7FC5" w14:textId="77777777" w:rsidR="00514E04" w:rsidRPr="00A528EC" w:rsidRDefault="00514E04" w:rsidP="005A2825">
            <w:pPr>
              <w:spacing w:before="120" w:after="120"/>
              <w:jc w:val="both"/>
              <w:rPr>
                <w:rFonts w:cs="Arial"/>
                <w:b/>
              </w:rPr>
            </w:pPr>
          </w:p>
        </w:tc>
        <w:tc>
          <w:tcPr>
            <w:tcW w:w="1134" w:type="dxa"/>
          </w:tcPr>
          <w:p w14:paraId="6E947C2F" w14:textId="77777777" w:rsidR="00514E04" w:rsidRPr="00A528EC" w:rsidRDefault="00514E04" w:rsidP="005A2825">
            <w:pPr>
              <w:spacing w:before="120" w:after="120"/>
              <w:jc w:val="both"/>
              <w:rPr>
                <w:rFonts w:cs="Arial"/>
                <w:b/>
              </w:rPr>
            </w:pPr>
          </w:p>
        </w:tc>
      </w:tr>
      <w:tr w:rsidR="00514E04" w:rsidRPr="00A528EC" w14:paraId="6171AE41" w14:textId="77777777" w:rsidTr="48359B0B">
        <w:tc>
          <w:tcPr>
            <w:tcW w:w="7514" w:type="dxa"/>
          </w:tcPr>
          <w:p w14:paraId="5F7963AE" w14:textId="6BFDDBFF" w:rsidR="00514E04" w:rsidRPr="00A528EC" w:rsidRDefault="48359B0B" w:rsidP="005A2825">
            <w:pPr>
              <w:spacing w:before="120" w:after="120"/>
              <w:jc w:val="both"/>
              <w:rPr>
                <w:rFonts w:cs="Arial"/>
              </w:rPr>
            </w:pPr>
            <w:r w:rsidRPr="00A528EC">
              <w:rPr>
                <w:rFonts w:cs="Arial"/>
              </w:rPr>
              <w:t xml:space="preserve">Local </w:t>
            </w:r>
            <w:r w:rsidR="00514047" w:rsidRPr="00A528EC">
              <w:rPr>
                <w:rFonts w:cs="Arial"/>
              </w:rPr>
              <w:t>g</w:t>
            </w:r>
            <w:r w:rsidRPr="00A528EC">
              <w:rPr>
                <w:rFonts w:cs="Arial"/>
              </w:rPr>
              <w:t>overnments should not be permitted to form a company</w:t>
            </w:r>
          </w:p>
        </w:tc>
        <w:tc>
          <w:tcPr>
            <w:tcW w:w="1134" w:type="dxa"/>
          </w:tcPr>
          <w:p w14:paraId="4EF1E6AC" w14:textId="77777777" w:rsidR="00514E04" w:rsidRPr="00A528EC" w:rsidRDefault="00514E04" w:rsidP="005A2825">
            <w:pPr>
              <w:spacing w:before="120" w:after="120"/>
              <w:jc w:val="both"/>
              <w:rPr>
                <w:rFonts w:cs="Arial"/>
              </w:rPr>
            </w:pPr>
          </w:p>
        </w:tc>
        <w:tc>
          <w:tcPr>
            <w:tcW w:w="1134" w:type="dxa"/>
          </w:tcPr>
          <w:p w14:paraId="312B33DF" w14:textId="77777777" w:rsidR="00514E04" w:rsidRPr="00A528EC" w:rsidRDefault="00514E04" w:rsidP="005A2825">
            <w:pPr>
              <w:spacing w:before="120" w:after="120"/>
              <w:jc w:val="both"/>
              <w:rPr>
                <w:rFonts w:cs="Arial"/>
              </w:rPr>
            </w:pPr>
          </w:p>
        </w:tc>
      </w:tr>
      <w:tr w:rsidR="00514E04" w:rsidRPr="00A528EC" w14:paraId="155422ED" w14:textId="77777777" w:rsidTr="48359B0B">
        <w:tc>
          <w:tcPr>
            <w:tcW w:w="7514" w:type="dxa"/>
          </w:tcPr>
          <w:p w14:paraId="6136CEF3" w14:textId="77777777" w:rsidR="00514E04" w:rsidRPr="00A528EC" w:rsidRDefault="48359B0B" w:rsidP="005A2825">
            <w:pPr>
              <w:spacing w:before="120" w:after="120"/>
              <w:jc w:val="both"/>
              <w:rPr>
                <w:rFonts w:cs="Arial"/>
              </w:rPr>
            </w:pPr>
            <w:r w:rsidRPr="00A528EC">
              <w:rPr>
                <w:rFonts w:cs="Arial"/>
              </w:rPr>
              <w:t>Statutory approvals for example building and planning</w:t>
            </w:r>
          </w:p>
        </w:tc>
        <w:tc>
          <w:tcPr>
            <w:tcW w:w="1134" w:type="dxa"/>
          </w:tcPr>
          <w:p w14:paraId="0EAE2A3B" w14:textId="77777777" w:rsidR="00514E04" w:rsidRPr="00A528EC" w:rsidRDefault="00514E04" w:rsidP="005A2825">
            <w:pPr>
              <w:spacing w:before="120" w:after="120"/>
              <w:jc w:val="both"/>
              <w:rPr>
                <w:rFonts w:cs="Arial"/>
              </w:rPr>
            </w:pPr>
          </w:p>
        </w:tc>
        <w:tc>
          <w:tcPr>
            <w:tcW w:w="1134" w:type="dxa"/>
          </w:tcPr>
          <w:p w14:paraId="4A96C6C4" w14:textId="77777777" w:rsidR="00514E04" w:rsidRPr="00A528EC" w:rsidRDefault="00514E04" w:rsidP="005A2825">
            <w:pPr>
              <w:spacing w:before="120" w:after="120"/>
              <w:jc w:val="both"/>
              <w:rPr>
                <w:rFonts w:cs="Arial"/>
              </w:rPr>
            </w:pPr>
          </w:p>
        </w:tc>
      </w:tr>
      <w:tr w:rsidR="00514E04" w:rsidRPr="00A528EC" w14:paraId="680F5662" w14:textId="77777777" w:rsidTr="48359B0B">
        <w:tc>
          <w:tcPr>
            <w:tcW w:w="7514" w:type="dxa"/>
          </w:tcPr>
          <w:p w14:paraId="57CC89C8" w14:textId="77777777" w:rsidR="00514E04" w:rsidRPr="00A528EC" w:rsidRDefault="48359B0B" w:rsidP="005A2825">
            <w:pPr>
              <w:spacing w:before="120" w:after="120"/>
              <w:jc w:val="both"/>
              <w:rPr>
                <w:rFonts w:cs="Arial"/>
              </w:rPr>
            </w:pPr>
            <w:r w:rsidRPr="00A528EC">
              <w:rPr>
                <w:rFonts w:cs="Arial"/>
              </w:rPr>
              <w:t>Leisure centres</w:t>
            </w:r>
          </w:p>
        </w:tc>
        <w:tc>
          <w:tcPr>
            <w:tcW w:w="1134" w:type="dxa"/>
          </w:tcPr>
          <w:p w14:paraId="5CCE9386" w14:textId="77777777" w:rsidR="00514E04" w:rsidRPr="00A528EC" w:rsidRDefault="00514E04" w:rsidP="005A2825">
            <w:pPr>
              <w:spacing w:before="120" w:after="120"/>
              <w:jc w:val="both"/>
              <w:rPr>
                <w:rFonts w:cs="Arial"/>
              </w:rPr>
            </w:pPr>
          </w:p>
        </w:tc>
        <w:tc>
          <w:tcPr>
            <w:tcW w:w="1134" w:type="dxa"/>
          </w:tcPr>
          <w:p w14:paraId="7BFE5BA9" w14:textId="77777777" w:rsidR="00514E04" w:rsidRPr="00A528EC" w:rsidRDefault="00514E04" w:rsidP="005A2825">
            <w:pPr>
              <w:spacing w:before="120" w:after="120"/>
              <w:jc w:val="both"/>
              <w:rPr>
                <w:rFonts w:cs="Arial"/>
              </w:rPr>
            </w:pPr>
          </w:p>
        </w:tc>
      </w:tr>
      <w:tr w:rsidR="00514E04" w:rsidRPr="00A528EC" w14:paraId="04C63B77" w14:textId="77777777" w:rsidTr="48359B0B">
        <w:tc>
          <w:tcPr>
            <w:tcW w:w="7514" w:type="dxa"/>
          </w:tcPr>
          <w:p w14:paraId="2F71CE56" w14:textId="77777777" w:rsidR="00514E04" w:rsidRPr="00A528EC" w:rsidRDefault="48359B0B" w:rsidP="005A2825">
            <w:pPr>
              <w:spacing w:before="120" w:after="120"/>
              <w:jc w:val="both"/>
              <w:rPr>
                <w:rFonts w:cs="Arial"/>
              </w:rPr>
            </w:pPr>
            <w:r w:rsidRPr="00A528EC">
              <w:rPr>
                <w:rFonts w:cs="Arial"/>
              </w:rPr>
              <w:t>Human resources</w:t>
            </w:r>
          </w:p>
        </w:tc>
        <w:tc>
          <w:tcPr>
            <w:tcW w:w="1134" w:type="dxa"/>
          </w:tcPr>
          <w:p w14:paraId="3C057FD3" w14:textId="77777777" w:rsidR="00514E04" w:rsidRPr="00A528EC" w:rsidRDefault="00514E04" w:rsidP="005A2825">
            <w:pPr>
              <w:spacing w:before="120" w:after="120"/>
              <w:jc w:val="both"/>
              <w:rPr>
                <w:rFonts w:cs="Arial"/>
              </w:rPr>
            </w:pPr>
          </w:p>
        </w:tc>
        <w:tc>
          <w:tcPr>
            <w:tcW w:w="1134" w:type="dxa"/>
          </w:tcPr>
          <w:p w14:paraId="3A059F8A" w14:textId="77777777" w:rsidR="00514E04" w:rsidRPr="00A528EC" w:rsidRDefault="00514E04" w:rsidP="005A2825">
            <w:pPr>
              <w:spacing w:before="120" w:after="120"/>
              <w:jc w:val="both"/>
              <w:rPr>
                <w:rFonts w:cs="Arial"/>
              </w:rPr>
            </w:pPr>
          </w:p>
        </w:tc>
      </w:tr>
      <w:tr w:rsidR="00514E04" w:rsidRPr="00A528EC" w14:paraId="25F38D9A" w14:textId="77777777" w:rsidTr="48359B0B">
        <w:tc>
          <w:tcPr>
            <w:tcW w:w="7514" w:type="dxa"/>
          </w:tcPr>
          <w:p w14:paraId="43E3FEE6" w14:textId="77777777" w:rsidR="00514E04" w:rsidRPr="00A528EC" w:rsidRDefault="48359B0B" w:rsidP="005A2825">
            <w:pPr>
              <w:spacing w:before="120" w:after="120"/>
              <w:jc w:val="both"/>
              <w:rPr>
                <w:rFonts w:cs="Arial"/>
              </w:rPr>
            </w:pPr>
            <w:r w:rsidRPr="00A528EC">
              <w:rPr>
                <w:rFonts w:cs="Arial"/>
              </w:rPr>
              <w:t>Information technology</w:t>
            </w:r>
          </w:p>
        </w:tc>
        <w:tc>
          <w:tcPr>
            <w:tcW w:w="1134" w:type="dxa"/>
          </w:tcPr>
          <w:p w14:paraId="1CB6A003" w14:textId="77777777" w:rsidR="00514E04" w:rsidRPr="00A528EC" w:rsidRDefault="00514E04" w:rsidP="005A2825">
            <w:pPr>
              <w:spacing w:before="120" w:after="120"/>
              <w:jc w:val="both"/>
              <w:rPr>
                <w:rFonts w:cs="Arial"/>
              </w:rPr>
            </w:pPr>
          </w:p>
        </w:tc>
        <w:tc>
          <w:tcPr>
            <w:tcW w:w="1134" w:type="dxa"/>
          </w:tcPr>
          <w:p w14:paraId="2525607E" w14:textId="77777777" w:rsidR="00514E04" w:rsidRPr="00A528EC" w:rsidRDefault="00514E04" w:rsidP="005A2825">
            <w:pPr>
              <w:spacing w:before="120" w:after="120"/>
              <w:jc w:val="both"/>
              <w:rPr>
                <w:rFonts w:cs="Arial"/>
              </w:rPr>
            </w:pPr>
          </w:p>
        </w:tc>
      </w:tr>
      <w:tr w:rsidR="00514E04" w:rsidRPr="00A528EC" w14:paraId="427532DF" w14:textId="77777777" w:rsidTr="48359B0B">
        <w:tc>
          <w:tcPr>
            <w:tcW w:w="7514" w:type="dxa"/>
          </w:tcPr>
          <w:p w14:paraId="0B8C1FE5" w14:textId="77777777" w:rsidR="00514E04" w:rsidRPr="00A528EC" w:rsidRDefault="48359B0B" w:rsidP="005A2825">
            <w:pPr>
              <w:spacing w:before="120" w:after="120"/>
              <w:jc w:val="both"/>
              <w:rPr>
                <w:rFonts w:cs="Arial"/>
              </w:rPr>
            </w:pPr>
            <w:r w:rsidRPr="00A528EC">
              <w:rPr>
                <w:rFonts w:cs="Arial"/>
              </w:rPr>
              <w:t>Airports</w:t>
            </w:r>
          </w:p>
        </w:tc>
        <w:tc>
          <w:tcPr>
            <w:tcW w:w="1134" w:type="dxa"/>
          </w:tcPr>
          <w:p w14:paraId="19B04A98" w14:textId="77777777" w:rsidR="00514E04" w:rsidRPr="00A528EC" w:rsidRDefault="00514E04" w:rsidP="005A2825">
            <w:pPr>
              <w:spacing w:before="120" w:after="120"/>
              <w:jc w:val="both"/>
              <w:rPr>
                <w:rFonts w:cs="Arial"/>
              </w:rPr>
            </w:pPr>
          </w:p>
        </w:tc>
        <w:tc>
          <w:tcPr>
            <w:tcW w:w="1134" w:type="dxa"/>
          </w:tcPr>
          <w:p w14:paraId="1B2A57C0" w14:textId="77777777" w:rsidR="00514E04" w:rsidRPr="00A528EC" w:rsidRDefault="00514E04" w:rsidP="005A2825">
            <w:pPr>
              <w:spacing w:before="120" w:after="120"/>
              <w:jc w:val="both"/>
              <w:rPr>
                <w:rFonts w:cs="Arial"/>
              </w:rPr>
            </w:pPr>
          </w:p>
        </w:tc>
      </w:tr>
      <w:tr w:rsidR="00514E04" w:rsidRPr="00A528EC" w14:paraId="28453DF8" w14:textId="77777777" w:rsidTr="48359B0B">
        <w:tc>
          <w:tcPr>
            <w:tcW w:w="7514" w:type="dxa"/>
          </w:tcPr>
          <w:p w14:paraId="252D71DA" w14:textId="77777777" w:rsidR="00514E04" w:rsidRPr="00A528EC" w:rsidRDefault="48359B0B" w:rsidP="005A2825">
            <w:pPr>
              <w:spacing w:before="120" w:after="120"/>
              <w:jc w:val="both"/>
              <w:rPr>
                <w:rFonts w:cs="Arial"/>
              </w:rPr>
            </w:pPr>
            <w:r w:rsidRPr="00A528EC">
              <w:rPr>
                <w:rFonts w:cs="Arial"/>
              </w:rPr>
              <w:t>Waste management</w:t>
            </w:r>
          </w:p>
        </w:tc>
        <w:tc>
          <w:tcPr>
            <w:tcW w:w="1134" w:type="dxa"/>
          </w:tcPr>
          <w:p w14:paraId="5B756DB1" w14:textId="77777777" w:rsidR="00514E04" w:rsidRPr="00A528EC" w:rsidRDefault="00514E04" w:rsidP="005A2825">
            <w:pPr>
              <w:spacing w:before="120" w:after="120"/>
              <w:jc w:val="both"/>
              <w:rPr>
                <w:rFonts w:cs="Arial"/>
              </w:rPr>
            </w:pPr>
          </w:p>
        </w:tc>
        <w:tc>
          <w:tcPr>
            <w:tcW w:w="1134" w:type="dxa"/>
          </w:tcPr>
          <w:p w14:paraId="42FE13AA" w14:textId="77777777" w:rsidR="00514E04" w:rsidRPr="00A528EC" w:rsidRDefault="00514E04" w:rsidP="005A2825">
            <w:pPr>
              <w:spacing w:before="120" w:after="120"/>
              <w:jc w:val="both"/>
              <w:rPr>
                <w:rFonts w:cs="Arial"/>
              </w:rPr>
            </w:pPr>
          </w:p>
        </w:tc>
      </w:tr>
      <w:tr w:rsidR="00514E04" w:rsidRPr="00A528EC" w14:paraId="7D529036" w14:textId="77777777" w:rsidTr="48359B0B">
        <w:tc>
          <w:tcPr>
            <w:tcW w:w="7514" w:type="dxa"/>
          </w:tcPr>
          <w:p w14:paraId="03672B70" w14:textId="77777777" w:rsidR="00514E04" w:rsidRPr="00A528EC" w:rsidRDefault="48359B0B" w:rsidP="005A2825">
            <w:pPr>
              <w:spacing w:before="120" w:after="120"/>
              <w:jc w:val="both"/>
              <w:rPr>
                <w:rFonts w:cs="Arial"/>
              </w:rPr>
            </w:pPr>
            <w:r w:rsidRPr="00A528EC">
              <w:rPr>
                <w:rFonts w:cs="Arial"/>
              </w:rPr>
              <w:t>Parking</w:t>
            </w:r>
          </w:p>
        </w:tc>
        <w:tc>
          <w:tcPr>
            <w:tcW w:w="1134" w:type="dxa"/>
          </w:tcPr>
          <w:p w14:paraId="27FA2116" w14:textId="77777777" w:rsidR="00514E04" w:rsidRPr="00A528EC" w:rsidRDefault="00514E04" w:rsidP="005A2825">
            <w:pPr>
              <w:spacing w:before="120" w:after="120"/>
              <w:jc w:val="both"/>
              <w:rPr>
                <w:rFonts w:cs="Arial"/>
              </w:rPr>
            </w:pPr>
          </w:p>
        </w:tc>
        <w:tc>
          <w:tcPr>
            <w:tcW w:w="1134" w:type="dxa"/>
          </w:tcPr>
          <w:p w14:paraId="41D401B7" w14:textId="77777777" w:rsidR="00514E04" w:rsidRPr="00A528EC" w:rsidRDefault="00514E04" w:rsidP="005A2825">
            <w:pPr>
              <w:spacing w:before="120" w:after="120"/>
              <w:jc w:val="both"/>
              <w:rPr>
                <w:rFonts w:cs="Arial"/>
              </w:rPr>
            </w:pPr>
          </w:p>
        </w:tc>
      </w:tr>
      <w:tr w:rsidR="00514E04" w:rsidRPr="00A528EC" w14:paraId="47D18571" w14:textId="77777777" w:rsidTr="48359B0B">
        <w:tc>
          <w:tcPr>
            <w:tcW w:w="7514" w:type="dxa"/>
          </w:tcPr>
          <w:p w14:paraId="63735370" w14:textId="77777777" w:rsidR="00514E04" w:rsidRPr="00A528EC" w:rsidRDefault="48359B0B" w:rsidP="005A2825">
            <w:pPr>
              <w:spacing w:before="120" w:after="120"/>
              <w:jc w:val="both"/>
              <w:rPr>
                <w:rFonts w:cs="Arial"/>
              </w:rPr>
            </w:pPr>
            <w:r w:rsidRPr="00A528EC">
              <w:rPr>
                <w:rFonts w:cs="Arial"/>
              </w:rPr>
              <w:lastRenderedPageBreak/>
              <w:t>Road maintenance</w:t>
            </w:r>
          </w:p>
        </w:tc>
        <w:tc>
          <w:tcPr>
            <w:tcW w:w="1134" w:type="dxa"/>
          </w:tcPr>
          <w:p w14:paraId="5A54D836" w14:textId="77777777" w:rsidR="00514E04" w:rsidRPr="00A528EC" w:rsidRDefault="00514E04" w:rsidP="005A2825">
            <w:pPr>
              <w:spacing w:before="120" w:after="120"/>
              <w:jc w:val="both"/>
              <w:rPr>
                <w:rFonts w:cs="Arial"/>
              </w:rPr>
            </w:pPr>
          </w:p>
        </w:tc>
        <w:tc>
          <w:tcPr>
            <w:tcW w:w="1134" w:type="dxa"/>
          </w:tcPr>
          <w:p w14:paraId="03F7785F" w14:textId="77777777" w:rsidR="00514E04" w:rsidRPr="00A528EC" w:rsidRDefault="00514E04" w:rsidP="005A2825">
            <w:pPr>
              <w:spacing w:before="120" w:after="120"/>
              <w:jc w:val="both"/>
              <w:rPr>
                <w:rFonts w:cs="Arial"/>
              </w:rPr>
            </w:pPr>
          </w:p>
        </w:tc>
      </w:tr>
      <w:tr w:rsidR="00514E04" w:rsidRPr="00A528EC" w14:paraId="64DE84B3" w14:textId="77777777" w:rsidTr="48359B0B">
        <w:tc>
          <w:tcPr>
            <w:tcW w:w="7514" w:type="dxa"/>
          </w:tcPr>
          <w:p w14:paraId="4BF90AFB" w14:textId="77777777" w:rsidR="00514E04" w:rsidRPr="00A528EC" w:rsidRDefault="48359B0B" w:rsidP="005A2825">
            <w:pPr>
              <w:spacing w:before="120" w:after="120"/>
              <w:jc w:val="both"/>
              <w:rPr>
                <w:rFonts w:cs="Arial"/>
              </w:rPr>
            </w:pPr>
            <w:r w:rsidRPr="00A528EC">
              <w:rPr>
                <w:rFonts w:cs="Arial"/>
              </w:rPr>
              <w:t>Retail (shops and service stations)</w:t>
            </w:r>
          </w:p>
        </w:tc>
        <w:tc>
          <w:tcPr>
            <w:tcW w:w="1134" w:type="dxa"/>
          </w:tcPr>
          <w:p w14:paraId="2C270B3D" w14:textId="77777777" w:rsidR="00514E04" w:rsidRPr="00A528EC" w:rsidRDefault="00514E04" w:rsidP="005A2825">
            <w:pPr>
              <w:spacing w:before="120" w:after="120"/>
              <w:jc w:val="both"/>
              <w:rPr>
                <w:rFonts w:cs="Arial"/>
              </w:rPr>
            </w:pPr>
          </w:p>
        </w:tc>
        <w:tc>
          <w:tcPr>
            <w:tcW w:w="1134" w:type="dxa"/>
          </w:tcPr>
          <w:p w14:paraId="70E6E4A5" w14:textId="77777777" w:rsidR="00514E04" w:rsidRPr="00A528EC" w:rsidRDefault="00514E04" w:rsidP="005A2825">
            <w:pPr>
              <w:spacing w:before="120" w:after="120"/>
              <w:jc w:val="both"/>
              <w:rPr>
                <w:rFonts w:cs="Arial"/>
              </w:rPr>
            </w:pPr>
          </w:p>
        </w:tc>
      </w:tr>
      <w:tr w:rsidR="00514E04" w:rsidRPr="00A528EC" w14:paraId="14798D9E" w14:textId="77777777" w:rsidTr="48359B0B">
        <w:tc>
          <w:tcPr>
            <w:tcW w:w="7514" w:type="dxa"/>
          </w:tcPr>
          <w:p w14:paraId="4795C37C" w14:textId="77777777" w:rsidR="00514E04" w:rsidRPr="00A528EC" w:rsidRDefault="48359B0B" w:rsidP="005A2825">
            <w:pPr>
              <w:spacing w:before="120" w:after="120"/>
              <w:jc w:val="both"/>
              <w:rPr>
                <w:rFonts w:cs="Arial"/>
              </w:rPr>
            </w:pPr>
            <w:r w:rsidRPr="00A528EC">
              <w:rPr>
                <w:rFonts w:cs="Arial"/>
              </w:rPr>
              <w:t>Age or child care facilities</w:t>
            </w:r>
          </w:p>
        </w:tc>
        <w:tc>
          <w:tcPr>
            <w:tcW w:w="1134" w:type="dxa"/>
          </w:tcPr>
          <w:p w14:paraId="57793A92" w14:textId="77777777" w:rsidR="00514E04" w:rsidRPr="00A528EC" w:rsidRDefault="00514E04" w:rsidP="005A2825">
            <w:pPr>
              <w:spacing w:before="120" w:after="120"/>
              <w:jc w:val="both"/>
              <w:rPr>
                <w:rFonts w:cs="Arial"/>
              </w:rPr>
            </w:pPr>
          </w:p>
        </w:tc>
        <w:tc>
          <w:tcPr>
            <w:tcW w:w="1134" w:type="dxa"/>
          </w:tcPr>
          <w:p w14:paraId="60C8DAAA" w14:textId="77777777" w:rsidR="00514E04" w:rsidRPr="00A528EC" w:rsidRDefault="00514E04" w:rsidP="005A2825">
            <w:pPr>
              <w:spacing w:before="120" w:after="120"/>
              <w:jc w:val="both"/>
              <w:rPr>
                <w:rFonts w:cs="Arial"/>
              </w:rPr>
            </w:pPr>
          </w:p>
        </w:tc>
      </w:tr>
      <w:tr w:rsidR="00514E04" w:rsidRPr="00A528EC" w14:paraId="5924F417" w14:textId="77777777" w:rsidTr="48359B0B">
        <w:tc>
          <w:tcPr>
            <w:tcW w:w="7514" w:type="dxa"/>
          </w:tcPr>
          <w:p w14:paraId="163AA26B" w14:textId="77777777" w:rsidR="00514E04" w:rsidRPr="00A528EC" w:rsidRDefault="48359B0B" w:rsidP="005A2825">
            <w:pPr>
              <w:spacing w:before="120" w:after="120"/>
              <w:jc w:val="both"/>
              <w:rPr>
                <w:rFonts w:cs="Arial"/>
              </w:rPr>
            </w:pPr>
            <w:r w:rsidRPr="00A528EC">
              <w:rPr>
                <w:rFonts w:cs="Arial"/>
              </w:rPr>
              <w:t>Land development</w:t>
            </w:r>
          </w:p>
        </w:tc>
        <w:tc>
          <w:tcPr>
            <w:tcW w:w="1134" w:type="dxa"/>
          </w:tcPr>
          <w:p w14:paraId="6275A94D" w14:textId="77777777" w:rsidR="00514E04" w:rsidRPr="00A528EC" w:rsidRDefault="00514E04" w:rsidP="005A2825">
            <w:pPr>
              <w:spacing w:before="120" w:after="120"/>
              <w:jc w:val="both"/>
              <w:rPr>
                <w:rFonts w:cs="Arial"/>
              </w:rPr>
            </w:pPr>
          </w:p>
        </w:tc>
        <w:tc>
          <w:tcPr>
            <w:tcW w:w="1134" w:type="dxa"/>
          </w:tcPr>
          <w:p w14:paraId="56ECE549" w14:textId="77777777" w:rsidR="00514E04" w:rsidRPr="00A528EC" w:rsidRDefault="00514E04" w:rsidP="005A2825">
            <w:pPr>
              <w:spacing w:before="120" w:after="120"/>
              <w:jc w:val="both"/>
              <w:rPr>
                <w:rFonts w:cs="Arial"/>
              </w:rPr>
            </w:pPr>
          </w:p>
        </w:tc>
      </w:tr>
      <w:tr w:rsidR="00514E04" w:rsidRPr="00A528EC" w14:paraId="7F35EE03" w14:textId="77777777" w:rsidTr="48359B0B">
        <w:tc>
          <w:tcPr>
            <w:tcW w:w="7514" w:type="dxa"/>
          </w:tcPr>
          <w:p w14:paraId="79B4F6A3" w14:textId="77777777" w:rsidR="00514E04" w:rsidRPr="00A528EC" w:rsidRDefault="48359B0B" w:rsidP="005A2825">
            <w:pPr>
              <w:spacing w:before="120" w:after="120"/>
              <w:jc w:val="both"/>
              <w:rPr>
                <w:rFonts w:cs="Arial"/>
              </w:rPr>
            </w:pPr>
            <w:r w:rsidRPr="00A528EC">
              <w:rPr>
                <w:rFonts w:cs="Arial"/>
              </w:rPr>
              <w:t>Caravan parks</w:t>
            </w:r>
          </w:p>
        </w:tc>
        <w:tc>
          <w:tcPr>
            <w:tcW w:w="1134" w:type="dxa"/>
          </w:tcPr>
          <w:p w14:paraId="2E66B4B7" w14:textId="77777777" w:rsidR="00514E04" w:rsidRPr="00A528EC" w:rsidRDefault="00514E04" w:rsidP="005A2825">
            <w:pPr>
              <w:spacing w:before="120" w:after="120"/>
              <w:jc w:val="both"/>
              <w:rPr>
                <w:rFonts w:cs="Arial"/>
              </w:rPr>
            </w:pPr>
          </w:p>
        </w:tc>
        <w:tc>
          <w:tcPr>
            <w:tcW w:w="1134" w:type="dxa"/>
          </w:tcPr>
          <w:p w14:paraId="352FA0BB" w14:textId="77777777" w:rsidR="00514E04" w:rsidRPr="00A528EC" w:rsidRDefault="00514E04" w:rsidP="005A2825">
            <w:pPr>
              <w:spacing w:before="120" w:after="120"/>
              <w:jc w:val="both"/>
              <w:rPr>
                <w:rFonts w:cs="Arial"/>
              </w:rPr>
            </w:pPr>
          </w:p>
        </w:tc>
      </w:tr>
      <w:tr w:rsidR="00514E04" w:rsidRPr="00A528EC" w14:paraId="30998553" w14:textId="77777777" w:rsidTr="48359B0B">
        <w:tc>
          <w:tcPr>
            <w:tcW w:w="9782" w:type="dxa"/>
            <w:gridSpan w:val="3"/>
          </w:tcPr>
          <w:p w14:paraId="52F8DF40" w14:textId="77777777" w:rsidR="00514E04" w:rsidRPr="00A528EC" w:rsidRDefault="48359B0B" w:rsidP="005A2825">
            <w:pPr>
              <w:spacing w:before="120" w:after="120"/>
              <w:jc w:val="both"/>
              <w:rPr>
                <w:rFonts w:cs="Arial"/>
              </w:rPr>
            </w:pPr>
            <w:r w:rsidRPr="00A528EC">
              <w:rPr>
                <w:rFonts w:cs="Arial"/>
              </w:rPr>
              <w:t>Other (please specify)</w:t>
            </w:r>
          </w:p>
        </w:tc>
      </w:tr>
    </w:tbl>
    <w:p w14:paraId="0C9C8A49" w14:textId="77777777" w:rsidR="003774E0" w:rsidRPr="00514047" w:rsidRDefault="003774E0" w:rsidP="003774E0">
      <w:pPr>
        <w:pStyle w:val="ListParagraph"/>
        <w:spacing w:after="120" w:line="276" w:lineRule="auto"/>
        <w:ind w:left="567"/>
        <w:jc w:val="both"/>
        <w:rPr>
          <w:rFonts w:ascii="Arial" w:hAnsi="Arial" w:cs="Arial"/>
          <w:sz w:val="24"/>
        </w:rPr>
      </w:pPr>
    </w:p>
    <w:p w14:paraId="6C71D0C8" w14:textId="77777777" w:rsidR="00514E04" w:rsidRPr="00514047" w:rsidRDefault="48359B0B" w:rsidP="48359B0B">
      <w:pPr>
        <w:pStyle w:val="ListParagraph"/>
        <w:numPr>
          <w:ilvl w:val="0"/>
          <w:numId w:val="1"/>
        </w:numPr>
        <w:spacing w:after="120" w:line="276" w:lineRule="auto"/>
        <w:ind w:left="567"/>
        <w:jc w:val="both"/>
        <w:rPr>
          <w:rFonts w:ascii="Arial" w:hAnsi="Arial" w:cs="Arial"/>
          <w:sz w:val="24"/>
        </w:rPr>
      </w:pPr>
      <w:r w:rsidRPr="00514047">
        <w:rPr>
          <w:rFonts w:ascii="Arial" w:hAnsi="Arial" w:cs="Arial"/>
          <w:sz w:val="24"/>
        </w:rPr>
        <w:t xml:space="preserve">To what extent do you support the following statements? </w:t>
      </w:r>
    </w:p>
    <w:tbl>
      <w:tblPr>
        <w:tblStyle w:val="TableGrid"/>
        <w:tblW w:w="9782" w:type="dxa"/>
        <w:tblInd w:w="-289" w:type="dxa"/>
        <w:tblLook w:val="04A0" w:firstRow="1" w:lastRow="0" w:firstColumn="1" w:lastColumn="0" w:noHBand="0" w:noVBand="1"/>
      </w:tblPr>
      <w:tblGrid>
        <w:gridCol w:w="5246"/>
        <w:gridCol w:w="907"/>
        <w:gridCol w:w="907"/>
        <w:gridCol w:w="907"/>
        <w:gridCol w:w="907"/>
        <w:gridCol w:w="908"/>
      </w:tblGrid>
      <w:tr w:rsidR="003774E0" w:rsidRPr="00A528EC" w14:paraId="7B7CE70F" w14:textId="77777777" w:rsidTr="001127BB">
        <w:trPr>
          <w:cnfStyle w:val="100000000000" w:firstRow="1" w:lastRow="0" w:firstColumn="0" w:lastColumn="0" w:oddVBand="0" w:evenVBand="0" w:oddHBand="0" w:evenHBand="0" w:firstRowFirstColumn="0" w:firstRowLastColumn="0" w:lastRowFirstColumn="0" w:lastRowLastColumn="0"/>
          <w:cantSplit/>
          <w:trHeight w:val="2360"/>
        </w:trPr>
        <w:tc>
          <w:tcPr>
            <w:tcW w:w="5246" w:type="dxa"/>
          </w:tcPr>
          <w:p w14:paraId="656386AF" w14:textId="77777777" w:rsidR="003774E0" w:rsidRPr="00A528EC" w:rsidRDefault="003774E0" w:rsidP="005A2825">
            <w:pPr>
              <w:spacing w:before="120" w:after="120"/>
              <w:jc w:val="both"/>
              <w:rPr>
                <w:rFonts w:cs="Arial"/>
                <w:b w:val="0"/>
                <w:szCs w:val="24"/>
              </w:rPr>
            </w:pPr>
          </w:p>
        </w:tc>
        <w:tc>
          <w:tcPr>
            <w:tcW w:w="907" w:type="dxa"/>
            <w:textDirection w:val="btLr"/>
          </w:tcPr>
          <w:p w14:paraId="3632D57F" w14:textId="77777777" w:rsidR="003774E0" w:rsidRPr="00A528EC" w:rsidRDefault="48359B0B" w:rsidP="005A2825">
            <w:pPr>
              <w:spacing w:before="120" w:after="120"/>
              <w:jc w:val="both"/>
              <w:rPr>
                <w:rFonts w:cs="Arial"/>
                <w:b w:val="0"/>
                <w:szCs w:val="24"/>
              </w:rPr>
            </w:pPr>
            <w:r w:rsidRPr="00A528EC">
              <w:rPr>
                <w:rFonts w:cs="Arial"/>
                <w:b w:val="0"/>
                <w:szCs w:val="24"/>
              </w:rPr>
              <w:t>Very unsupportive</w:t>
            </w:r>
          </w:p>
        </w:tc>
        <w:tc>
          <w:tcPr>
            <w:tcW w:w="907" w:type="dxa"/>
            <w:textDirection w:val="btLr"/>
          </w:tcPr>
          <w:p w14:paraId="57352E85" w14:textId="77777777" w:rsidR="003774E0" w:rsidRPr="00A528EC" w:rsidRDefault="48359B0B" w:rsidP="005A2825">
            <w:pPr>
              <w:spacing w:before="120" w:after="120"/>
              <w:jc w:val="both"/>
              <w:rPr>
                <w:rFonts w:cs="Arial"/>
                <w:b w:val="0"/>
                <w:szCs w:val="24"/>
              </w:rPr>
            </w:pPr>
            <w:r w:rsidRPr="00A528EC">
              <w:rPr>
                <w:rFonts w:cs="Arial"/>
                <w:b w:val="0"/>
                <w:szCs w:val="24"/>
              </w:rPr>
              <w:t>Unsupportive</w:t>
            </w:r>
          </w:p>
        </w:tc>
        <w:tc>
          <w:tcPr>
            <w:tcW w:w="907" w:type="dxa"/>
            <w:textDirection w:val="btLr"/>
          </w:tcPr>
          <w:p w14:paraId="2E4685CD" w14:textId="77777777" w:rsidR="003774E0" w:rsidRPr="00A528EC" w:rsidRDefault="48359B0B" w:rsidP="005A2825">
            <w:pPr>
              <w:spacing w:before="120" w:after="120"/>
              <w:jc w:val="both"/>
              <w:rPr>
                <w:rFonts w:cs="Arial"/>
                <w:b w:val="0"/>
                <w:szCs w:val="24"/>
              </w:rPr>
            </w:pPr>
            <w:r w:rsidRPr="00A528EC">
              <w:rPr>
                <w:rFonts w:cs="Arial"/>
                <w:b w:val="0"/>
                <w:szCs w:val="24"/>
              </w:rPr>
              <w:t>Neutral</w:t>
            </w:r>
          </w:p>
        </w:tc>
        <w:tc>
          <w:tcPr>
            <w:tcW w:w="907" w:type="dxa"/>
            <w:textDirection w:val="btLr"/>
          </w:tcPr>
          <w:p w14:paraId="6287C903" w14:textId="77777777" w:rsidR="003774E0" w:rsidRPr="00A528EC" w:rsidRDefault="48359B0B" w:rsidP="005A2825">
            <w:pPr>
              <w:spacing w:before="120" w:after="120"/>
              <w:jc w:val="both"/>
              <w:rPr>
                <w:rFonts w:cs="Arial"/>
                <w:b w:val="0"/>
                <w:szCs w:val="24"/>
              </w:rPr>
            </w:pPr>
            <w:r w:rsidRPr="00A528EC">
              <w:rPr>
                <w:rFonts w:cs="Arial"/>
                <w:b w:val="0"/>
                <w:szCs w:val="24"/>
              </w:rPr>
              <w:t>Supportive</w:t>
            </w:r>
          </w:p>
        </w:tc>
        <w:tc>
          <w:tcPr>
            <w:tcW w:w="908" w:type="dxa"/>
            <w:textDirection w:val="btLr"/>
          </w:tcPr>
          <w:p w14:paraId="0E375322" w14:textId="77777777" w:rsidR="003774E0" w:rsidRPr="00A528EC" w:rsidRDefault="48359B0B" w:rsidP="005A2825">
            <w:pPr>
              <w:spacing w:before="120" w:after="120"/>
              <w:jc w:val="both"/>
              <w:rPr>
                <w:rFonts w:cs="Arial"/>
                <w:b w:val="0"/>
                <w:szCs w:val="24"/>
              </w:rPr>
            </w:pPr>
            <w:r w:rsidRPr="00A528EC">
              <w:rPr>
                <w:rFonts w:cs="Arial"/>
                <w:b w:val="0"/>
                <w:szCs w:val="24"/>
              </w:rPr>
              <w:t>Very supportive</w:t>
            </w:r>
          </w:p>
        </w:tc>
      </w:tr>
      <w:tr w:rsidR="003774E0" w:rsidRPr="00A528EC" w14:paraId="78F9BCF4" w14:textId="77777777" w:rsidTr="48359B0B">
        <w:tc>
          <w:tcPr>
            <w:tcW w:w="5246" w:type="dxa"/>
          </w:tcPr>
          <w:p w14:paraId="01B934FF" w14:textId="541EC222" w:rsidR="003774E0" w:rsidRPr="00A528EC" w:rsidRDefault="48359B0B" w:rsidP="005A2825">
            <w:pPr>
              <w:spacing w:before="120" w:after="120"/>
              <w:ind w:left="0"/>
              <w:rPr>
                <w:rFonts w:cs="Arial"/>
                <w:szCs w:val="24"/>
              </w:rPr>
            </w:pPr>
            <w:r w:rsidRPr="00A528EC">
              <w:rPr>
                <w:rFonts w:cs="Arial"/>
                <w:szCs w:val="24"/>
              </w:rPr>
              <w:t xml:space="preserve">"The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 xml:space="preserve">overnment should be required to guarantee any debt of a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overnment beneficial enterprise."</w:t>
            </w:r>
          </w:p>
        </w:tc>
        <w:tc>
          <w:tcPr>
            <w:tcW w:w="907" w:type="dxa"/>
          </w:tcPr>
          <w:p w14:paraId="3932C892" w14:textId="77777777" w:rsidR="003774E0" w:rsidRPr="00A528EC" w:rsidRDefault="003774E0" w:rsidP="005A2825">
            <w:pPr>
              <w:spacing w:before="120" w:after="120"/>
              <w:jc w:val="both"/>
              <w:rPr>
                <w:rFonts w:cs="Arial"/>
                <w:szCs w:val="24"/>
              </w:rPr>
            </w:pPr>
          </w:p>
        </w:tc>
        <w:tc>
          <w:tcPr>
            <w:tcW w:w="907" w:type="dxa"/>
          </w:tcPr>
          <w:p w14:paraId="6C4549C7" w14:textId="77777777" w:rsidR="003774E0" w:rsidRPr="00A528EC" w:rsidRDefault="003774E0" w:rsidP="005A2825">
            <w:pPr>
              <w:spacing w:before="120" w:after="120"/>
              <w:jc w:val="both"/>
              <w:rPr>
                <w:rFonts w:cs="Arial"/>
                <w:szCs w:val="24"/>
              </w:rPr>
            </w:pPr>
          </w:p>
        </w:tc>
        <w:tc>
          <w:tcPr>
            <w:tcW w:w="907" w:type="dxa"/>
          </w:tcPr>
          <w:p w14:paraId="392C45BD" w14:textId="77777777" w:rsidR="003774E0" w:rsidRPr="00A528EC" w:rsidRDefault="003774E0" w:rsidP="005A2825">
            <w:pPr>
              <w:spacing w:before="120" w:after="120"/>
              <w:jc w:val="both"/>
              <w:rPr>
                <w:rFonts w:cs="Arial"/>
                <w:szCs w:val="24"/>
              </w:rPr>
            </w:pPr>
          </w:p>
        </w:tc>
        <w:tc>
          <w:tcPr>
            <w:tcW w:w="907" w:type="dxa"/>
          </w:tcPr>
          <w:p w14:paraId="727C339B" w14:textId="77777777" w:rsidR="003774E0" w:rsidRPr="00A528EC" w:rsidRDefault="003774E0" w:rsidP="005A2825">
            <w:pPr>
              <w:spacing w:before="120" w:after="120"/>
              <w:jc w:val="both"/>
              <w:rPr>
                <w:rFonts w:cs="Arial"/>
                <w:szCs w:val="24"/>
              </w:rPr>
            </w:pPr>
          </w:p>
        </w:tc>
        <w:tc>
          <w:tcPr>
            <w:tcW w:w="908" w:type="dxa"/>
          </w:tcPr>
          <w:p w14:paraId="21D4BA3F" w14:textId="77777777" w:rsidR="003774E0" w:rsidRPr="00A528EC" w:rsidRDefault="003774E0" w:rsidP="005A2825">
            <w:pPr>
              <w:spacing w:before="120" w:after="120"/>
              <w:jc w:val="both"/>
              <w:rPr>
                <w:rFonts w:cs="Arial"/>
                <w:szCs w:val="24"/>
              </w:rPr>
            </w:pPr>
          </w:p>
        </w:tc>
      </w:tr>
      <w:tr w:rsidR="003774E0" w:rsidRPr="00A528EC" w14:paraId="4DFB6D7C" w14:textId="77777777" w:rsidTr="48359B0B">
        <w:tc>
          <w:tcPr>
            <w:tcW w:w="5246" w:type="dxa"/>
          </w:tcPr>
          <w:p w14:paraId="1FD2D414" w14:textId="1462F215" w:rsidR="003774E0" w:rsidRPr="00A528EC" w:rsidRDefault="48359B0B" w:rsidP="005A2825">
            <w:pPr>
              <w:spacing w:before="120" w:after="120"/>
              <w:ind w:left="0"/>
              <w:rPr>
                <w:rFonts w:cs="Arial"/>
                <w:szCs w:val="24"/>
              </w:rPr>
            </w:pPr>
            <w:r w:rsidRPr="00A528EC">
              <w:rPr>
                <w:rFonts w:cs="Arial"/>
                <w:szCs w:val="24"/>
              </w:rPr>
              <w:t xml:space="preserve">"The </w:t>
            </w:r>
            <w:r w:rsidR="00514047" w:rsidRPr="00A528EC">
              <w:rPr>
                <w:rFonts w:cs="Arial"/>
                <w:szCs w:val="24"/>
              </w:rPr>
              <w:t>l</w:t>
            </w:r>
            <w:r w:rsidRPr="00A528EC">
              <w:rPr>
                <w:rFonts w:cs="Arial"/>
                <w:szCs w:val="24"/>
              </w:rPr>
              <w:t xml:space="preserve">ocal </w:t>
            </w:r>
            <w:r w:rsidR="00514047" w:rsidRPr="00A528EC">
              <w:rPr>
                <w:rFonts w:cs="Arial"/>
                <w:szCs w:val="24"/>
              </w:rPr>
              <w:t>g</w:t>
            </w:r>
            <w:r w:rsidRPr="00A528EC">
              <w:rPr>
                <w:rFonts w:cs="Arial"/>
                <w:szCs w:val="24"/>
              </w:rPr>
              <w:t>overnment should be able to lend money to a local government beneficial enterprise."</w:t>
            </w:r>
          </w:p>
        </w:tc>
        <w:tc>
          <w:tcPr>
            <w:tcW w:w="907" w:type="dxa"/>
          </w:tcPr>
          <w:p w14:paraId="761ECB6B" w14:textId="77777777" w:rsidR="003774E0" w:rsidRPr="00A528EC" w:rsidRDefault="003774E0" w:rsidP="005A2825">
            <w:pPr>
              <w:spacing w:before="120" w:after="120"/>
              <w:jc w:val="both"/>
              <w:rPr>
                <w:rFonts w:cs="Arial"/>
                <w:szCs w:val="24"/>
              </w:rPr>
            </w:pPr>
          </w:p>
        </w:tc>
        <w:tc>
          <w:tcPr>
            <w:tcW w:w="907" w:type="dxa"/>
          </w:tcPr>
          <w:p w14:paraId="166EC501" w14:textId="77777777" w:rsidR="003774E0" w:rsidRPr="00A528EC" w:rsidRDefault="003774E0" w:rsidP="005A2825">
            <w:pPr>
              <w:spacing w:before="120" w:after="120"/>
              <w:jc w:val="both"/>
              <w:rPr>
                <w:rFonts w:cs="Arial"/>
                <w:szCs w:val="24"/>
              </w:rPr>
            </w:pPr>
          </w:p>
        </w:tc>
        <w:tc>
          <w:tcPr>
            <w:tcW w:w="907" w:type="dxa"/>
          </w:tcPr>
          <w:p w14:paraId="32887807" w14:textId="77777777" w:rsidR="003774E0" w:rsidRPr="00A528EC" w:rsidRDefault="003774E0" w:rsidP="005A2825">
            <w:pPr>
              <w:spacing w:before="120" w:after="120"/>
              <w:jc w:val="both"/>
              <w:rPr>
                <w:rFonts w:cs="Arial"/>
                <w:szCs w:val="24"/>
              </w:rPr>
            </w:pPr>
          </w:p>
        </w:tc>
        <w:tc>
          <w:tcPr>
            <w:tcW w:w="907" w:type="dxa"/>
          </w:tcPr>
          <w:p w14:paraId="38717504" w14:textId="77777777" w:rsidR="003774E0" w:rsidRPr="00A528EC" w:rsidRDefault="003774E0" w:rsidP="005A2825">
            <w:pPr>
              <w:spacing w:before="120" w:after="120"/>
              <w:jc w:val="both"/>
              <w:rPr>
                <w:rFonts w:cs="Arial"/>
                <w:szCs w:val="24"/>
              </w:rPr>
            </w:pPr>
          </w:p>
        </w:tc>
        <w:tc>
          <w:tcPr>
            <w:tcW w:w="908" w:type="dxa"/>
          </w:tcPr>
          <w:p w14:paraId="73A2F770" w14:textId="77777777" w:rsidR="003774E0" w:rsidRPr="00A528EC" w:rsidRDefault="003774E0" w:rsidP="005A2825">
            <w:pPr>
              <w:spacing w:before="120" w:after="120"/>
              <w:jc w:val="both"/>
              <w:rPr>
                <w:rFonts w:cs="Arial"/>
                <w:szCs w:val="24"/>
              </w:rPr>
            </w:pPr>
          </w:p>
        </w:tc>
      </w:tr>
      <w:tr w:rsidR="003774E0" w:rsidRPr="00A528EC" w14:paraId="27F6631A" w14:textId="77777777" w:rsidTr="48359B0B">
        <w:tc>
          <w:tcPr>
            <w:tcW w:w="5246" w:type="dxa"/>
          </w:tcPr>
          <w:p w14:paraId="41A41A2B" w14:textId="77777777" w:rsidR="003774E0" w:rsidRPr="00A528EC" w:rsidRDefault="48359B0B" w:rsidP="005A2825">
            <w:pPr>
              <w:spacing w:before="120" w:after="120"/>
              <w:ind w:left="0"/>
              <w:rPr>
                <w:rFonts w:cs="Arial"/>
                <w:szCs w:val="24"/>
              </w:rPr>
            </w:pPr>
            <w:r w:rsidRPr="00A528EC">
              <w:rPr>
                <w:rFonts w:cs="Arial"/>
                <w:szCs w:val="24"/>
              </w:rPr>
              <w:t>"The Western Australian Treasury Corporation should be able to lend money to a local government beneficial enterprise"</w:t>
            </w:r>
          </w:p>
        </w:tc>
        <w:tc>
          <w:tcPr>
            <w:tcW w:w="907" w:type="dxa"/>
          </w:tcPr>
          <w:p w14:paraId="4F8CC195" w14:textId="77777777" w:rsidR="003774E0" w:rsidRPr="00A528EC" w:rsidRDefault="003774E0" w:rsidP="005A2825">
            <w:pPr>
              <w:spacing w:before="120" w:after="120"/>
              <w:jc w:val="both"/>
              <w:rPr>
                <w:rFonts w:cs="Arial"/>
                <w:szCs w:val="24"/>
              </w:rPr>
            </w:pPr>
          </w:p>
        </w:tc>
        <w:tc>
          <w:tcPr>
            <w:tcW w:w="907" w:type="dxa"/>
          </w:tcPr>
          <w:p w14:paraId="65EB426D" w14:textId="77777777" w:rsidR="003774E0" w:rsidRPr="00A528EC" w:rsidRDefault="003774E0" w:rsidP="005A2825">
            <w:pPr>
              <w:spacing w:before="120" w:after="120"/>
              <w:jc w:val="both"/>
              <w:rPr>
                <w:rFonts w:cs="Arial"/>
                <w:szCs w:val="24"/>
              </w:rPr>
            </w:pPr>
          </w:p>
        </w:tc>
        <w:tc>
          <w:tcPr>
            <w:tcW w:w="907" w:type="dxa"/>
          </w:tcPr>
          <w:p w14:paraId="0D602C83" w14:textId="77777777" w:rsidR="003774E0" w:rsidRPr="00A528EC" w:rsidRDefault="003774E0" w:rsidP="005A2825">
            <w:pPr>
              <w:spacing w:before="120" w:after="120"/>
              <w:jc w:val="both"/>
              <w:rPr>
                <w:rFonts w:cs="Arial"/>
                <w:szCs w:val="24"/>
              </w:rPr>
            </w:pPr>
          </w:p>
        </w:tc>
        <w:tc>
          <w:tcPr>
            <w:tcW w:w="907" w:type="dxa"/>
          </w:tcPr>
          <w:p w14:paraId="3D985A0F" w14:textId="77777777" w:rsidR="003774E0" w:rsidRPr="00A528EC" w:rsidRDefault="003774E0" w:rsidP="005A2825">
            <w:pPr>
              <w:spacing w:before="120" w:after="120"/>
              <w:jc w:val="both"/>
              <w:rPr>
                <w:rFonts w:cs="Arial"/>
                <w:szCs w:val="24"/>
              </w:rPr>
            </w:pPr>
          </w:p>
        </w:tc>
        <w:tc>
          <w:tcPr>
            <w:tcW w:w="908" w:type="dxa"/>
          </w:tcPr>
          <w:p w14:paraId="18C3BB55" w14:textId="77777777" w:rsidR="003774E0" w:rsidRPr="00A528EC" w:rsidRDefault="003774E0" w:rsidP="005A2825">
            <w:pPr>
              <w:spacing w:before="120" w:after="120"/>
              <w:jc w:val="both"/>
              <w:rPr>
                <w:rFonts w:cs="Arial"/>
                <w:szCs w:val="24"/>
              </w:rPr>
            </w:pPr>
          </w:p>
        </w:tc>
      </w:tr>
      <w:tr w:rsidR="003774E0" w:rsidRPr="00A528EC" w14:paraId="5E39668B" w14:textId="77777777" w:rsidTr="48359B0B">
        <w:tc>
          <w:tcPr>
            <w:tcW w:w="5246" w:type="dxa"/>
          </w:tcPr>
          <w:p w14:paraId="105148DC" w14:textId="47649F9E" w:rsidR="003774E0" w:rsidRPr="00A528EC" w:rsidRDefault="48359B0B" w:rsidP="005A2825">
            <w:pPr>
              <w:spacing w:before="120" w:after="120"/>
              <w:ind w:left="0"/>
              <w:rPr>
                <w:rFonts w:cs="Arial"/>
                <w:szCs w:val="24"/>
              </w:rPr>
            </w:pPr>
            <w:r w:rsidRPr="00A528EC">
              <w:rPr>
                <w:rFonts w:cs="Arial"/>
                <w:szCs w:val="24"/>
              </w:rPr>
              <w:t>"Commercial lenders should be able to lend money to a local government beneficial enterprise"</w:t>
            </w:r>
          </w:p>
        </w:tc>
        <w:tc>
          <w:tcPr>
            <w:tcW w:w="907" w:type="dxa"/>
          </w:tcPr>
          <w:p w14:paraId="1964DA85" w14:textId="77777777" w:rsidR="003774E0" w:rsidRPr="00A528EC" w:rsidRDefault="003774E0" w:rsidP="005A2825">
            <w:pPr>
              <w:spacing w:before="120" w:after="120"/>
              <w:jc w:val="both"/>
              <w:rPr>
                <w:rFonts w:cs="Arial"/>
                <w:szCs w:val="24"/>
              </w:rPr>
            </w:pPr>
          </w:p>
        </w:tc>
        <w:tc>
          <w:tcPr>
            <w:tcW w:w="907" w:type="dxa"/>
          </w:tcPr>
          <w:p w14:paraId="4D1FD571" w14:textId="77777777" w:rsidR="003774E0" w:rsidRPr="00A528EC" w:rsidRDefault="003774E0" w:rsidP="005A2825">
            <w:pPr>
              <w:spacing w:before="120" w:after="120"/>
              <w:jc w:val="both"/>
              <w:rPr>
                <w:rFonts w:cs="Arial"/>
                <w:szCs w:val="24"/>
              </w:rPr>
            </w:pPr>
          </w:p>
        </w:tc>
        <w:tc>
          <w:tcPr>
            <w:tcW w:w="907" w:type="dxa"/>
          </w:tcPr>
          <w:p w14:paraId="594C2192" w14:textId="77777777" w:rsidR="003774E0" w:rsidRPr="00A528EC" w:rsidRDefault="003774E0" w:rsidP="005A2825">
            <w:pPr>
              <w:spacing w:before="120" w:after="120"/>
              <w:jc w:val="both"/>
              <w:rPr>
                <w:rFonts w:cs="Arial"/>
                <w:szCs w:val="24"/>
              </w:rPr>
            </w:pPr>
          </w:p>
        </w:tc>
        <w:tc>
          <w:tcPr>
            <w:tcW w:w="907" w:type="dxa"/>
          </w:tcPr>
          <w:p w14:paraId="58B0CFDB" w14:textId="77777777" w:rsidR="003774E0" w:rsidRPr="00A528EC" w:rsidRDefault="003774E0" w:rsidP="005A2825">
            <w:pPr>
              <w:spacing w:before="120" w:after="120"/>
              <w:jc w:val="both"/>
              <w:rPr>
                <w:rFonts w:cs="Arial"/>
                <w:szCs w:val="24"/>
              </w:rPr>
            </w:pPr>
          </w:p>
        </w:tc>
        <w:tc>
          <w:tcPr>
            <w:tcW w:w="908" w:type="dxa"/>
          </w:tcPr>
          <w:p w14:paraId="1222DB07" w14:textId="77777777" w:rsidR="003774E0" w:rsidRPr="00A528EC" w:rsidRDefault="003774E0" w:rsidP="005A2825">
            <w:pPr>
              <w:spacing w:before="120" w:after="120"/>
              <w:jc w:val="both"/>
              <w:rPr>
                <w:rFonts w:cs="Arial"/>
                <w:szCs w:val="24"/>
              </w:rPr>
            </w:pPr>
          </w:p>
        </w:tc>
      </w:tr>
    </w:tbl>
    <w:p w14:paraId="5B1FDBE1" w14:textId="77777777" w:rsidR="00514E04" w:rsidRPr="00514047" w:rsidRDefault="00514E04" w:rsidP="005770B8">
      <w:pPr>
        <w:tabs>
          <w:tab w:val="left" w:pos="2235"/>
        </w:tabs>
        <w:spacing w:after="120" w:line="276" w:lineRule="auto"/>
        <w:jc w:val="both"/>
        <w:rPr>
          <w:rFonts w:ascii="Arial" w:hAnsi="Arial" w:cs="Arial"/>
          <w:sz w:val="24"/>
        </w:rPr>
      </w:pPr>
    </w:p>
    <w:p w14:paraId="70432A77" w14:textId="77777777" w:rsidR="00950438" w:rsidRPr="00514047" w:rsidRDefault="48359B0B" w:rsidP="004C1909">
      <w:pPr>
        <w:pStyle w:val="ListParagraph"/>
        <w:keepNext/>
        <w:keepLines/>
        <w:numPr>
          <w:ilvl w:val="0"/>
          <w:numId w:val="1"/>
        </w:numPr>
        <w:spacing w:after="120" w:line="276" w:lineRule="auto"/>
        <w:ind w:left="567"/>
        <w:jc w:val="both"/>
        <w:rPr>
          <w:rFonts w:ascii="Arial" w:hAnsi="Arial" w:cs="Arial"/>
          <w:sz w:val="24"/>
        </w:rPr>
      </w:pPr>
      <w:r w:rsidRPr="00514047">
        <w:rPr>
          <w:rFonts w:ascii="Arial" w:hAnsi="Arial" w:cs="Arial"/>
          <w:sz w:val="24"/>
        </w:rPr>
        <w:lastRenderedPageBreak/>
        <w:t>To what extent do you support the following statements?</w:t>
      </w:r>
    </w:p>
    <w:bookmarkEnd w:id="15"/>
    <w:tbl>
      <w:tblPr>
        <w:tblStyle w:val="TableGrid"/>
        <w:tblW w:w="9782" w:type="dxa"/>
        <w:tblInd w:w="-289" w:type="dxa"/>
        <w:tblLook w:val="04A0" w:firstRow="1" w:lastRow="0" w:firstColumn="1" w:lastColumn="0" w:noHBand="0" w:noVBand="1"/>
      </w:tblPr>
      <w:tblGrid>
        <w:gridCol w:w="5246"/>
        <w:gridCol w:w="907"/>
        <w:gridCol w:w="907"/>
        <w:gridCol w:w="907"/>
        <w:gridCol w:w="907"/>
        <w:gridCol w:w="908"/>
      </w:tblGrid>
      <w:tr w:rsidR="003774E0" w:rsidRPr="001127BB" w14:paraId="77A79F19" w14:textId="77777777" w:rsidTr="001127BB">
        <w:trPr>
          <w:cnfStyle w:val="100000000000" w:firstRow="1" w:lastRow="0" w:firstColumn="0" w:lastColumn="0" w:oddVBand="0" w:evenVBand="0" w:oddHBand="0" w:evenHBand="0" w:firstRowFirstColumn="0" w:firstRowLastColumn="0" w:lastRowFirstColumn="0" w:lastRowLastColumn="0"/>
          <w:cantSplit/>
          <w:trHeight w:val="2394"/>
        </w:trPr>
        <w:tc>
          <w:tcPr>
            <w:tcW w:w="5246" w:type="dxa"/>
          </w:tcPr>
          <w:p w14:paraId="5BC10E5D" w14:textId="77777777" w:rsidR="003774E0" w:rsidRPr="001127BB" w:rsidRDefault="003774E0" w:rsidP="005A2825">
            <w:pPr>
              <w:keepNext/>
              <w:keepLines/>
              <w:spacing w:before="120" w:after="120"/>
              <w:jc w:val="both"/>
              <w:rPr>
                <w:rFonts w:cs="Arial"/>
                <w:b w:val="0"/>
                <w:szCs w:val="24"/>
              </w:rPr>
            </w:pPr>
          </w:p>
        </w:tc>
        <w:tc>
          <w:tcPr>
            <w:tcW w:w="907" w:type="dxa"/>
            <w:textDirection w:val="btLr"/>
          </w:tcPr>
          <w:p w14:paraId="1850FECC" w14:textId="77777777" w:rsidR="003774E0" w:rsidRPr="001127BB" w:rsidRDefault="48359B0B" w:rsidP="005A2825">
            <w:pPr>
              <w:keepNext/>
              <w:keepLines/>
              <w:spacing w:before="120" w:after="120"/>
              <w:jc w:val="both"/>
              <w:rPr>
                <w:rFonts w:cs="Arial"/>
                <w:b w:val="0"/>
                <w:szCs w:val="24"/>
              </w:rPr>
            </w:pPr>
            <w:r w:rsidRPr="001127BB">
              <w:rPr>
                <w:rFonts w:cs="Arial"/>
                <w:b w:val="0"/>
                <w:szCs w:val="24"/>
              </w:rPr>
              <w:t>Very unsupportive</w:t>
            </w:r>
          </w:p>
        </w:tc>
        <w:tc>
          <w:tcPr>
            <w:tcW w:w="907" w:type="dxa"/>
            <w:textDirection w:val="btLr"/>
          </w:tcPr>
          <w:p w14:paraId="764B98FF" w14:textId="77777777" w:rsidR="003774E0" w:rsidRPr="001127BB" w:rsidRDefault="48359B0B" w:rsidP="005A2825">
            <w:pPr>
              <w:keepNext/>
              <w:keepLines/>
              <w:spacing w:before="120" w:after="120"/>
              <w:jc w:val="both"/>
              <w:rPr>
                <w:rFonts w:cs="Arial"/>
                <w:b w:val="0"/>
                <w:szCs w:val="24"/>
              </w:rPr>
            </w:pPr>
            <w:r w:rsidRPr="001127BB">
              <w:rPr>
                <w:rFonts w:cs="Arial"/>
                <w:b w:val="0"/>
                <w:szCs w:val="24"/>
              </w:rPr>
              <w:t>Unsupportive</w:t>
            </w:r>
          </w:p>
        </w:tc>
        <w:tc>
          <w:tcPr>
            <w:tcW w:w="907" w:type="dxa"/>
            <w:textDirection w:val="btLr"/>
          </w:tcPr>
          <w:p w14:paraId="4D395404" w14:textId="77777777" w:rsidR="003774E0" w:rsidRPr="001127BB" w:rsidRDefault="48359B0B" w:rsidP="005A2825">
            <w:pPr>
              <w:keepNext/>
              <w:keepLines/>
              <w:spacing w:before="120" w:after="120"/>
              <w:jc w:val="both"/>
              <w:rPr>
                <w:rFonts w:cs="Arial"/>
                <w:b w:val="0"/>
                <w:szCs w:val="24"/>
              </w:rPr>
            </w:pPr>
            <w:r w:rsidRPr="001127BB">
              <w:rPr>
                <w:rFonts w:cs="Arial"/>
                <w:b w:val="0"/>
                <w:szCs w:val="24"/>
              </w:rPr>
              <w:t>Neutral</w:t>
            </w:r>
          </w:p>
        </w:tc>
        <w:tc>
          <w:tcPr>
            <w:tcW w:w="907" w:type="dxa"/>
            <w:textDirection w:val="btLr"/>
          </w:tcPr>
          <w:p w14:paraId="2B58EE27" w14:textId="77777777" w:rsidR="003774E0" w:rsidRPr="001127BB" w:rsidRDefault="48359B0B" w:rsidP="005A2825">
            <w:pPr>
              <w:keepNext/>
              <w:keepLines/>
              <w:spacing w:before="120" w:after="120"/>
              <w:jc w:val="both"/>
              <w:rPr>
                <w:rFonts w:cs="Arial"/>
                <w:b w:val="0"/>
                <w:szCs w:val="24"/>
              </w:rPr>
            </w:pPr>
            <w:r w:rsidRPr="001127BB">
              <w:rPr>
                <w:rFonts w:cs="Arial"/>
                <w:b w:val="0"/>
                <w:szCs w:val="24"/>
              </w:rPr>
              <w:t>Supportive</w:t>
            </w:r>
          </w:p>
        </w:tc>
        <w:tc>
          <w:tcPr>
            <w:tcW w:w="908" w:type="dxa"/>
            <w:textDirection w:val="btLr"/>
          </w:tcPr>
          <w:p w14:paraId="0DB519B3" w14:textId="77777777" w:rsidR="003774E0" w:rsidRPr="001127BB" w:rsidRDefault="48359B0B" w:rsidP="005A2825">
            <w:pPr>
              <w:keepNext/>
              <w:keepLines/>
              <w:spacing w:before="120" w:after="120"/>
              <w:jc w:val="both"/>
              <w:rPr>
                <w:rFonts w:cs="Arial"/>
                <w:b w:val="0"/>
                <w:szCs w:val="24"/>
              </w:rPr>
            </w:pPr>
            <w:r w:rsidRPr="001127BB">
              <w:rPr>
                <w:rFonts w:cs="Arial"/>
                <w:b w:val="0"/>
                <w:szCs w:val="24"/>
              </w:rPr>
              <w:t>Very supportive</w:t>
            </w:r>
          </w:p>
        </w:tc>
      </w:tr>
      <w:tr w:rsidR="003774E0" w:rsidRPr="001127BB" w14:paraId="54175B42" w14:textId="77777777" w:rsidTr="48359B0B">
        <w:tc>
          <w:tcPr>
            <w:tcW w:w="5246" w:type="dxa"/>
          </w:tcPr>
          <w:p w14:paraId="748F6F53" w14:textId="01B3598D" w:rsidR="003774E0" w:rsidRPr="001127BB" w:rsidRDefault="48359B0B" w:rsidP="005A2825">
            <w:pPr>
              <w:spacing w:before="120" w:after="120"/>
              <w:rPr>
                <w:rFonts w:cs="Arial"/>
                <w:szCs w:val="24"/>
              </w:rPr>
            </w:pPr>
            <w:r w:rsidRPr="001127BB">
              <w:rPr>
                <w:rFonts w:cs="Arial"/>
                <w:szCs w:val="24"/>
              </w:rPr>
              <w:t xml:space="preserve">"The </w:t>
            </w:r>
            <w:r w:rsidR="00514047" w:rsidRPr="001127BB">
              <w:rPr>
                <w:rFonts w:cs="Arial"/>
                <w:szCs w:val="24"/>
              </w:rPr>
              <w:t>l</w:t>
            </w:r>
            <w:r w:rsidRPr="001127BB">
              <w:rPr>
                <w:rFonts w:cs="Arial"/>
                <w:szCs w:val="24"/>
              </w:rPr>
              <w:t xml:space="preserve">ocal </w:t>
            </w:r>
            <w:r w:rsidR="00514047" w:rsidRPr="001127BB">
              <w:rPr>
                <w:rFonts w:cs="Arial"/>
                <w:szCs w:val="24"/>
              </w:rPr>
              <w:t>g</w:t>
            </w:r>
            <w:r w:rsidRPr="001127BB">
              <w:rPr>
                <w:rFonts w:cs="Arial"/>
                <w:szCs w:val="24"/>
              </w:rPr>
              <w:t xml:space="preserve">overnment </w:t>
            </w:r>
            <w:r w:rsidRPr="001127BB">
              <w:rPr>
                <w:rFonts w:cs="Arial"/>
                <w:szCs w:val="24"/>
                <w:u w:val="single"/>
              </w:rPr>
              <w:t>must</w:t>
            </w:r>
            <w:r w:rsidRPr="001127BB">
              <w:rPr>
                <w:rFonts w:cs="Arial"/>
                <w:szCs w:val="24"/>
              </w:rPr>
              <w:t xml:space="preserve"> receive approval from the Minister prior to creating a local government beneficial enterprise."</w:t>
            </w:r>
          </w:p>
        </w:tc>
        <w:tc>
          <w:tcPr>
            <w:tcW w:w="907" w:type="dxa"/>
          </w:tcPr>
          <w:p w14:paraId="3DAEBD10" w14:textId="77777777" w:rsidR="003774E0" w:rsidRPr="001127BB" w:rsidRDefault="003774E0" w:rsidP="005A2825">
            <w:pPr>
              <w:spacing w:before="120" w:after="120"/>
              <w:jc w:val="both"/>
              <w:rPr>
                <w:rFonts w:cs="Arial"/>
                <w:szCs w:val="24"/>
              </w:rPr>
            </w:pPr>
          </w:p>
        </w:tc>
        <w:tc>
          <w:tcPr>
            <w:tcW w:w="907" w:type="dxa"/>
          </w:tcPr>
          <w:p w14:paraId="7397D6AA" w14:textId="77777777" w:rsidR="003774E0" w:rsidRPr="001127BB" w:rsidRDefault="003774E0" w:rsidP="005A2825">
            <w:pPr>
              <w:spacing w:before="120" w:after="120"/>
              <w:jc w:val="both"/>
              <w:rPr>
                <w:rFonts w:cs="Arial"/>
                <w:szCs w:val="24"/>
              </w:rPr>
            </w:pPr>
          </w:p>
        </w:tc>
        <w:tc>
          <w:tcPr>
            <w:tcW w:w="907" w:type="dxa"/>
          </w:tcPr>
          <w:p w14:paraId="23133F61" w14:textId="77777777" w:rsidR="003774E0" w:rsidRPr="001127BB" w:rsidRDefault="003774E0" w:rsidP="005A2825">
            <w:pPr>
              <w:spacing w:before="120" w:after="120"/>
              <w:jc w:val="both"/>
              <w:rPr>
                <w:rFonts w:cs="Arial"/>
                <w:szCs w:val="24"/>
              </w:rPr>
            </w:pPr>
          </w:p>
        </w:tc>
        <w:tc>
          <w:tcPr>
            <w:tcW w:w="907" w:type="dxa"/>
          </w:tcPr>
          <w:p w14:paraId="34733D63" w14:textId="77777777" w:rsidR="003774E0" w:rsidRPr="001127BB" w:rsidRDefault="003774E0" w:rsidP="005A2825">
            <w:pPr>
              <w:spacing w:before="120" w:after="120"/>
              <w:jc w:val="both"/>
              <w:rPr>
                <w:rFonts w:cs="Arial"/>
                <w:szCs w:val="24"/>
              </w:rPr>
            </w:pPr>
          </w:p>
        </w:tc>
        <w:tc>
          <w:tcPr>
            <w:tcW w:w="908" w:type="dxa"/>
          </w:tcPr>
          <w:p w14:paraId="4406CDF0" w14:textId="77777777" w:rsidR="003774E0" w:rsidRPr="001127BB" w:rsidRDefault="003774E0" w:rsidP="005A2825">
            <w:pPr>
              <w:spacing w:before="120" w:after="120"/>
              <w:jc w:val="both"/>
              <w:rPr>
                <w:rFonts w:cs="Arial"/>
                <w:szCs w:val="24"/>
              </w:rPr>
            </w:pPr>
          </w:p>
        </w:tc>
      </w:tr>
      <w:tr w:rsidR="003774E0" w:rsidRPr="001127BB" w14:paraId="7725CFBD" w14:textId="77777777" w:rsidTr="48359B0B">
        <w:tc>
          <w:tcPr>
            <w:tcW w:w="5246" w:type="dxa"/>
          </w:tcPr>
          <w:p w14:paraId="1F14E279" w14:textId="7A74D039" w:rsidR="003774E0" w:rsidRPr="001127BB" w:rsidRDefault="48359B0B" w:rsidP="005A2825">
            <w:pPr>
              <w:spacing w:before="120" w:after="120"/>
              <w:rPr>
                <w:rFonts w:cs="Arial"/>
                <w:szCs w:val="24"/>
              </w:rPr>
            </w:pPr>
            <w:r w:rsidRPr="001127BB">
              <w:rPr>
                <w:rFonts w:cs="Arial"/>
                <w:szCs w:val="24"/>
              </w:rPr>
              <w:t xml:space="preserve">"The </w:t>
            </w:r>
            <w:r w:rsidR="00514047" w:rsidRPr="001127BB">
              <w:rPr>
                <w:rFonts w:cs="Arial"/>
                <w:szCs w:val="24"/>
              </w:rPr>
              <w:t>l</w:t>
            </w:r>
            <w:r w:rsidRPr="001127BB">
              <w:rPr>
                <w:rFonts w:cs="Arial"/>
                <w:szCs w:val="24"/>
              </w:rPr>
              <w:t xml:space="preserve">ocal </w:t>
            </w:r>
            <w:r w:rsidR="00514047" w:rsidRPr="001127BB">
              <w:rPr>
                <w:rFonts w:cs="Arial"/>
                <w:szCs w:val="24"/>
              </w:rPr>
              <w:t>g</w:t>
            </w:r>
            <w:r w:rsidRPr="001127BB">
              <w:rPr>
                <w:rFonts w:cs="Arial"/>
                <w:szCs w:val="24"/>
              </w:rPr>
              <w:t xml:space="preserve">overnment </w:t>
            </w:r>
            <w:r w:rsidRPr="001127BB">
              <w:rPr>
                <w:rFonts w:cs="Arial"/>
                <w:szCs w:val="24"/>
                <w:u w:val="single"/>
              </w:rPr>
              <w:t>must</w:t>
            </w:r>
            <w:r w:rsidRPr="001127BB">
              <w:rPr>
                <w:rFonts w:cs="Arial"/>
                <w:szCs w:val="24"/>
              </w:rPr>
              <w:t xml:space="preserve"> receive approval from the Treasurer prior to creating a local government beneficial enterprise."</w:t>
            </w:r>
          </w:p>
        </w:tc>
        <w:tc>
          <w:tcPr>
            <w:tcW w:w="907" w:type="dxa"/>
          </w:tcPr>
          <w:p w14:paraId="7F40FA38" w14:textId="77777777" w:rsidR="003774E0" w:rsidRPr="001127BB" w:rsidRDefault="003774E0" w:rsidP="005A2825">
            <w:pPr>
              <w:spacing w:before="120" w:after="120"/>
              <w:jc w:val="both"/>
              <w:rPr>
                <w:rFonts w:cs="Arial"/>
                <w:szCs w:val="24"/>
              </w:rPr>
            </w:pPr>
          </w:p>
        </w:tc>
        <w:tc>
          <w:tcPr>
            <w:tcW w:w="907" w:type="dxa"/>
          </w:tcPr>
          <w:p w14:paraId="7ACC345F" w14:textId="77777777" w:rsidR="003774E0" w:rsidRPr="001127BB" w:rsidRDefault="003774E0" w:rsidP="005A2825">
            <w:pPr>
              <w:spacing w:before="120" w:after="120"/>
              <w:jc w:val="both"/>
              <w:rPr>
                <w:rFonts w:cs="Arial"/>
                <w:szCs w:val="24"/>
              </w:rPr>
            </w:pPr>
          </w:p>
        </w:tc>
        <w:tc>
          <w:tcPr>
            <w:tcW w:w="907" w:type="dxa"/>
          </w:tcPr>
          <w:p w14:paraId="07020E6F" w14:textId="77777777" w:rsidR="003774E0" w:rsidRPr="001127BB" w:rsidRDefault="003774E0" w:rsidP="005A2825">
            <w:pPr>
              <w:spacing w:before="120" w:after="120"/>
              <w:jc w:val="both"/>
              <w:rPr>
                <w:rFonts w:cs="Arial"/>
                <w:szCs w:val="24"/>
              </w:rPr>
            </w:pPr>
          </w:p>
        </w:tc>
        <w:tc>
          <w:tcPr>
            <w:tcW w:w="907" w:type="dxa"/>
          </w:tcPr>
          <w:p w14:paraId="74F07DC8" w14:textId="77777777" w:rsidR="003774E0" w:rsidRPr="001127BB" w:rsidRDefault="003774E0" w:rsidP="005A2825">
            <w:pPr>
              <w:spacing w:before="120" w:after="120"/>
              <w:jc w:val="both"/>
              <w:rPr>
                <w:rFonts w:cs="Arial"/>
                <w:szCs w:val="24"/>
              </w:rPr>
            </w:pPr>
          </w:p>
        </w:tc>
        <w:tc>
          <w:tcPr>
            <w:tcW w:w="908" w:type="dxa"/>
          </w:tcPr>
          <w:p w14:paraId="49164A1B" w14:textId="77777777" w:rsidR="003774E0" w:rsidRPr="001127BB" w:rsidRDefault="003774E0" w:rsidP="005A2825">
            <w:pPr>
              <w:spacing w:before="120" w:after="120"/>
              <w:jc w:val="both"/>
              <w:rPr>
                <w:rFonts w:cs="Arial"/>
                <w:szCs w:val="24"/>
              </w:rPr>
            </w:pPr>
          </w:p>
        </w:tc>
      </w:tr>
      <w:tr w:rsidR="003774E0" w:rsidRPr="001127BB" w14:paraId="68F780C1" w14:textId="77777777" w:rsidTr="48359B0B">
        <w:tc>
          <w:tcPr>
            <w:tcW w:w="5246" w:type="dxa"/>
          </w:tcPr>
          <w:p w14:paraId="009F6F03" w14:textId="77777777" w:rsidR="003774E0" w:rsidRPr="001127BB" w:rsidRDefault="48359B0B" w:rsidP="005A2825">
            <w:pPr>
              <w:spacing w:before="120" w:after="120"/>
              <w:rPr>
                <w:rFonts w:cs="Arial"/>
                <w:szCs w:val="24"/>
              </w:rPr>
            </w:pPr>
            <w:r w:rsidRPr="001127BB">
              <w:rPr>
                <w:rFonts w:cs="Arial"/>
                <w:szCs w:val="24"/>
              </w:rPr>
              <w:t>"The Office of the Auditor General should be responsible for auditing local government beneficial enterprises."</w:t>
            </w:r>
          </w:p>
        </w:tc>
        <w:tc>
          <w:tcPr>
            <w:tcW w:w="907" w:type="dxa"/>
          </w:tcPr>
          <w:p w14:paraId="7F72888C" w14:textId="77777777" w:rsidR="003774E0" w:rsidRPr="001127BB" w:rsidRDefault="003774E0" w:rsidP="005A2825">
            <w:pPr>
              <w:spacing w:before="120" w:after="120"/>
              <w:jc w:val="both"/>
              <w:rPr>
                <w:rFonts w:cs="Arial"/>
                <w:szCs w:val="24"/>
              </w:rPr>
            </w:pPr>
          </w:p>
        </w:tc>
        <w:tc>
          <w:tcPr>
            <w:tcW w:w="907" w:type="dxa"/>
          </w:tcPr>
          <w:p w14:paraId="67ED677B" w14:textId="77777777" w:rsidR="003774E0" w:rsidRPr="001127BB" w:rsidRDefault="003774E0" w:rsidP="005A2825">
            <w:pPr>
              <w:spacing w:before="120" w:after="120"/>
              <w:jc w:val="both"/>
              <w:rPr>
                <w:rFonts w:cs="Arial"/>
                <w:szCs w:val="24"/>
              </w:rPr>
            </w:pPr>
          </w:p>
        </w:tc>
        <w:tc>
          <w:tcPr>
            <w:tcW w:w="907" w:type="dxa"/>
          </w:tcPr>
          <w:p w14:paraId="19A7D265" w14:textId="77777777" w:rsidR="003774E0" w:rsidRPr="001127BB" w:rsidRDefault="003774E0" w:rsidP="005A2825">
            <w:pPr>
              <w:spacing w:before="120" w:after="120"/>
              <w:jc w:val="both"/>
              <w:rPr>
                <w:rFonts w:cs="Arial"/>
                <w:szCs w:val="24"/>
              </w:rPr>
            </w:pPr>
          </w:p>
        </w:tc>
        <w:tc>
          <w:tcPr>
            <w:tcW w:w="907" w:type="dxa"/>
          </w:tcPr>
          <w:p w14:paraId="563F3811" w14:textId="77777777" w:rsidR="003774E0" w:rsidRPr="001127BB" w:rsidRDefault="003774E0" w:rsidP="005A2825">
            <w:pPr>
              <w:spacing w:before="120" w:after="120"/>
              <w:jc w:val="both"/>
              <w:rPr>
                <w:rFonts w:cs="Arial"/>
                <w:szCs w:val="24"/>
              </w:rPr>
            </w:pPr>
          </w:p>
        </w:tc>
        <w:tc>
          <w:tcPr>
            <w:tcW w:w="908" w:type="dxa"/>
          </w:tcPr>
          <w:p w14:paraId="5256DA0A" w14:textId="77777777" w:rsidR="003774E0" w:rsidRPr="001127BB" w:rsidRDefault="003774E0" w:rsidP="005A2825">
            <w:pPr>
              <w:spacing w:before="120" w:after="120"/>
              <w:jc w:val="both"/>
              <w:rPr>
                <w:rFonts w:cs="Arial"/>
                <w:szCs w:val="24"/>
              </w:rPr>
            </w:pPr>
          </w:p>
        </w:tc>
      </w:tr>
      <w:tr w:rsidR="003774E0" w:rsidRPr="001127BB" w14:paraId="17490C12" w14:textId="77777777" w:rsidTr="48359B0B">
        <w:tc>
          <w:tcPr>
            <w:tcW w:w="5246" w:type="dxa"/>
          </w:tcPr>
          <w:p w14:paraId="7A13651F" w14:textId="77777777" w:rsidR="003774E0" w:rsidRPr="001127BB" w:rsidRDefault="48359B0B" w:rsidP="005A2825">
            <w:pPr>
              <w:spacing w:before="120" w:after="120"/>
              <w:rPr>
                <w:rFonts w:cs="Arial"/>
                <w:szCs w:val="24"/>
              </w:rPr>
            </w:pPr>
            <w:r w:rsidRPr="001127BB">
              <w:rPr>
                <w:rFonts w:cs="Arial"/>
                <w:szCs w:val="24"/>
              </w:rPr>
              <w:t>"A local government beneficial enterprise should be required to hold public meetings."</w:t>
            </w:r>
          </w:p>
        </w:tc>
        <w:tc>
          <w:tcPr>
            <w:tcW w:w="907" w:type="dxa"/>
          </w:tcPr>
          <w:p w14:paraId="551B3D83" w14:textId="77777777" w:rsidR="003774E0" w:rsidRPr="001127BB" w:rsidRDefault="003774E0" w:rsidP="005A2825">
            <w:pPr>
              <w:spacing w:before="120" w:after="120"/>
              <w:jc w:val="both"/>
              <w:rPr>
                <w:rFonts w:cs="Arial"/>
                <w:szCs w:val="24"/>
              </w:rPr>
            </w:pPr>
          </w:p>
        </w:tc>
        <w:tc>
          <w:tcPr>
            <w:tcW w:w="907" w:type="dxa"/>
          </w:tcPr>
          <w:p w14:paraId="1113B01F" w14:textId="77777777" w:rsidR="003774E0" w:rsidRPr="001127BB" w:rsidRDefault="003774E0" w:rsidP="005A2825">
            <w:pPr>
              <w:spacing w:before="120" w:after="120"/>
              <w:jc w:val="both"/>
              <w:rPr>
                <w:rFonts w:cs="Arial"/>
                <w:szCs w:val="24"/>
              </w:rPr>
            </w:pPr>
          </w:p>
        </w:tc>
        <w:tc>
          <w:tcPr>
            <w:tcW w:w="907" w:type="dxa"/>
          </w:tcPr>
          <w:p w14:paraId="3B584D75" w14:textId="77777777" w:rsidR="003774E0" w:rsidRPr="001127BB" w:rsidRDefault="003774E0" w:rsidP="005A2825">
            <w:pPr>
              <w:spacing w:before="120" w:after="120"/>
              <w:jc w:val="both"/>
              <w:rPr>
                <w:rFonts w:cs="Arial"/>
                <w:szCs w:val="24"/>
              </w:rPr>
            </w:pPr>
          </w:p>
        </w:tc>
        <w:tc>
          <w:tcPr>
            <w:tcW w:w="907" w:type="dxa"/>
          </w:tcPr>
          <w:p w14:paraId="45A0642F" w14:textId="77777777" w:rsidR="003774E0" w:rsidRPr="001127BB" w:rsidRDefault="003774E0" w:rsidP="005A2825">
            <w:pPr>
              <w:spacing w:before="120" w:after="120"/>
              <w:jc w:val="both"/>
              <w:rPr>
                <w:rFonts w:cs="Arial"/>
                <w:szCs w:val="24"/>
              </w:rPr>
            </w:pPr>
          </w:p>
        </w:tc>
        <w:tc>
          <w:tcPr>
            <w:tcW w:w="908" w:type="dxa"/>
          </w:tcPr>
          <w:p w14:paraId="35304162" w14:textId="77777777" w:rsidR="003774E0" w:rsidRPr="001127BB" w:rsidRDefault="003774E0" w:rsidP="005A2825">
            <w:pPr>
              <w:spacing w:before="120" w:after="120"/>
              <w:jc w:val="both"/>
              <w:rPr>
                <w:rFonts w:cs="Arial"/>
                <w:szCs w:val="24"/>
              </w:rPr>
            </w:pPr>
          </w:p>
        </w:tc>
      </w:tr>
    </w:tbl>
    <w:p w14:paraId="6860BC3E" w14:textId="77777777" w:rsidR="003774E0" w:rsidRPr="000D072C" w:rsidRDefault="003774E0" w:rsidP="003774E0">
      <w:pPr>
        <w:spacing w:after="120" w:line="276" w:lineRule="auto"/>
        <w:jc w:val="both"/>
        <w:rPr>
          <w:rFonts w:ascii="Arial" w:hAnsi="Arial" w:cs="Arial"/>
        </w:rPr>
      </w:pPr>
    </w:p>
    <w:p w14:paraId="62D7FC6E" w14:textId="07BF4496" w:rsidR="00235CFD" w:rsidRPr="002F1859" w:rsidRDefault="48359B0B" w:rsidP="00391820">
      <w:pPr>
        <w:pStyle w:val="ListParagraph"/>
        <w:numPr>
          <w:ilvl w:val="0"/>
          <w:numId w:val="1"/>
        </w:numPr>
        <w:spacing w:after="120" w:line="276" w:lineRule="auto"/>
        <w:ind w:left="1080"/>
        <w:jc w:val="both"/>
        <w:rPr>
          <w:rFonts w:ascii="Arial" w:hAnsi="Arial" w:cs="Arial"/>
          <w:sz w:val="24"/>
          <w:szCs w:val="24"/>
        </w:rPr>
      </w:pPr>
      <w:r w:rsidRPr="002F1859">
        <w:rPr>
          <w:rFonts w:ascii="Arial" w:hAnsi="Arial" w:cs="Arial"/>
          <w:sz w:val="24"/>
          <w:szCs w:val="24"/>
        </w:rPr>
        <w:t>Do you have any comments or feed</w:t>
      </w:r>
      <w:r w:rsidR="005D76A0" w:rsidRPr="002F1859">
        <w:rPr>
          <w:rFonts w:ascii="Arial" w:hAnsi="Arial" w:cs="Arial"/>
          <w:sz w:val="24"/>
          <w:szCs w:val="24"/>
        </w:rPr>
        <w:t>back on the ability of a local government</w:t>
      </w:r>
      <w:r w:rsidRPr="002F1859">
        <w:rPr>
          <w:rFonts w:ascii="Arial" w:hAnsi="Arial" w:cs="Arial"/>
          <w:sz w:val="24"/>
          <w:szCs w:val="24"/>
        </w:rPr>
        <w:t xml:space="preserve"> to form a beneficial enterprise? Additional information can also be provided to the review team via email at </w:t>
      </w:r>
      <w:hyperlink r:id="rId15">
        <w:r w:rsidRPr="002F1859">
          <w:rPr>
            <w:rStyle w:val="Hyperlink"/>
            <w:rFonts w:cs="Arial"/>
            <w:szCs w:val="24"/>
          </w:rPr>
          <w:t>actreview@dlgsc.wa.gov.au</w:t>
        </w:r>
      </w:hyperlink>
      <w:r w:rsidRPr="002F1859">
        <w:rPr>
          <w:rFonts w:ascii="Arial" w:hAnsi="Arial" w:cs="Arial"/>
          <w:sz w:val="24"/>
          <w:szCs w:val="24"/>
        </w:rPr>
        <w:t>.</w:t>
      </w:r>
    </w:p>
    <w:bookmarkEnd w:id="19"/>
    <w:p w14:paraId="2672CDF0" w14:textId="6D561DC5" w:rsidR="00132A62" w:rsidRPr="00235CFD" w:rsidRDefault="00132A62" w:rsidP="003774E0">
      <w:pPr>
        <w:pStyle w:val="ListParagraph"/>
        <w:spacing w:after="120" w:line="276" w:lineRule="auto"/>
        <w:ind w:left="567"/>
        <w:jc w:val="both"/>
      </w:pPr>
    </w:p>
    <w:sectPr w:rsidR="00132A62" w:rsidRPr="00235CFD" w:rsidSect="00C938E7">
      <w:headerReference w:type="default" r:id="rId16"/>
      <w:footerReference w:type="default" r:id="rId17"/>
      <w:headerReference w:type="first" r:id="rId18"/>
      <w:footerReference w:type="first" r:id="rId19"/>
      <w:pgSz w:w="11906" w:h="16838"/>
      <w:pgMar w:top="1802"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426E" w14:textId="77777777" w:rsidR="00AC7BE1" w:rsidRDefault="00AC7BE1" w:rsidP="009C5549">
      <w:pPr>
        <w:spacing w:after="0" w:line="240" w:lineRule="auto"/>
      </w:pPr>
      <w:r>
        <w:separator/>
      </w:r>
    </w:p>
  </w:endnote>
  <w:endnote w:type="continuationSeparator" w:id="0">
    <w:p w14:paraId="711BFCE2" w14:textId="77777777" w:rsidR="00AC7BE1" w:rsidRDefault="00AC7BE1" w:rsidP="009C5549">
      <w:pPr>
        <w:spacing w:after="0" w:line="240" w:lineRule="auto"/>
      </w:pPr>
      <w:r>
        <w:continuationSeparator/>
      </w:r>
    </w:p>
  </w:endnote>
  <w:endnote w:type="continuationNotice" w:id="1">
    <w:p w14:paraId="6ACA9315" w14:textId="77777777" w:rsidR="00AC7BE1" w:rsidRDefault="00AC7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751733"/>
      <w:docPartObj>
        <w:docPartGallery w:val="Page Numbers (Bottom of Page)"/>
        <w:docPartUnique/>
      </w:docPartObj>
    </w:sdtPr>
    <w:sdtEndPr>
      <w:rPr>
        <w:color w:val="7F7F7F" w:themeColor="background1" w:themeShade="7F"/>
        <w:spacing w:val="60"/>
      </w:rPr>
    </w:sdtEndPr>
    <w:sdtContent>
      <w:p w14:paraId="352AB0AD" w14:textId="313B1489" w:rsidR="0013486C" w:rsidRDefault="0013486C" w:rsidP="009802FB">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9232A2">
          <w:rPr>
            <w:noProof/>
          </w:rPr>
          <w:t>15</w:t>
        </w:r>
        <w:r>
          <w:rPr>
            <w:noProof/>
          </w:rPr>
          <w:fldChar w:fldCharType="end"/>
        </w:r>
        <w:r>
          <w:t xml:space="preserve"> </w:t>
        </w:r>
        <w:r w:rsidRPr="00E95A91">
          <w:rPr>
            <w:color w:val="C0311A"/>
          </w:rPr>
          <w:t xml:space="preserve">| </w:t>
        </w:r>
        <w:r w:rsidRPr="00E95A91">
          <w:rPr>
            <w:color w:val="C0311A"/>
            <w:spacing w:val="60"/>
          </w:rPr>
          <w:t>Page</w:t>
        </w:r>
      </w:p>
    </w:sdtContent>
  </w:sdt>
  <w:p w14:paraId="19D2B1BE" w14:textId="5EB69DA2" w:rsidR="0013486C" w:rsidRDefault="0013486C" w:rsidP="009802FB">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193"/>
      <w:docPartObj>
        <w:docPartGallery w:val="Page Numbers (Bottom of Page)"/>
        <w:docPartUnique/>
      </w:docPartObj>
    </w:sdtPr>
    <w:sdtEndPr>
      <w:rPr>
        <w:color w:val="7F7F7F" w:themeColor="background1" w:themeShade="7F"/>
        <w:spacing w:val="60"/>
      </w:rPr>
    </w:sdtEndPr>
    <w:sdtContent>
      <w:p w14:paraId="38F13114" w14:textId="4F0F6F71" w:rsidR="0013486C" w:rsidRDefault="0013486C" w:rsidP="009802FB">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9232A2">
          <w:rPr>
            <w:noProof/>
          </w:rPr>
          <w:t>1</w:t>
        </w:r>
        <w:r>
          <w:rPr>
            <w:noProof/>
          </w:rPr>
          <w:fldChar w:fldCharType="end"/>
        </w:r>
        <w:r>
          <w:t xml:space="preserve"> </w:t>
        </w:r>
        <w:r w:rsidRPr="00E95A91">
          <w:rPr>
            <w:color w:val="C0311A"/>
          </w:rPr>
          <w:t xml:space="preserve">| </w:t>
        </w:r>
        <w:r w:rsidRPr="00E95A91">
          <w:rPr>
            <w:color w:val="C0311A"/>
            <w:spacing w:val="60"/>
          </w:rPr>
          <w:t>Page</w:t>
        </w:r>
      </w:p>
    </w:sdtContent>
  </w:sdt>
  <w:p w14:paraId="549A27AE" w14:textId="77777777" w:rsidR="0013486C" w:rsidRDefault="0013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DB83" w14:textId="77777777" w:rsidR="00AC7BE1" w:rsidRDefault="00AC7BE1" w:rsidP="009C5549">
      <w:pPr>
        <w:spacing w:after="0" w:line="240" w:lineRule="auto"/>
      </w:pPr>
      <w:r>
        <w:separator/>
      </w:r>
    </w:p>
  </w:footnote>
  <w:footnote w:type="continuationSeparator" w:id="0">
    <w:p w14:paraId="436687F2" w14:textId="77777777" w:rsidR="00AC7BE1" w:rsidRDefault="00AC7BE1" w:rsidP="009C5549">
      <w:pPr>
        <w:spacing w:after="0" w:line="240" w:lineRule="auto"/>
      </w:pPr>
      <w:r>
        <w:continuationSeparator/>
      </w:r>
    </w:p>
  </w:footnote>
  <w:footnote w:type="continuationNotice" w:id="1">
    <w:p w14:paraId="1D8879A2" w14:textId="77777777" w:rsidR="00AC7BE1" w:rsidRDefault="00AC7BE1">
      <w:pPr>
        <w:spacing w:after="0" w:line="240" w:lineRule="auto"/>
      </w:pPr>
    </w:p>
  </w:footnote>
  <w:footnote w:id="2">
    <w:p w14:paraId="111C05D0" w14:textId="77777777" w:rsidR="0013486C" w:rsidRPr="004964E3" w:rsidRDefault="0013486C" w:rsidP="00235CFD">
      <w:pPr>
        <w:pStyle w:val="FootnoteText"/>
      </w:pPr>
      <w:r w:rsidRPr="004964E3">
        <w:rPr>
          <w:rStyle w:val="FootnoteReference"/>
          <w:color w:val="auto"/>
        </w:rPr>
        <w:footnoteRef/>
      </w:r>
      <w:r w:rsidRPr="004964E3">
        <w:rPr>
          <w:color w:val="auto"/>
        </w:rPr>
        <w:t xml:space="preserve"> The powers described are not within the current </w:t>
      </w:r>
      <w:r w:rsidRPr="004964E3">
        <w:rPr>
          <w:i/>
          <w:iCs/>
          <w:color w:val="auto"/>
        </w:rPr>
        <w:t>Local Government Act 1989</w:t>
      </w:r>
      <w:r w:rsidRPr="004964E3">
        <w:rPr>
          <w:color w:val="auto"/>
        </w:rPr>
        <w:t xml:space="preserve"> (Vic), but are currently before the Victorian Parliament within the Local Government Bill 2018.</w:t>
      </w:r>
    </w:p>
  </w:footnote>
  <w:footnote w:id="3">
    <w:p w14:paraId="7B17AD0A" w14:textId="77777777" w:rsidR="0013486C" w:rsidRPr="004964E3" w:rsidRDefault="0013486C" w:rsidP="00235CFD">
      <w:pPr>
        <w:pStyle w:val="FootnoteText"/>
        <w:rPr>
          <w:rFonts w:cs="Arial"/>
        </w:rPr>
      </w:pPr>
      <w:r w:rsidRPr="004964E3">
        <w:rPr>
          <w:rStyle w:val="FootnoteReference"/>
          <w:rFonts w:cs="Arial"/>
        </w:rPr>
        <w:footnoteRef/>
      </w:r>
      <w:r w:rsidRPr="004964E3">
        <w:rPr>
          <w:rFonts w:cs="Arial"/>
          <w:color w:val="auto"/>
        </w:rPr>
        <w:t xml:space="preserve"> NCP only applies to ‘significant business activities’, for further information see </w:t>
      </w:r>
      <w:hyperlink r:id="rId1" w:history="1">
        <w:r w:rsidRPr="004964E3">
          <w:rPr>
            <w:rStyle w:val="Hyperlink"/>
            <w:rFonts w:cs="Arial"/>
            <w:color w:val="0070C0"/>
            <w:sz w:val="20"/>
          </w:rPr>
          <w:t>http://archive.treasury.gov.au/documents/275/PDF/cnps.pdf</w:t>
        </w:r>
      </w:hyperlink>
      <w:r w:rsidRPr="004964E3">
        <w:rPr>
          <w:rFonts w:cs="Arial"/>
          <w:color w:val="0070C0"/>
        </w:rPr>
        <w:t>.</w:t>
      </w:r>
    </w:p>
  </w:footnote>
  <w:footnote w:id="4">
    <w:p w14:paraId="5656467A" w14:textId="77777777" w:rsidR="0013486C" w:rsidRDefault="0013486C" w:rsidP="00235CFD">
      <w:pPr>
        <w:pStyle w:val="FootnoteText"/>
      </w:pPr>
      <w:r w:rsidRPr="004964E3">
        <w:rPr>
          <w:rStyle w:val="FootnoteReference"/>
          <w:rFonts w:cs="Arial"/>
          <w:color w:val="auto"/>
        </w:rPr>
        <w:footnoteRef/>
      </w:r>
      <w:r w:rsidRPr="004964E3">
        <w:rPr>
          <w:rFonts w:cs="Arial"/>
          <w:color w:val="auto"/>
        </w:rPr>
        <w:t xml:space="preserve"> Full cost-reflective pricing (‘competitive neutrality pricing’) is the most commonly used competitive neutrality measure. It is a process of determining the competitive neutrality adjusted cost of undertaking an activity and applying a pricing structure that reflects the full cost apportioned to the business activity.</w:t>
      </w:r>
    </w:p>
  </w:footnote>
  <w:footnote w:id="5">
    <w:p w14:paraId="7107FB39" w14:textId="140D30D9" w:rsidR="00C245C9" w:rsidRPr="004964E3" w:rsidRDefault="00C245C9">
      <w:pPr>
        <w:pStyle w:val="FootnoteText"/>
        <w:rPr>
          <w:rFonts w:cs="Arial"/>
        </w:rPr>
      </w:pPr>
      <w:r w:rsidRPr="004964E3">
        <w:rPr>
          <w:rStyle w:val="FootnoteReference"/>
          <w:rFonts w:cs="Arial"/>
        </w:rPr>
        <w:footnoteRef/>
      </w:r>
      <w:r w:rsidRPr="004964E3">
        <w:rPr>
          <w:rFonts w:cs="Arial"/>
        </w:rPr>
        <w:t xml:space="preserve"> </w:t>
      </w:r>
      <w:r w:rsidRPr="004964E3">
        <w:rPr>
          <w:rFonts w:cs="Arial"/>
          <w:color w:val="auto"/>
        </w:rPr>
        <w:t xml:space="preserve">For bodies that formed or registered under the </w:t>
      </w:r>
      <w:r w:rsidRPr="004964E3">
        <w:rPr>
          <w:rFonts w:cs="Arial"/>
          <w:i/>
          <w:iCs/>
          <w:color w:val="auto"/>
        </w:rPr>
        <w:t>Corporations Act 2001</w:t>
      </w:r>
      <w:r w:rsidRPr="004964E3">
        <w:rPr>
          <w:rFonts w:cs="Arial"/>
          <w:color w:val="auto"/>
        </w:rPr>
        <w:t xml:space="preserve"> (</w:t>
      </w:r>
      <w:proofErr w:type="spellStart"/>
      <w:r w:rsidRPr="004964E3">
        <w:rPr>
          <w:rFonts w:cs="Arial"/>
          <w:color w:val="auto"/>
        </w:rPr>
        <w:t>Cth</w:t>
      </w:r>
      <w:proofErr w:type="spellEnd"/>
      <w:r w:rsidRPr="004964E3">
        <w:rPr>
          <w:rFonts w:cs="Arial"/>
          <w:color w:val="auto"/>
        </w:rPr>
        <w:t>) which are outside of Western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A386" w14:textId="35EF46AC" w:rsidR="0013486C" w:rsidRDefault="0013486C" w:rsidP="00A9143C">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0DDA" w14:textId="1D5A5886" w:rsidR="0013486C" w:rsidRDefault="0013486C" w:rsidP="00C938E7">
    <w:pPr>
      <w:pStyle w:val="Header"/>
      <w:ind w:left="-1418"/>
    </w:pPr>
    <w:r>
      <w:rPr>
        <w:noProof/>
        <w:lang w:eastAsia="en-AU"/>
      </w:rPr>
      <w:drawing>
        <wp:inline distT="0" distB="0" distL="0" distR="0" wp14:anchorId="2E02CDF2" wp14:editId="29E9A4CB">
          <wp:extent cx="7524750" cy="298551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agile tab.jpg"/>
                  <pic:cNvPicPr/>
                </pic:nvPicPr>
                <pic:blipFill>
                  <a:blip r:embed="rId1">
                    <a:extLst>
                      <a:ext uri="{28A0092B-C50C-407E-A947-70E740481C1C}">
                        <a14:useLocalDpi xmlns:a14="http://schemas.microsoft.com/office/drawing/2010/main" val="0"/>
                      </a:ext>
                    </a:extLst>
                  </a:blip>
                  <a:stretch>
                    <a:fillRect/>
                  </a:stretch>
                </pic:blipFill>
                <pic:spPr>
                  <a:xfrm>
                    <a:off x="0" y="0"/>
                    <a:ext cx="7531516" cy="2988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5E89"/>
    <w:multiLevelType w:val="hybridMultilevel"/>
    <w:tmpl w:val="FFE81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CEE4203"/>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019331F"/>
    <w:multiLevelType w:val="hybridMultilevel"/>
    <w:tmpl w:val="1B4A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92CB5"/>
    <w:multiLevelType w:val="hybridMultilevel"/>
    <w:tmpl w:val="D10A26DA"/>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F30AC4"/>
    <w:multiLevelType w:val="hybridMultilevel"/>
    <w:tmpl w:val="63FAC22C"/>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F3786"/>
    <w:multiLevelType w:val="hybridMultilevel"/>
    <w:tmpl w:val="854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31722"/>
    <w:multiLevelType w:val="hybridMultilevel"/>
    <w:tmpl w:val="501EE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E02E9"/>
    <w:multiLevelType w:val="hybridMultilevel"/>
    <w:tmpl w:val="8C8EC3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A0626"/>
    <w:multiLevelType w:val="hybridMultilevel"/>
    <w:tmpl w:val="3D9A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63FAF"/>
    <w:multiLevelType w:val="hybridMultilevel"/>
    <w:tmpl w:val="D768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9497F"/>
    <w:multiLevelType w:val="hybridMultilevel"/>
    <w:tmpl w:val="C08C5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2272D1"/>
    <w:multiLevelType w:val="hybridMultilevel"/>
    <w:tmpl w:val="F7B212F0"/>
    <w:lvl w:ilvl="0" w:tplc="383A7DB6">
      <w:start w:val="21"/>
      <w:numFmt w:val="decimal"/>
      <w:lvlText w:val="%1."/>
      <w:lvlJc w:val="left"/>
      <w:pPr>
        <w:ind w:left="1080" w:hanging="360"/>
      </w:pPr>
      <w:rPr>
        <w:rFonts w:asciiTheme="minorHAnsi" w:hAnsiTheme="minorHAnsi" w:cstheme="minorHAns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D102DB"/>
    <w:multiLevelType w:val="hybridMultilevel"/>
    <w:tmpl w:val="9B26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3B016F"/>
    <w:multiLevelType w:val="hybridMultilevel"/>
    <w:tmpl w:val="73AE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85E20"/>
    <w:multiLevelType w:val="hybridMultilevel"/>
    <w:tmpl w:val="D10A26DA"/>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C6F65AD"/>
    <w:multiLevelType w:val="hybridMultilevel"/>
    <w:tmpl w:val="E680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083E3D"/>
    <w:multiLevelType w:val="hybridMultilevel"/>
    <w:tmpl w:val="F2AA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B7220"/>
    <w:multiLevelType w:val="hybridMultilevel"/>
    <w:tmpl w:val="D10A26DA"/>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0AC3FF6"/>
    <w:multiLevelType w:val="hybridMultilevel"/>
    <w:tmpl w:val="ECEA6C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19B209F"/>
    <w:multiLevelType w:val="hybridMultilevel"/>
    <w:tmpl w:val="F092D484"/>
    <w:lvl w:ilvl="0" w:tplc="701451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4B35B0A"/>
    <w:multiLevelType w:val="hybridMultilevel"/>
    <w:tmpl w:val="F092D484"/>
    <w:lvl w:ilvl="0" w:tplc="701451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5D7165D"/>
    <w:multiLevelType w:val="hybridMultilevel"/>
    <w:tmpl w:val="3D66E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765ED"/>
    <w:multiLevelType w:val="hybridMultilevel"/>
    <w:tmpl w:val="9D10F68C"/>
    <w:lvl w:ilvl="0" w:tplc="C37A986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F718BF"/>
    <w:multiLevelType w:val="hybridMultilevel"/>
    <w:tmpl w:val="7C00B35C"/>
    <w:lvl w:ilvl="0" w:tplc="9B185F68">
      <w:start w:val="4"/>
      <w:numFmt w:val="decimal"/>
      <w:lvlText w:val="%1."/>
      <w:lvlJc w:val="left"/>
      <w:pPr>
        <w:ind w:left="720" w:hanging="360"/>
      </w:pPr>
      <w:rPr>
        <w:rFonts w:asciiTheme="minorHAnsi" w:hAnsiTheme="minorHAnsi" w:cstheme="minorHAnsi" w:hint="default"/>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313568F"/>
    <w:multiLevelType w:val="hybridMultilevel"/>
    <w:tmpl w:val="C3F652E8"/>
    <w:lvl w:ilvl="0" w:tplc="F6F00B0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256EC1"/>
    <w:multiLevelType w:val="hybridMultilevel"/>
    <w:tmpl w:val="7BBC52BC"/>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6CB7068"/>
    <w:multiLevelType w:val="hybridMultilevel"/>
    <w:tmpl w:val="11CC0C1C"/>
    <w:lvl w:ilvl="0" w:tplc="E362E4AC">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D3872BB"/>
    <w:multiLevelType w:val="hybridMultilevel"/>
    <w:tmpl w:val="9DD4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64471"/>
    <w:multiLevelType w:val="hybridMultilevel"/>
    <w:tmpl w:val="4822B9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1E3893"/>
    <w:multiLevelType w:val="hybridMultilevel"/>
    <w:tmpl w:val="5686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CF7E08"/>
    <w:multiLevelType w:val="hybridMultilevel"/>
    <w:tmpl w:val="D10A26DA"/>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321059C"/>
    <w:multiLevelType w:val="hybridMultilevel"/>
    <w:tmpl w:val="7C00B35C"/>
    <w:lvl w:ilvl="0" w:tplc="9B185F68">
      <w:start w:val="4"/>
      <w:numFmt w:val="decimal"/>
      <w:lvlText w:val="%1."/>
      <w:lvlJc w:val="left"/>
      <w:pPr>
        <w:ind w:left="720" w:hanging="360"/>
      </w:pPr>
      <w:rPr>
        <w:rFonts w:asciiTheme="minorHAnsi" w:hAnsiTheme="minorHAnsi" w:cstheme="minorHAnsi" w:hint="default"/>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40F3B49"/>
    <w:multiLevelType w:val="hybridMultilevel"/>
    <w:tmpl w:val="2940E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2241E2"/>
    <w:multiLevelType w:val="hybridMultilevel"/>
    <w:tmpl w:val="98FC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86599"/>
    <w:multiLevelType w:val="hybridMultilevel"/>
    <w:tmpl w:val="E9B0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7"/>
  </w:num>
  <w:num w:numId="4">
    <w:abstractNumId w:val="29"/>
  </w:num>
  <w:num w:numId="5">
    <w:abstractNumId w:val="19"/>
  </w:num>
  <w:num w:numId="6">
    <w:abstractNumId w:val="3"/>
  </w:num>
  <w:num w:numId="7">
    <w:abstractNumId w:val="21"/>
  </w:num>
  <w:num w:numId="8">
    <w:abstractNumId w:val="20"/>
  </w:num>
  <w:num w:numId="9">
    <w:abstractNumId w:val="18"/>
  </w:num>
  <w:num w:numId="10">
    <w:abstractNumId w:val="31"/>
  </w:num>
  <w:num w:numId="11">
    <w:abstractNumId w:val="15"/>
  </w:num>
  <w:num w:numId="12">
    <w:abstractNumId w:val="27"/>
  </w:num>
  <w:num w:numId="13">
    <w:abstractNumId w:val="10"/>
  </w:num>
  <w:num w:numId="14">
    <w:abstractNumId w:val="4"/>
  </w:num>
  <w:num w:numId="15">
    <w:abstractNumId w:val="16"/>
  </w:num>
  <w:num w:numId="16">
    <w:abstractNumId w:val="2"/>
  </w:num>
  <w:num w:numId="17">
    <w:abstractNumId w:val="6"/>
  </w:num>
  <w:num w:numId="18">
    <w:abstractNumId w:val="22"/>
  </w:num>
  <w:num w:numId="19">
    <w:abstractNumId w:val="13"/>
  </w:num>
  <w:num w:numId="20">
    <w:abstractNumId w:val="28"/>
  </w:num>
  <w:num w:numId="21">
    <w:abstractNumId w:val="8"/>
  </w:num>
  <w:num w:numId="22">
    <w:abstractNumId w:val="33"/>
  </w:num>
  <w:num w:numId="23">
    <w:abstractNumId w:val="30"/>
  </w:num>
  <w:num w:numId="24">
    <w:abstractNumId w:val="14"/>
  </w:num>
  <w:num w:numId="25">
    <w:abstractNumId w:val="34"/>
  </w:num>
  <w:num w:numId="26">
    <w:abstractNumId w:val="17"/>
  </w:num>
  <w:num w:numId="27">
    <w:abstractNumId w:val="1"/>
  </w:num>
  <w:num w:numId="28">
    <w:abstractNumId w:val="26"/>
  </w:num>
  <w:num w:numId="29">
    <w:abstractNumId w:val="9"/>
  </w:num>
  <w:num w:numId="30">
    <w:abstractNumId w:val="11"/>
  </w:num>
  <w:num w:numId="31">
    <w:abstractNumId w:val="5"/>
  </w:num>
  <w:num w:numId="32">
    <w:abstractNumId w:val="35"/>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4"/>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4E6B"/>
    <w:rsid w:val="00005631"/>
    <w:rsid w:val="00005927"/>
    <w:rsid w:val="00006CD2"/>
    <w:rsid w:val="000120DD"/>
    <w:rsid w:val="000233E6"/>
    <w:rsid w:val="000267BD"/>
    <w:rsid w:val="00047EA9"/>
    <w:rsid w:val="00053612"/>
    <w:rsid w:val="000614A9"/>
    <w:rsid w:val="00063A3A"/>
    <w:rsid w:val="0006698A"/>
    <w:rsid w:val="000711E9"/>
    <w:rsid w:val="0007779A"/>
    <w:rsid w:val="00084A53"/>
    <w:rsid w:val="000925DA"/>
    <w:rsid w:val="00092A62"/>
    <w:rsid w:val="000A06C2"/>
    <w:rsid w:val="000B4542"/>
    <w:rsid w:val="000B63DF"/>
    <w:rsid w:val="000B665F"/>
    <w:rsid w:val="000B6960"/>
    <w:rsid w:val="000B6A45"/>
    <w:rsid w:val="000C4450"/>
    <w:rsid w:val="000C6E38"/>
    <w:rsid w:val="000D4BB8"/>
    <w:rsid w:val="000E339A"/>
    <w:rsid w:val="000E4570"/>
    <w:rsid w:val="000E5565"/>
    <w:rsid w:val="000E6104"/>
    <w:rsid w:val="000F34F8"/>
    <w:rsid w:val="000F6D59"/>
    <w:rsid w:val="00104DB5"/>
    <w:rsid w:val="00105644"/>
    <w:rsid w:val="0011173E"/>
    <w:rsid w:val="001127BB"/>
    <w:rsid w:val="00117902"/>
    <w:rsid w:val="0012609F"/>
    <w:rsid w:val="00126E88"/>
    <w:rsid w:val="00130F0B"/>
    <w:rsid w:val="00132A62"/>
    <w:rsid w:val="001333D9"/>
    <w:rsid w:val="0013486C"/>
    <w:rsid w:val="00140015"/>
    <w:rsid w:val="001412D6"/>
    <w:rsid w:val="00142E67"/>
    <w:rsid w:val="001435F4"/>
    <w:rsid w:val="0014697A"/>
    <w:rsid w:val="0014780E"/>
    <w:rsid w:val="001503D0"/>
    <w:rsid w:val="00156FB9"/>
    <w:rsid w:val="00165850"/>
    <w:rsid w:val="001662A3"/>
    <w:rsid w:val="00170331"/>
    <w:rsid w:val="00174B7D"/>
    <w:rsid w:val="001924A7"/>
    <w:rsid w:val="00192AEA"/>
    <w:rsid w:val="001A1112"/>
    <w:rsid w:val="001B0ABE"/>
    <w:rsid w:val="001B76FF"/>
    <w:rsid w:val="001C0599"/>
    <w:rsid w:val="001C3800"/>
    <w:rsid w:val="001C4841"/>
    <w:rsid w:val="001C5D69"/>
    <w:rsid w:val="001D1ADB"/>
    <w:rsid w:val="001D3E5B"/>
    <w:rsid w:val="001D619F"/>
    <w:rsid w:val="001D7A27"/>
    <w:rsid w:val="001E0067"/>
    <w:rsid w:val="001E4295"/>
    <w:rsid w:val="001E737E"/>
    <w:rsid w:val="001F1498"/>
    <w:rsid w:val="001F7846"/>
    <w:rsid w:val="00205880"/>
    <w:rsid w:val="00205F6D"/>
    <w:rsid w:val="00206001"/>
    <w:rsid w:val="00210CDA"/>
    <w:rsid w:val="00211C64"/>
    <w:rsid w:val="0022265F"/>
    <w:rsid w:val="00222D83"/>
    <w:rsid w:val="00227DCE"/>
    <w:rsid w:val="00234748"/>
    <w:rsid w:val="00234CAD"/>
    <w:rsid w:val="00235CFD"/>
    <w:rsid w:val="002361E8"/>
    <w:rsid w:val="002469F1"/>
    <w:rsid w:val="00253BF4"/>
    <w:rsid w:val="00254571"/>
    <w:rsid w:val="00256474"/>
    <w:rsid w:val="002568E4"/>
    <w:rsid w:val="00256BDC"/>
    <w:rsid w:val="00260502"/>
    <w:rsid w:val="00266D26"/>
    <w:rsid w:val="00272CDB"/>
    <w:rsid w:val="00272D20"/>
    <w:rsid w:val="00273CC3"/>
    <w:rsid w:val="00273EB4"/>
    <w:rsid w:val="00275687"/>
    <w:rsid w:val="0027621F"/>
    <w:rsid w:val="002911A9"/>
    <w:rsid w:val="002A060C"/>
    <w:rsid w:val="002A2B20"/>
    <w:rsid w:val="002A31E1"/>
    <w:rsid w:val="002A728A"/>
    <w:rsid w:val="002B3E71"/>
    <w:rsid w:val="002C1BAA"/>
    <w:rsid w:val="002C388D"/>
    <w:rsid w:val="002D01E7"/>
    <w:rsid w:val="002D0944"/>
    <w:rsid w:val="002D4AED"/>
    <w:rsid w:val="002D5728"/>
    <w:rsid w:val="002D6D30"/>
    <w:rsid w:val="002D6D54"/>
    <w:rsid w:val="002E124E"/>
    <w:rsid w:val="002E2CF6"/>
    <w:rsid w:val="002E3E37"/>
    <w:rsid w:val="002E65AF"/>
    <w:rsid w:val="002F060B"/>
    <w:rsid w:val="002F1859"/>
    <w:rsid w:val="002F23E8"/>
    <w:rsid w:val="002F5AB5"/>
    <w:rsid w:val="00304540"/>
    <w:rsid w:val="00306973"/>
    <w:rsid w:val="0031007A"/>
    <w:rsid w:val="00310F23"/>
    <w:rsid w:val="00310F97"/>
    <w:rsid w:val="00312083"/>
    <w:rsid w:val="00313D27"/>
    <w:rsid w:val="003143BA"/>
    <w:rsid w:val="003219D0"/>
    <w:rsid w:val="00325178"/>
    <w:rsid w:val="003268F5"/>
    <w:rsid w:val="0033072E"/>
    <w:rsid w:val="00331CBF"/>
    <w:rsid w:val="0033233C"/>
    <w:rsid w:val="00332816"/>
    <w:rsid w:val="00340008"/>
    <w:rsid w:val="003473B2"/>
    <w:rsid w:val="00350726"/>
    <w:rsid w:val="00355475"/>
    <w:rsid w:val="003613A0"/>
    <w:rsid w:val="0036160B"/>
    <w:rsid w:val="00362ED1"/>
    <w:rsid w:val="003702AD"/>
    <w:rsid w:val="00373E70"/>
    <w:rsid w:val="003750BF"/>
    <w:rsid w:val="003774E0"/>
    <w:rsid w:val="00381B19"/>
    <w:rsid w:val="00384F2B"/>
    <w:rsid w:val="003931CC"/>
    <w:rsid w:val="00393C3E"/>
    <w:rsid w:val="00394FE8"/>
    <w:rsid w:val="00395568"/>
    <w:rsid w:val="003A28E3"/>
    <w:rsid w:val="003B074B"/>
    <w:rsid w:val="003B1D68"/>
    <w:rsid w:val="003B4022"/>
    <w:rsid w:val="003C6572"/>
    <w:rsid w:val="003D2DA9"/>
    <w:rsid w:val="003E01A2"/>
    <w:rsid w:val="003E1518"/>
    <w:rsid w:val="003E5409"/>
    <w:rsid w:val="003F04F5"/>
    <w:rsid w:val="003F4C62"/>
    <w:rsid w:val="003F7811"/>
    <w:rsid w:val="00401511"/>
    <w:rsid w:val="00404C91"/>
    <w:rsid w:val="00410254"/>
    <w:rsid w:val="004104F7"/>
    <w:rsid w:val="00410CF7"/>
    <w:rsid w:val="00412BAD"/>
    <w:rsid w:val="00413AB9"/>
    <w:rsid w:val="00414B0E"/>
    <w:rsid w:val="004172C0"/>
    <w:rsid w:val="00423181"/>
    <w:rsid w:val="00423494"/>
    <w:rsid w:val="00423707"/>
    <w:rsid w:val="00434A63"/>
    <w:rsid w:val="00435BE4"/>
    <w:rsid w:val="00441171"/>
    <w:rsid w:val="00443D59"/>
    <w:rsid w:val="0045177B"/>
    <w:rsid w:val="004561C0"/>
    <w:rsid w:val="00460009"/>
    <w:rsid w:val="00461D02"/>
    <w:rsid w:val="004706BB"/>
    <w:rsid w:val="004718A6"/>
    <w:rsid w:val="00471905"/>
    <w:rsid w:val="00471AA5"/>
    <w:rsid w:val="00475CDE"/>
    <w:rsid w:val="00481806"/>
    <w:rsid w:val="00481F2B"/>
    <w:rsid w:val="00483CE6"/>
    <w:rsid w:val="00486418"/>
    <w:rsid w:val="00492C78"/>
    <w:rsid w:val="004964E3"/>
    <w:rsid w:val="004A1E84"/>
    <w:rsid w:val="004A70AB"/>
    <w:rsid w:val="004A7B4B"/>
    <w:rsid w:val="004B4EC8"/>
    <w:rsid w:val="004B5095"/>
    <w:rsid w:val="004B553D"/>
    <w:rsid w:val="004B73CF"/>
    <w:rsid w:val="004C1909"/>
    <w:rsid w:val="004D0E8D"/>
    <w:rsid w:val="004D0F8E"/>
    <w:rsid w:val="004D1C7D"/>
    <w:rsid w:val="004D35AA"/>
    <w:rsid w:val="004D4A59"/>
    <w:rsid w:val="004D653D"/>
    <w:rsid w:val="004D7B1C"/>
    <w:rsid w:val="004E4631"/>
    <w:rsid w:val="004E59E6"/>
    <w:rsid w:val="004E7592"/>
    <w:rsid w:val="004F02C5"/>
    <w:rsid w:val="004F07B4"/>
    <w:rsid w:val="004F1106"/>
    <w:rsid w:val="004F41E4"/>
    <w:rsid w:val="004F5644"/>
    <w:rsid w:val="005006CA"/>
    <w:rsid w:val="005048C5"/>
    <w:rsid w:val="00505CD6"/>
    <w:rsid w:val="005105E4"/>
    <w:rsid w:val="005136B2"/>
    <w:rsid w:val="00514047"/>
    <w:rsid w:val="00514E04"/>
    <w:rsid w:val="00515D8E"/>
    <w:rsid w:val="00516358"/>
    <w:rsid w:val="005177AA"/>
    <w:rsid w:val="00524973"/>
    <w:rsid w:val="00527928"/>
    <w:rsid w:val="005308D7"/>
    <w:rsid w:val="0053255A"/>
    <w:rsid w:val="005331D9"/>
    <w:rsid w:val="0053353D"/>
    <w:rsid w:val="00537993"/>
    <w:rsid w:val="00543544"/>
    <w:rsid w:val="00546162"/>
    <w:rsid w:val="005513BD"/>
    <w:rsid w:val="00557909"/>
    <w:rsid w:val="005625EE"/>
    <w:rsid w:val="00562FD6"/>
    <w:rsid w:val="00565286"/>
    <w:rsid w:val="005666B1"/>
    <w:rsid w:val="00571E7C"/>
    <w:rsid w:val="005746B1"/>
    <w:rsid w:val="00574985"/>
    <w:rsid w:val="00575017"/>
    <w:rsid w:val="005770B8"/>
    <w:rsid w:val="0057777A"/>
    <w:rsid w:val="005838F8"/>
    <w:rsid w:val="00586083"/>
    <w:rsid w:val="00592044"/>
    <w:rsid w:val="00592293"/>
    <w:rsid w:val="005965E1"/>
    <w:rsid w:val="00596A07"/>
    <w:rsid w:val="00596E5D"/>
    <w:rsid w:val="005A1298"/>
    <w:rsid w:val="005A2825"/>
    <w:rsid w:val="005A2F46"/>
    <w:rsid w:val="005A7F88"/>
    <w:rsid w:val="005B25D6"/>
    <w:rsid w:val="005B4C1F"/>
    <w:rsid w:val="005B7688"/>
    <w:rsid w:val="005C4AAD"/>
    <w:rsid w:val="005C7C77"/>
    <w:rsid w:val="005D1670"/>
    <w:rsid w:val="005D5143"/>
    <w:rsid w:val="005D5404"/>
    <w:rsid w:val="005D5EB1"/>
    <w:rsid w:val="005D76A0"/>
    <w:rsid w:val="005E455D"/>
    <w:rsid w:val="005E7D61"/>
    <w:rsid w:val="005F2AFB"/>
    <w:rsid w:val="005F3830"/>
    <w:rsid w:val="005F4FD3"/>
    <w:rsid w:val="005F60EF"/>
    <w:rsid w:val="006006A0"/>
    <w:rsid w:val="006009FC"/>
    <w:rsid w:val="00600AF3"/>
    <w:rsid w:val="00606E98"/>
    <w:rsid w:val="0061318D"/>
    <w:rsid w:val="00622E3D"/>
    <w:rsid w:val="00626299"/>
    <w:rsid w:val="006327EB"/>
    <w:rsid w:val="006359FA"/>
    <w:rsid w:val="006360A7"/>
    <w:rsid w:val="0063773E"/>
    <w:rsid w:val="006405F8"/>
    <w:rsid w:val="006406F4"/>
    <w:rsid w:val="00644213"/>
    <w:rsid w:val="00650B63"/>
    <w:rsid w:val="00652950"/>
    <w:rsid w:val="006566AA"/>
    <w:rsid w:val="00656A3C"/>
    <w:rsid w:val="006626C6"/>
    <w:rsid w:val="00662AF5"/>
    <w:rsid w:val="00664063"/>
    <w:rsid w:val="00664177"/>
    <w:rsid w:val="00664941"/>
    <w:rsid w:val="00666987"/>
    <w:rsid w:val="0067033C"/>
    <w:rsid w:val="006732D7"/>
    <w:rsid w:val="00681DC8"/>
    <w:rsid w:val="0068265A"/>
    <w:rsid w:val="00685F2C"/>
    <w:rsid w:val="006902A1"/>
    <w:rsid w:val="006A1267"/>
    <w:rsid w:val="006A3BFC"/>
    <w:rsid w:val="006B47A3"/>
    <w:rsid w:val="006B5260"/>
    <w:rsid w:val="006B5F30"/>
    <w:rsid w:val="006B63FA"/>
    <w:rsid w:val="006C0BA0"/>
    <w:rsid w:val="006C6270"/>
    <w:rsid w:val="006D074D"/>
    <w:rsid w:val="006D1033"/>
    <w:rsid w:val="006D30C3"/>
    <w:rsid w:val="006D64C0"/>
    <w:rsid w:val="006D7B65"/>
    <w:rsid w:val="006E308A"/>
    <w:rsid w:val="006E3EBA"/>
    <w:rsid w:val="006E6410"/>
    <w:rsid w:val="006E74DC"/>
    <w:rsid w:val="006F02A9"/>
    <w:rsid w:val="006F1888"/>
    <w:rsid w:val="006F2AA6"/>
    <w:rsid w:val="0070303E"/>
    <w:rsid w:val="00703D38"/>
    <w:rsid w:val="00704A60"/>
    <w:rsid w:val="00711042"/>
    <w:rsid w:val="00711058"/>
    <w:rsid w:val="007142FE"/>
    <w:rsid w:val="007161E4"/>
    <w:rsid w:val="00720C2C"/>
    <w:rsid w:val="007248F8"/>
    <w:rsid w:val="00732F60"/>
    <w:rsid w:val="00744A92"/>
    <w:rsid w:val="00747E7C"/>
    <w:rsid w:val="00750C5C"/>
    <w:rsid w:val="00751FDC"/>
    <w:rsid w:val="00754F18"/>
    <w:rsid w:val="00757587"/>
    <w:rsid w:val="0076090A"/>
    <w:rsid w:val="0076439A"/>
    <w:rsid w:val="0076664F"/>
    <w:rsid w:val="007672B3"/>
    <w:rsid w:val="0077040C"/>
    <w:rsid w:val="0077307C"/>
    <w:rsid w:val="0077308F"/>
    <w:rsid w:val="007747D5"/>
    <w:rsid w:val="00781128"/>
    <w:rsid w:val="00787534"/>
    <w:rsid w:val="007927A1"/>
    <w:rsid w:val="0079438B"/>
    <w:rsid w:val="00797917"/>
    <w:rsid w:val="007A0778"/>
    <w:rsid w:val="007A2AE0"/>
    <w:rsid w:val="007A3164"/>
    <w:rsid w:val="007A36AB"/>
    <w:rsid w:val="007A5068"/>
    <w:rsid w:val="007B0B93"/>
    <w:rsid w:val="007B3709"/>
    <w:rsid w:val="007C34F7"/>
    <w:rsid w:val="007C6D02"/>
    <w:rsid w:val="007D25C9"/>
    <w:rsid w:val="007D4F4B"/>
    <w:rsid w:val="007E1C63"/>
    <w:rsid w:val="007E1DDB"/>
    <w:rsid w:val="007E31C6"/>
    <w:rsid w:val="007E377C"/>
    <w:rsid w:val="007E6578"/>
    <w:rsid w:val="007F0D08"/>
    <w:rsid w:val="0080238D"/>
    <w:rsid w:val="008060AE"/>
    <w:rsid w:val="008067F8"/>
    <w:rsid w:val="00811C41"/>
    <w:rsid w:val="008146FE"/>
    <w:rsid w:val="00817FD3"/>
    <w:rsid w:val="0082199C"/>
    <w:rsid w:val="00822763"/>
    <w:rsid w:val="00824D89"/>
    <w:rsid w:val="00826A73"/>
    <w:rsid w:val="008278F6"/>
    <w:rsid w:val="00833A5E"/>
    <w:rsid w:val="008352CB"/>
    <w:rsid w:val="00836D13"/>
    <w:rsid w:val="008462A5"/>
    <w:rsid w:val="00852325"/>
    <w:rsid w:val="00853ACA"/>
    <w:rsid w:val="00857432"/>
    <w:rsid w:val="00872331"/>
    <w:rsid w:val="00875543"/>
    <w:rsid w:val="008836D6"/>
    <w:rsid w:val="008840AF"/>
    <w:rsid w:val="00891A7C"/>
    <w:rsid w:val="00892BBD"/>
    <w:rsid w:val="00897B70"/>
    <w:rsid w:val="008A324C"/>
    <w:rsid w:val="008A6D27"/>
    <w:rsid w:val="008B2B23"/>
    <w:rsid w:val="008C05FF"/>
    <w:rsid w:val="008C1237"/>
    <w:rsid w:val="008C2B56"/>
    <w:rsid w:val="008C4C2C"/>
    <w:rsid w:val="008D019D"/>
    <w:rsid w:val="008D2677"/>
    <w:rsid w:val="008D4FAB"/>
    <w:rsid w:val="008D65B9"/>
    <w:rsid w:val="008F5987"/>
    <w:rsid w:val="00901A82"/>
    <w:rsid w:val="00904501"/>
    <w:rsid w:val="0090529B"/>
    <w:rsid w:val="00905BF7"/>
    <w:rsid w:val="00910475"/>
    <w:rsid w:val="00911414"/>
    <w:rsid w:val="0091241C"/>
    <w:rsid w:val="00913D01"/>
    <w:rsid w:val="00915CC7"/>
    <w:rsid w:val="00917694"/>
    <w:rsid w:val="00917CDE"/>
    <w:rsid w:val="00920385"/>
    <w:rsid w:val="00920D63"/>
    <w:rsid w:val="009232A2"/>
    <w:rsid w:val="0092437F"/>
    <w:rsid w:val="00924978"/>
    <w:rsid w:val="00926A30"/>
    <w:rsid w:val="00931B5E"/>
    <w:rsid w:val="00936701"/>
    <w:rsid w:val="009377DD"/>
    <w:rsid w:val="00940885"/>
    <w:rsid w:val="009419FB"/>
    <w:rsid w:val="00942A08"/>
    <w:rsid w:val="00943251"/>
    <w:rsid w:val="0094746D"/>
    <w:rsid w:val="00947C0C"/>
    <w:rsid w:val="00947FD4"/>
    <w:rsid w:val="00950438"/>
    <w:rsid w:val="00951D77"/>
    <w:rsid w:val="00956DB9"/>
    <w:rsid w:val="00957DE0"/>
    <w:rsid w:val="00960CD6"/>
    <w:rsid w:val="00962ABD"/>
    <w:rsid w:val="00967185"/>
    <w:rsid w:val="00967773"/>
    <w:rsid w:val="00967F7C"/>
    <w:rsid w:val="00971027"/>
    <w:rsid w:val="009738AB"/>
    <w:rsid w:val="00976704"/>
    <w:rsid w:val="009776B6"/>
    <w:rsid w:val="009802FB"/>
    <w:rsid w:val="00981345"/>
    <w:rsid w:val="009857D9"/>
    <w:rsid w:val="009918C6"/>
    <w:rsid w:val="009927F8"/>
    <w:rsid w:val="0099357C"/>
    <w:rsid w:val="009976DA"/>
    <w:rsid w:val="009A5E96"/>
    <w:rsid w:val="009B2BDA"/>
    <w:rsid w:val="009B336C"/>
    <w:rsid w:val="009B7C32"/>
    <w:rsid w:val="009C15EA"/>
    <w:rsid w:val="009C2FDA"/>
    <w:rsid w:val="009C439D"/>
    <w:rsid w:val="009C5549"/>
    <w:rsid w:val="009D03B2"/>
    <w:rsid w:val="009D0D11"/>
    <w:rsid w:val="009D18D8"/>
    <w:rsid w:val="009E01F6"/>
    <w:rsid w:val="009E1D24"/>
    <w:rsid w:val="009E702E"/>
    <w:rsid w:val="009E7443"/>
    <w:rsid w:val="009E7B27"/>
    <w:rsid w:val="009F22FD"/>
    <w:rsid w:val="009F30BA"/>
    <w:rsid w:val="00A10AF8"/>
    <w:rsid w:val="00A11E0E"/>
    <w:rsid w:val="00A131ED"/>
    <w:rsid w:val="00A132F4"/>
    <w:rsid w:val="00A141FC"/>
    <w:rsid w:val="00A14D05"/>
    <w:rsid w:val="00A15EE7"/>
    <w:rsid w:val="00A169E2"/>
    <w:rsid w:val="00A22053"/>
    <w:rsid w:val="00A26E39"/>
    <w:rsid w:val="00A272EE"/>
    <w:rsid w:val="00A41866"/>
    <w:rsid w:val="00A43558"/>
    <w:rsid w:val="00A46F0B"/>
    <w:rsid w:val="00A47C02"/>
    <w:rsid w:val="00A50C9B"/>
    <w:rsid w:val="00A528EC"/>
    <w:rsid w:val="00A529EE"/>
    <w:rsid w:val="00A616D6"/>
    <w:rsid w:val="00A63287"/>
    <w:rsid w:val="00A638D0"/>
    <w:rsid w:val="00A66802"/>
    <w:rsid w:val="00A702D6"/>
    <w:rsid w:val="00A70BB5"/>
    <w:rsid w:val="00A7101A"/>
    <w:rsid w:val="00A71DB6"/>
    <w:rsid w:val="00A731BC"/>
    <w:rsid w:val="00A76B9A"/>
    <w:rsid w:val="00A8071B"/>
    <w:rsid w:val="00A81289"/>
    <w:rsid w:val="00A8333E"/>
    <w:rsid w:val="00A83FC1"/>
    <w:rsid w:val="00A9143C"/>
    <w:rsid w:val="00A93402"/>
    <w:rsid w:val="00A96CF3"/>
    <w:rsid w:val="00A97B88"/>
    <w:rsid w:val="00AA30D1"/>
    <w:rsid w:val="00AB1114"/>
    <w:rsid w:val="00AB2B0A"/>
    <w:rsid w:val="00AB45C7"/>
    <w:rsid w:val="00AB64C5"/>
    <w:rsid w:val="00AB6920"/>
    <w:rsid w:val="00AC126F"/>
    <w:rsid w:val="00AC444C"/>
    <w:rsid w:val="00AC451E"/>
    <w:rsid w:val="00AC4E03"/>
    <w:rsid w:val="00AC6F32"/>
    <w:rsid w:val="00AC7BE1"/>
    <w:rsid w:val="00AD0A17"/>
    <w:rsid w:val="00AD16EF"/>
    <w:rsid w:val="00AD2E09"/>
    <w:rsid w:val="00AD79ED"/>
    <w:rsid w:val="00AE491B"/>
    <w:rsid w:val="00AE4CE6"/>
    <w:rsid w:val="00AE59FA"/>
    <w:rsid w:val="00AE6AAF"/>
    <w:rsid w:val="00AF43A8"/>
    <w:rsid w:val="00AF4CD5"/>
    <w:rsid w:val="00B04722"/>
    <w:rsid w:val="00B04F89"/>
    <w:rsid w:val="00B07E2C"/>
    <w:rsid w:val="00B15C52"/>
    <w:rsid w:val="00B16182"/>
    <w:rsid w:val="00B23243"/>
    <w:rsid w:val="00B233D8"/>
    <w:rsid w:val="00B242CF"/>
    <w:rsid w:val="00B25CE1"/>
    <w:rsid w:val="00B30A20"/>
    <w:rsid w:val="00B31198"/>
    <w:rsid w:val="00B32CE7"/>
    <w:rsid w:val="00B35EF2"/>
    <w:rsid w:val="00B42242"/>
    <w:rsid w:val="00B46FB9"/>
    <w:rsid w:val="00B50A0E"/>
    <w:rsid w:val="00B60466"/>
    <w:rsid w:val="00B60657"/>
    <w:rsid w:val="00B63A57"/>
    <w:rsid w:val="00B67887"/>
    <w:rsid w:val="00B70405"/>
    <w:rsid w:val="00B71254"/>
    <w:rsid w:val="00B71A8B"/>
    <w:rsid w:val="00B727FD"/>
    <w:rsid w:val="00B73B52"/>
    <w:rsid w:val="00B8691E"/>
    <w:rsid w:val="00B9404F"/>
    <w:rsid w:val="00B94E61"/>
    <w:rsid w:val="00BA0B5A"/>
    <w:rsid w:val="00BA2257"/>
    <w:rsid w:val="00BA416D"/>
    <w:rsid w:val="00BB341A"/>
    <w:rsid w:val="00BB6663"/>
    <w:rsid w:val="00BB73CF"/>
    <w:rsid w:val="00BC3449"/>
    <w:rsid w:val="00BC37A6"/>
    <w:rsid w:val="00BD432F"/>
    <w:rsid w:val="00BD6551"/>
    <w:rsid w:val="00BE0DF7"/>
    <w:rsid w:val="00BE14DC"/>
    <w:rsid w:val="00BE5B41"/>
    <w:rsid w:val="00BF1E41"/>
    <w:rsid w:val="00BF3C82"/>
    <w:rsid w:val="00C040AD"/>
    <w:rsid w:val="00C055F9"/>
    <w:rsid w:val="00C074DE"/>
    <w:rsid w:val="00C127FD"/>
    <w:rsid w:val="00C138F9"/>
    <w:rsid w:val="00C1396C"/>
    <w:rsid w:val="00C17F05"/>
    <w:rsid w:val="00C220DC"/>
    <w:rsid w:val="00C22BD6"/>
    <w:rsid w:val="00C2307B"/>
    <w:rsid w:val="00C23A75"/>
    <w:rsid w:val="00C245C9"/>
    <w:rsid w:val="00C26393"/>
    <w:rsid w:val="00C27A08"/>
    <w:rsid w:val="00C351A5"/>
    <w:rsid w:val="00C357C2"/>
    <w:rsid w:val="00C40E48"/>
    <w:rsid w:val="00C464CF"/>
    <w:rsid w:val="00C528CC"/>
    <w:rsid w:val="00C5549E"/>
    <w:rsid w:val="00C62E00"/>
    <w:rsid w:val="00C77F4C"/>
    <w:rsid w:val="00C8195B"/>
    <w:rsid w:val="00C8640C"/>
    <w:rsid w:val="00C91E94"/>
    <w:rsid w:val="00C938E7"/>
    <w:rsid w:val="00C9463A"/>
    <w:rsid w:val="00C95811"/>
    <w:rsid w:val="00C965BA"/>
    <w:rsid w:val="00CA2F7C"/>
    <w:rsid w:val="00CA783B"/>
    <w:rsid w:val="00CB0494"/>
    <w:rsid w:val="00CB4E99"/>
    <w:rsid w:val="00CB76D5"/>
    <w:rsid w:val="00CC0C3E"/>
    <w:rsid w:val="00CC3D07"/>
    <w:rsid w:val="00CC68E0"/>
    <w:rsid w:val="00CD5DF3"/>
    <w:rsid w:val="00CE4066"/>
    <w:rsid w:val="00CF33E3"/>
    <w:rsid w:val="00D0069C"/>
    <w:rsid w:val="00D01B04"/>
    <w:rsid w:val="00D07D87"/>
    <w:rsid w:val="00D15281"/>
    <w:rsid w:val="00D2311D"/>
    <w:rsid w:val="00D24C42"/>
    <w:rsid w:val="00D311FA"/>
    <w:rsid w:val="00D35D7B"/>
    <w:rsid w:val="00D37909"/>
    <w:rsid w:val="00D4398D"/>
    <w:rsid w:val="00D43DDA"/>
    <w:rsid w:val="00D4591F"/>
    <w:rsid w:val="00D47204"/>
    <w:rsid w:val="00D532CC"/>
    <w:rsid w:val="00D56696"/>
    <w:rsid w:val="00D56F3A"/>
    <w:rsid w:val="00D56F3F"/>
    <w:rsid w:val="00D57ED6"/>
    <w:rsid w:val="00D631DD"/>
    <w:rsid w:val="00D65E5C"/>
    <w:rsid w:val="00D66033"/>
    <w:rsid w:val="00D671DB"/>
    <w:rsid w:val="00D7171E"/>
    <w:rsid w:val="00D71865"/>
    <w:rsid w:val="00D74DF5"/>
    <w:rsid w:val="00D8230A"/>
    <w:rsid w:val="00D845C4"/>
    <w:rsid w:val="00D85A37"/>
    <w:rsid w:val="00D86FE3"/>
    <w:rsid w:val="00D870B5"/>
    <w:rsid w:val="00D91B5A"/>
    <w:rsid w:val="00D91BB8"/>
    <w:rsid w:val="00D93581"/>
    <w:rsid w:val="00D94646"/>
    <w:rsid w:val="00D95DCC"/>
    <w:rsid w:val="00D96978"/>
    <w:rsid w:val="00DA2ECB"/>
    <w:rsid w:val="00DA326B"/>
    <w:rsid w:val="00DA7CF1"/>
    <w:rsid w:val="00DA7E8D"/>
    <w:rsid w:val="00DB0123"/>
    <w:rsid w:val="00DB04E2"/>
    <w:rsid w:val="00DB3658"/>
    <w:rsid w:val="00DB3E09"/>
    <w:rsid w:val="00DB506F"/>
    <w:rsid w:val="00DB69F1"/>
    <w:rsid w:val="00DC1A3F"/>
    <w:rsid w:val="00DC3CA5"/>
    <w:rsid w:val="00DC53D2"/>
    <w:rsid w:val="00DC5DB7"/>
    <w:rsid w:val="00DC7888"/>
    <w:rsid w:val="00DD4DC0"/>
    <w:rsid w:val="00DD56B1"/>
    <w:rsid w:val="00DE5AE5"/>
    <w:rsid w:val="00DE6C95"/>
    <w:rsid w:val="00DF46FF"/>
    <w:rsid w:val="00DF63CD"/>
    <w:rsid w:val="00DF7C10"/>
    <w:rsid w:val="00E0647A"/>
    <w:rsid w:val="00E069F2"/>
    <w:rsid w:val="00E218EA"/>
    <w:rsid w:val="00E23A86"/>
    <w:rsid w:val="00E24BC6"/>
    <w:rsid w:val="00E2500B"/>
    <w:rsid w:val="00E251E6"/>
    <w:rsid w:val="00E25B2C"/>
    <w:rsid w:val="00E27F18"/>
    <w:rsid w:val="00E31B83"/>
    <w:rsid w:val="00E328D3"/>
    <w:rsid w:val="00E33860"/>
    <w:rsid w:val="00E3560F"/>
    <w:rsid w:val="00E361AE"/>
    <w:rsid w:val="00E371BE"/>
    <w:rsid w:val="00E43B07"/>
    <w:rsid w:val="00E459C8"/>
    <w:rsid w:val="00E53AA8"/>
    <w:rsid w:val="00E64684"/>
    <w:rsid w:val="00E72994"/>
    <w:rsid w:val="00E72D30"/>
    <w:rsid w:val="00E83884"/>
    <w:rsid w:val="00E90BB4"/>
    <w:rsid w:val="00E9288F"/>
    <w:rsid w:val="00E95A91"/>
    <w:rsid w:val="00E96715"/>
    <w:rsid w:val="00E97D9D"/>
    <w:rsid w:val="00EA0F5B"/>
    <w:rsid w:val="00EA2E62"/>
    <w:rsid w:val="00EA3058"/>
    <w:rsid w:val="00EA32D2"/>
    <w:rsid w:val="00EA39B7"/>
    <w:rsid w:val="00EB22AA"/>
    <w:rsid w:val="00EB61DA"/>
    <w:rsid w:val="00ED1C7E"/>
    <w:rsid w:val="00ED51B6"/>
    <w:rsid w:val="00ED6241"/>
    <w:rsid w:val="00EE0F04"/>
    <w:rsid w:val="00EE3D9A"/>
    <w:rsid w:val="00EF10B6"/>
    <w:rsid w:val="00EF763E"/>
    <w:rsid w:val="00EF7C30"/>
    <w:rsid w:val="00F016F1"/>
    <w:rsid w:val="00F034AA"/>
    <w:rsid w:val="00F057D0"/>
    <w:rsid w:val="00F159DA"/>
    <w:rsid w:val="00F17D23"/>
    <w:rsid w:val="00F31993"/>
    <w:rsid w:val="00F33B2C"/>
    <w:rsid w:val="00F33DC9"/>
    <w:rsid w:val="00F37C38"/>
    <w:rsid w:val="00F429AE"/>
    <w:rsid w:val="00F43711"/>
    <w:rsid w:val="00F43AED"/>
    <w:rsid w:val="00F4465C"/>
    <w:rsid w:val="00F50486"/>
    <w:rsid w:val="00F53960"/>
    <w:rsid w:val="00F60818"/>
    <w:rsid w:val="00F60B14"/>
    <w:rsid w:val="00F63A70"/>
    <w:rsid w:val="00F6712A"/>
    <w:rsid w:val="00F6758B"/>
    <w:rsid w:val="00F81D92"/>
    <w:rsid w:val="00F83501"/>
    <w:rsid w:val="00F86783"/>
    <w:rsid w:val="00F9017B"/>
    <w:rsid w:val="00F91F0F"/>
    <w:rsid w:val="00F94A29"/>
    <w:rsid w:val="00FA6A51"/>
    <w:rsid w:val="00FB012F"/>
    <w:rsid w:val="00FB2FF2"/>
    <w:rsid w:val="00FB663F"/>
    <w:rsid w:val="00FC25D0"/>
    <w:rsid w:val="00FC2C4A"/>
    <w:rsid w:val="00FC3210"/>
    <w:rsid w:val="00FC35D9"/>
    <w:rsid w:val="00FC7C30"/>
    <w:rsid w:val="00FD34BF"/>
    <w:rsid w:val="00FE65F0"/>
    <w:rsid w:val="00FE7256"/>
    <w:rsid w:val="00FE7F9E"/>
    <w:rsid w:val="00FF083B"/>
    <w:rsid w:val="00FF598B"/>
    <w:rsid w:val="013F963C"/>
    <w:rsid w:val="0327EE70"/>
    <w:rsid w:val="05A62C22"/>
    <w:rsid w:val="067FABF1"/>
    <w:rsid w:val="07F76126"/>
    <w:rsid w:val="0938E2AF"/>
    <w:rsid w:val="0B80C73E"/>
    <w:rsid w:val="0BF72C15"/>
    <w:rsid w:val="0C5F4CB7"/>
    <w:rsid w:val="0EF050DD"/>
    <w:rsid w:val="13E7FF36"/>
    <w:rsid w:val="177F92CC"/>
    <w:rsid w:val="18DA5F4A"/>
    <w:rsid w:val="1A8145A9"/>
    <w:rsid w:val="20A17242"/>
    <w:rsid w:val="28BA493B"/>
    <w:rsid w:val="2A54D49A"/>
    <w:rsid w:val="2C127D98"/>
    <w:rsid w:val="2DA13170"/>
    <w:rsid w:val="2F42B23A"/>
    <w:rsid w:val="3552D853"/>
    <w:rsid w:val="36786406"/>
    <w:rsid w:val="3B7EE950"/>
    <w:rsid w:val="3BDF5171"/>
    <w:rsid w:val="42F20FD9"/>
    <w:rsid w:val="46184E86"/>
    <w:rsid w:val="48359B0B"/>
    <w:rsid w:val="493057C9"/>
    <w:rsid w:val="497339D7"/>
    <w:rsid w:val="506B6802"/>
    <w:rsid w:val="5084E109"/>
    <w:rsid w:val="5222803C"/>
    <w:rsid w:val="52555CC2"/>
    <w:rsid w:val="566A9013"/>
    <w:rsid w:val="5977710A"/>
    <w:rsid w:val="5C24919C"/>
    <w:rsid w:val="5F85EE43"/>
    <w:rsid w:val="61FC3B88"/>
    <w:rsid w:val="661784F2"/>
    <w:rsid w:val="6A23E5DB"/>
    <w:rsid w:val="6AA06CE2"/>
    <w:rsid w:val="6D51ACD6"/>
    <w:rsid w:val="75D7BE8D"/>
    <w:rsid w:val="76DF62A2"/>
    <w:rsid w:val="7748EF76"/>
    <w:rsid w:val="78E8BE01"/>
    <w:rsid w:val="7ABF6CBC"/>
    <w:rsid w:val="7BEA5696"/>
    <w:rsid w:val="7C528AC2"/>
    <w:rsid w:val="7E0E2D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25B1636"/>
  <w15:chartTrackingRefBased/>
  <w15:docId w15:val="{5D3819EA-87BF-45ED-A28B-97FBBF7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CFD"/>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19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paragraph" w:customStyle="1" w:styleId="BodyText-nospacebelow">
    <w:name w:val="Body Text - no space below"/>
    <w:basedOn w:val="BodyText"/>
    <w:qFormat/>
    <w:locked/>
    <w:rsid w:val="00304540"/>
    <w:pPr>
      <w:spacing w:after="0" w:line="276" w:lineRule="auto"/>
    </w:pPr>
    <w:rPr>
      <w:rFonts w:ascii="Arial" w:hAnsi="Arial"/>
      <w:color w:val="3C3C3C"/>
      <w:sz w:val="24"/>
    </w:rPr>
  </w:style>
  <w:style w:type="paragraph" w:styleId="BodyText">
    <w:name w:val="Body Text"/>
    <w:basedOn w:val="Normal"/>
    <w:link w:val="BodyTextChar"/>
    <w:uiPriority w:val="99"/>
    <w:semiHidden/>
    <w:unhideWhenUsed/>
    <w:rsid w:val="00304540"/>
    <w:pPr>
      <w:spacing w:after="120"/>
    </w:pPr>
  </w:style>
  <w:style w:type="character" w:customStyle="1" w:styleId="BodyTextChar">
    <w:name w:val="Body Text Char"/>
    <w:basedOn w:val="DefaultParagraphFont"/>
    <w:link w:val="BodyText"/>
    <w:uiPriority w:val="99"/>
    <w:semiHidden/>
    <w:rsid w:val="00304540"/>
  </w:style>
  <w:style w:type="paragraph" w:styleId="BalloonText">
    <w:name w:val="Balloon Text"/>
    <w:basedOn w:val="Normal"/>
    <w:link w:val="BalloonTextChar"/>
    <w:uiPriority w:val="99"/>
    <w:semiHidden/>
    <w:unhideWhenUsed/>
    <w:rsid w:val="00F4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5C"/>
    <w:rPr>
      <w:rFonts w:ascii="Segoe UI" w:hAnsi="Segoe UI" w:cs="Segoe UI"/>
      <w:sz w:val="18"/>
      <w:szCs w:val="18"/>
    </w:rPr>
  </w:style>
  <w:style w:type="character" w:styleId="CommentReference">
    <w:name w:val="annotation reference"/>
    <w:basedOn w:val="DefaultParagraphFont"/>
    <w:uiPriority w:val="99"/>
    <w:semiHidden/>
    <w:unhideWhenUsed/>
    <w:rsid w:val="00486418"/>
    <w:rPr>
      <w:sz w:val="16"/>
      <w:szCs w:val="16"/>
    </w:rPr>
  </w:style>
  <w:style w:type="paragraph" w:styleId="CommentText">
    <w:name w:val="annotation text"/>
    <w:basedOn w:val="Normal"/>
    <w:link w:val="CommentTextChar"/>
    <w:uiPriority w:val="99"/>
    <w:unhideWhenUsed/>
    <w:rsid w:val="00486418"/>
    <w:pPr>
      <w:spacing w:line="240" w:lineRule="auto"/>
    </w:pPr>
    <w:rPr>
      <w:sz w:val="20"/>
      <w:szCs w:val="20"/>
    </w:rPr>
  </w:style>
  <w:style w:type="character" w:customStyle="1" w:styleId="CommentTextChar">
    <w:name w:val="Comment Text Char"/>
    <w:basedOn w:val="DefaultParagraphFont"/>
    <w:link w:val="CommentText"/>
    <w:uiPriority w:val="99"/>
    <w:rsid w:val="00486418"/>
    <w:rPr>
      <w:sz w:val="20"/>
      <w:szCs w:val="20"/>
    </w:rPr>
  </w:style>
  <w:style w:type="paragraph" w:styleId="CommentSubject">
    <w:name w:val="annotation subject"/>
    <w:basedOn w:val="CommentText"/>
    <w:next w:val="CommentText"/>
    <w:link w:val="CommentSubjectChar"/>
    <w:uiPriority w:val="99"/>
    <w:semiHidden/>
    <w:unhideWhenUsed/>
    <w:rsid w:val="00486418"/>
    <w:rPr>
      <w:b/>
      <w:bCs/>
    </w:rPr>
  </w:style>
  <w:style w:type="character" w:customStyle="1" w:styleId="CommentSubjectChar">
    <w:name w:val="Comment Subject Char"/>
    <w:basedOn w:val="CommentTextChar"/>
    <w:link w:val="CommentSubject"/>
    <w:uiPriority w:val="99"/>
    <w:semiHidden/>
    <w:rsid w:val="00486418"/>
    <w:rPr>
      <w:b/>
      <w:bCs/>
      <w:sz w:val="20"/>
      <w:szCs w:val="20"/>
    </w:rPr>
  </w:style>
  <w:style w:type="paragraph" w:styleId="Revision">
    <w:name w:val="Revision"/>
    <w:hidden/>
    <w:uiPriority w:val="99"/>
    <w:semiHidden/>
    <w:rsid w:val="00852325"/>
    <w:pPr>
      <w:spacing w:after="0" w:line="240" w:lineRule="auto"/>
    </w:pPr>
  </w:style>
  <w:style w:type="paragraph" w:customStyle="1" w:styleId="paragraph">
    <w:name w:val="paragraph"/>
    <w:basedOn w:val="Normal"/>
    <w:rsid w:val="00384F2B"/>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384F2B"/>
  </w:style>
  <w:style w:type="character" w:customStyle="1" w:styleId="eop">
    <w:name w:val="eop"/>
    <w:basedOn w:val="DefaultParagraphFont"/>
    <w:rsid w:val="00384F2B"/>
  </w:style>
  <w:style w:type="paragraph" w:customStyle="1" w:styleId="Default">
    <w:name w:val="Default"/>
    <w:rsid w:val="00E53AA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05631"/>
    <w:rPr>
      <w:color w:val="808080"/>
      <w:shd w:val="clear" w:color="auto" w:fill="E6E6E6"/>
    </w:rPr>
  </w:style>
  <w:style w:type="table" w:styleId="GridTable5Dark-Accent5">
    <w:name w:val="Grid Table 5 Dark Accent 5"/>
    <w:basedOn w:val="TableNormal"/>
    <w:uiPriority w:val="50"/>
    <w:rsid w:val="00915CC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8219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280">
      <w:bodyDiv w:val="1"/>
      <w:marLeft w:val="0"/>
      <w:marRight w:val="0"/>
      <w:marTop w:val="0"/>
      <w:marBottom w:val="0"/>
      <w:divBdr>
        <w:top w:val="none" w:sz="0" w:space="0" w:color="auto"/>
        <w:left w:val="none" w:sz="0" w:space="0" w:color="auto"/>
        <w:bottom w:val="none" w:sz="0" w:space="0" w:color="auto"/>
        <w:right w:val="none" w:sz="0" w:space="0" w:color="auto"/>
      </w:divBdr>
    </w:div>
    <w:div w:id="129329343">
      <w:bodyDiv w:val="1"/>
      <w:marLeft w:val="0"/>
      <w:marRight w:val="0"/>
      <w:marTop w:val="0"/>
      <w:marBottom w:val="0"/>
      <w:divBdr>
        <w:top w:val="none" w:sz="0" w:space="0" w:color="auto"/>
        <w:left w:val="none" w:sz="0" w:space="0" w:color="auto"/>
        <w:bottom w:val="none" w:sz="0" w:space="0" w:color="auto"/>
        <w:right w:val="none" w:sz="0" w:space="0" w:color="auto"/>
      </w:divBdr>
    </w:div>
    <w:div w:id="149517557">
      <w:bodyDiv w:val="1"/>
      <w:marLeft w:val="0"/>
      <w:marRight w:val="0"/>
      <w:marTop w:val="0"/>
      <w:marBottom w:val="0"/>
      <w:divBdr>
        <w:top w:val="none" w:sz="0" w:space="0" w:color="auto"/>
        <w:left w:val="none" w:sz="0" w:space="0" w:color="auto"/>
        <w:bottom w:val="none" w:sz="0" w:space="0" w:color="auto"/>
        <w:right w:val="none" w:sz="0" w:space="0" w:color="auto"/>
      </w:divBdr>
    </w:div>
    <w:div w:id="213466961">
      <w:bodyDiv w:val="1"/>
      <w:marLeft w:val="0"/>
      <w:marRight w:val="0"/>
      <w:marTop w:val="0"/>
      <w:marBottom w:val="0"/>
      <w:divBdr>
        <w:top w:val="none" w:sz="0" w:space="0" w:color="auto"/>
        <w:left w:val="none" w:sz="0" w:space="0" w:color="auto"/>
        <w:bottom w:val="none" w:sz="0" w:space="0" w:color="auto"/>
        <w:right w:val="none" w:sz="0" w:space="0" w:color="auto"/>
      </w:divBdr>
      <w:divsChild>
        <w:div w:id="1698121386">
          <w:marLeft w:val="0"/>
          <w:marRight w:val="0"/>
          <w:marTop w:val="0"/>
          <w:marBottom w:val="0"/>
          <w:divBdr>
            <w:top w:val="none" w:sz="0" w:space="0" w:color="auto"/>
            <w:left w:val="none" w:sz="0" w:space="0" w:color="auto"/>
            <w:bottom w:val="none" w:sz="0" w:space="0" w:color="auto"/>
            <w:right w:val="none" w:sz="0" w:space="0" w:color="auto"/>
          </w:divBdr>
          <w:divsChild>
            <w:div w:id="904872967">
              <w:marLeft w:val="0"/>
              <w:marRight w:val="0"/>
              <w:marTop w:val="0"/>
              <w:marBottom w:val="0"/>
              <w:divBdr>
                <w:top w:val="none" w:sz="0" w:space="0" w:color="auto"/>
                <w:left w:val="none" w:sz="0" w:space="0" w:color="auto"/>
                <w:bottom w:val="none" w:sz="0" w:space="0" w:color="auto"/>
                <w:right w:val="none" w:sz="0" w:space="0" w:color="auto"/>
              </w:divBdr>
              <w:divsChild>
                <w:div w:id="1186020244">
                  <w:marLeft w:val="-225"/>
                  <w:marRight w:val="-225"/>
                  <w:marTop w:val="0"/>
                  <w:marBottom w:val="0"/>
                  <w:divBdr>
                    <w:top w:val="none" w:sz="0" w:space="0" w:color="auto"/>
                    <w:left w:val="none" w:sz="0" w:space="0" w:color="auto"/>
                    <w:bottom w:val="none" w:sz="0" w:space="0" w:color="auto"/>
                    <w:right w:val="none" w:sz="0" w:space="0" w:color="auto"/>
                  </w:divBdr>
                  <w:divsChild>
                    <w:div w:id="1330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76427">
      <w:bodyDiv w:val="1"/>
      <w:marLeft w:val="0"/>
      <w:marRight w:val="0"/>
      <w:marTop w:val="0"/>
      <w:marBottom w:val="0"/>
      <w:divBdr>
        <w:top w:val="none" w:sz="0" w:space="0" w:color="auto"/>
        <w:left w:val="none" w:sz="0" w:space="0" w:color="auto"/>
        <w:bottom w:val="none" w:sz="0" w:space="0" w:color="auto"/>
        <w:right w:val="none" w:sz="0" w:space="0" w:color="auto"/>
      </w:divBdr>
    </w:div>
    <w:div w:id="541940906">
      <w:bodyDiv w:val="1"/>
      <w:marLeft w:val="0"/>
      <w:marRight w:val="0"/>
      <w:marTop w:val="0"/>
      <w:marBottom w:val="0"/>
      <w:divBdr>
        <w:top w:val="none" w:sz="0" w:space="0" w:color="auto"/>
        <w:left w:val="none" w:sz="0" w:space="0" w:color="auto"/>
        <w:bottom w:val="none" w:sz="0" w:space="0" w:color="auto"/>
        <w:right w:val="none" w:sz="0" w:space="0" w:color="auto"/>
      </w:divBdr>
    </w:div>
    <w:div w:id="921379871">
      <w:bodyDiv w:val="1"/>
      <w:marLeft w:val="0"/>
      <w:marRight w:val="0"/>
      <w:marTop w:val="0"/>
      <w:marBottom w:val="0"/>
      <w:divBdr>
        <w:top w:val="none" w:sz="0" w:space="0" w:color="auto"/>
        <w:left w:val="none" w:sz="0" w:space="0" w:color="auto"/>
        <w:bottom w:val="none" w:sz="0" w:space="0" w:color="auto"/>
        <w:right w:val="none" w:sz="0" w:space="0" w:color="auto"/>
      </w:divBdr>
      <w:divsChild>
        <w:div w:id="1060136685">
          <w:marLeft w:val="0"/>
          <w:marRight w:val="0"/>
          <w:marTop w:val="0"/>
          <w:marBottom w:val="0"/>
          <w:divBdr>
            <w:top w:val="none" w:sz="0" w:space="0" w:color="auto"/>
            <w:left w:val="none" w:sz="0" w:space="0" w:color="auto"/>
            <w:bottom w:val="none" w:sz="0" w:space="0" w:color="auto"/>
            <w:right w:val="none" w:sz="0" w:space="0" w:color="auto"/>
          </w:divBdr>
          <w:divsChild>
            <w:div w:id="182013202">
              <w:marLeft w:val="0"/>
              <w:marRight w:val="0"/>
              <w:marTop w:val="0"/>
              <w:marBottom w:val="0"/>
              <w:divBdr>
                <w:top w:val="none" w:sz="0" w:space="0" w:color="auto"/>
                <w:left w:val="none" w:sz="0" w:space="0" w:color="auto"/>
                <w:bottom w:val="none" w:sz="0" w:space="0" w:color="auto"/>
                <w:right w:val="none" w:sz="0" w:space="0" w:color="auto"/>
              </w:divBdr>
              <w:divsChild>
                <w:div w:id="414010433">
                  <w:marLeft w:val="-225"/>
                  <w:marRight w:val="-225"/>
                  <w:marTop w:val="0"/>
                  <w:marBottom w:val="0"/>
                  <w:divBdr>
                    <w:top w:val="none" w:sz="0" w:space="0" w:color="auto"/>
                    <w:left w:val="none" w:sz="0" w:space="0" w:color="auto"/>
                    <w:bottom w:val="none" w:sz="0" w:space="0" w:color="auto"/>
                    <w:right w:val="none" w:sz="0" w:space="0" w:color="auto"/>
                  </w:divBdr>
                  <w:divsChild>
                    <w:div w:id="1490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83558">
      <w:bodyDiv w:val="1"/>
      <w:marLeft w:val="0"/>
      <w:marRight w:val="0"/>
      <w:marTop w:val="0"/>
      <w:marBottom w:val="0"/>
      <w:divBdr>
        <w:top w:val="none" w:sz="0" w:space="0" w:color="auto"/>
        <w:left w:val="none" w:sz="0" w:space="0" w:color="auto"/>
        <w:bottom w:val="none" w:sz="0" w:space="0" w:color="auto"/>
        <w:right w:val="none" w:sz="0" w:space="0" w:color="auto"/>
      </w:divBdr>
    </w:div>
    <w:div w:id="1096904527">
      <w:bodyDiv w:val="1"/>
      <w:marLeft w:val="0"/>
      <w:marRight w:val="0"/>
      <w:marTop w:val="0"/>
      <w:marBottom w:val="0"/>
      <w:divBdr>
        <w:top w:val="none" w:sz="0" w:space="0" w:color="auto"/>
        <w:left w:val="none" w:sz="0" w:space="0" w:color="auto"/>
        <w:bottom w:val="none" w:sz="0" w:space="0" w:color="auto"/>
        <w:right w:val="none" w:sz="0" w:space="0" w:color="auto"/>
      </w:divBdr>
      <w:divsChild>
        <w:div w:id="707726585">
          <w:marLeft w:val="0"/>
          <w:marRight w:val="0"/>
          <w:marTop w:val="0"/>
          <w:marBottom w:val="0"/>
          <w:divBdr>
            <w:top w:val="none" w:sz="0" w:space="0" w:color="auto"/>
            <w:left w:val="none" w:sz="0" w:space="0" w:color="auto"/>
            <w:bottom w:val="none" w:sz="0" w:space="0" w:color="auto"/>
            <w:right w:val="none" w:sz="0" w:space="0" w:color="auto"/>
          </w:divBdr>
          <w:divsChild>
            <w:div w:id="87316060">
              <w:marLeft w:val="0"/>
              <w:marRight w:val="0"/>
              <w:marTop w:val="0"/>
              <w:marBottom w:val="0"/>
              <w:divBdr>
                <w:top w:val="none" w:sz="0" w:space="0" w:color="auto"/>
                <w:left w:val="none" w:sz="0" w:space="0" w:color="auto"/>
                <w:bottom w:val="none" w:sz="0" w:space="0" w:color="auto"/>
                <w:right w:val="none" w:sz="0" w:space="0" w:color="auto"/>
              </w:divBdr>
              <w:divsChild>
                <w:div w:id="1051148756">
                  <w:marLeft w:val="0"/>
                  <w:marRight w:val="0"/>
                  <w:marTop w:val="0"/>
                  <w:marBottom w:val="0"/>
                  <w:divBdr>
                    <w:top w:val="none" w:sz="0" w:space="0" w:color="auto"/>
                    <w:left w:val="none" w:sz="0" w:space="0" w:color="auto"/>
                    <w:bottom w:val="none" w:sz="0" w:space="0" w:color="auto"/>
                    <w:right w:val="none" w:sz="0" w:space="0" w:color="auto"/>
                  </w:divBdr>
                  <w:divsChild>
                    <w:div w:id="357775135">
                      <w:marLeft w:val="0"/>
                      <w:marRight w:val="0"/>
                      <w:marTop w:val="0"/>
                      <w:marBottom w:val="0"/>
                      <w:divBdr>
                        <w:top w:val="none" w:sz="0" w:space="0" w:color="auto"/>
                        <w:left w:val="none" w:sz="0" w:space="0" w:color="auto"/>
                        <w:bottom w:val="none" w:sz="0" w:space="0" w:color="auto"/>
                        <w:right w:val="none" w:sz="0" w:space="0" w:color="auto"/>
                      </w:divBdr>
                      <w:divsChild>
                        <w:div w:id="1681544172">
                          <w:marLeft w:val="0"/>
                          <w:marRight w:val="0"/>
                          <w:marTop w:val="0"/>
                          <w:marBottom w:val="0"/>
                          <w:divBdr>
                            <w:top w:val="single" w:sz="6" w:space="0" w:color="D2D5D8"/>
                            <w:left w:val="none" w:sz="0" w:space="0" w:color="auto"/>
                            <w:bottom w:val="none" w:sz="0" w:space="0" w:color="auto"/>
                            <w:right w:val="none" w:sz="0" w:space="0" w:color="auto"/>
                          </w:divBdr>
                          <w:divsChild>
                            <w:div w:id="227422120">
                              <w:marLeft w:val="0"/>
                              <w:marRight w:val="0"/>
                              <w:marTop w:val="0"/>
                              <w:marBottom w:val="0"/>
                              <w:divBdr>
                                <w:top w:val="none" w:sz="0" w:space="0" w:color="auto"/>
                                <w:left w:val="none" w:sz="0" w:space="0" w:color="auto"/>
                                <w:bottom w:val="none" w:sz="0" w:space="0" w:color="auto"/>
                                <w:right w:val="none" w:sz="0" w:space="0" w:color="auto"/>
                              </w:divBdr>
                              <w:divsChild>
                                <w:div w:id="879363803">
                                  <w:marLeft w:val="0"/>
                                  <w:marRight w:val="0"/>
                                  <w:marTop w:val="0"/>
                                  <w:marBottom w:val="0"/>
                                  <w:divBdr>
                                    <w:top w:val="none" w:sz="0" w:space="0" w:color="auto"/>
                                    <w:left w:val="none" w:sz="0" w:space="0" w:color="auto"/>
                                    <w:bottom w:val="none" w:sz="0" w:space="0" w:color="auto"/>
                                    <w:right w:val="none" w:sz="0" w:space="0" w:color="auto"/>
                                  </w:divBdr>
                                  <w:divsChild>
                                    <w:div w:id="143280651">
                                      <w:marLeft w:val="0"/>
                                      <w:marRight w:val="0"/>
                                      <w:marTop w:val="0"/>
                                      <w:marBottom w:val="0"/>
                                      <w:divBdr>
                                        <w:top w:val="none" w:sz="0" w:space="0" w:color="auto"/>
                                        <w:left w:val="none" w:sz="0" w:space="0" w:color="auto"/>
                                        <w:bottom w:val="none" w:sz="0" w:space="0" w:color="auto"/>
                                        <w:right w:val="none" w:sz="0" w:space="0" w:color="auto"/>
                                      </w:divBdr>
                                      <w:divsChild>
                                        <w:div w:id="1225874659">
                                          <w:marLeft w:val="0"/>
                                          <w:marRight w:val="0"/>
                                          <w:marTop w:val="0"/>
                                          <w:marBottom w:val="0"/>
                                          <w:divBdr>
                                            <w:top w:val="none" w:sz="0" w:space="0" w:color="auto"/>
                                            <w:left w:val="none" w:sz="0" w:space="0" w:color="auto"/>
                                            <w:bottom w:val="none" w:sz="0" w:space="0" w:color="auto"/>
                                            <w:right w:val="none" w:sz="0" w:space="0" w:color="auto"/>
                                          </w:divBdr>
                                          <w:divsChild>
                                            <w:div w:id="1833060919">
                                              <w:marLeft w:val="0"/>
                                              <w:marRight w:val="0"/>
                                              <w:marTop w:val="0"/>
                                              <w:marBottom w:val="0"/>
                                              <w:divBdr>
                                                <w:top w:val="none" w:sz="0" w:space="0" w:color="auto"/>
                                                <w:left w:val="none" w:sz="0" w:space="0" w:color="auto"/>
                                                <w:bottom w:val="none" w:sz="0" w:space="0" w:color="auto"/>
                                                <w:right w:val="none" w:sz="0" w:space="0" w:color="auto"/>
                                              </w:divBdr>
                                              <w:divsChild>
                                                <w:div w:id="2014452434">
                                                  <w:marLeft w:val="0"/>
                                                  <w:marRight w:val="0"/>
                                                  <w:marTop w:val="0"/>
                                                  <w:marBottom w:val="0"/>
                                                  <w:divBdr>
                                                    <w:top w:val="none" w:sz="0" w:space="0" w:color="auto"/>
                                                    <w:left w:val="none" w:sz="0" w:space="0" w:color="auto"/>
                                                    <w:bottom w:val="none" w:sz="0" w:space="0" w:color="auto"/>
                                                    <w:right w:val="none" w:sz="0" w:space="0" w:color="auto"/>
                                                  </w:divBdr>
                                                  <w:divsChild>
                                                    <w:div w:id="682053731">
                                                      <w:marLeft w:val="0"/>
                                                      <w:marRight w:val="0"/>
                                                      <w:marTop w:val="0"/>
                                                      <w:marBottom w:val="0"/>
                                                      <w:divBdr>
                                                        <w:top w:val="none" w:sz="0" w:space="0" w:color="auto"/>
                                                        <w:left w:val="none" w:sz="0" w:space="0" w:color="auto"/>
                                                        <w:bottom w:val="none" w:sz="0" w:space="0" w:color="auto"/>
                                                        <w:right w:val="none" w:sz="0" w:space="0" w:color="auto"/>
                                                      </w:divBdr>
                                                      <w:divsChild>
                                                        <w:div w:id="410740360">
                                                          <w:marLeft w:val="0"/>
                                                          <w:marRight w:val="0"/>
                                                          <w:marTop w:val="0"/>
                                                          <w:marBottom w:val="0"/>
                                                          <w:divBdr>
                                                            <w:top w:val="none" w:sz="0" w:space="0" w:color="auto"/>
                                                            <w:left w:val="none" w:sz="0" w:space="0" w:color="auto"/>
                                                            <w:bottom w:val="none" w:sz="0" w:space="0" w:color="auto"/>
                                                            <w:right w:val="none" w:sz="0" w:space="0" w:color="auto"/>
                                                          </w:divBdr>
                                                        </w:div>
                                                        <w:div w:id="614599516">
                                                          <w:marLeft w:val="0"/>
                                                          <w:marRight w:val="0"/>
                                                          <w:marTop w:val="0"/>
                                                          <w:marBottom w:val="0"/>
                                                          <w:divBdr>
                                                            <w:top w:val="none" w:sz="0" w:space="0" w:color="auto"/>
                                                            <w:left w:val="none" w:sz="0" w:space="0" w:color="auto"/>
                                                            <w:bottom w:val="none" w:sz="0" w:space="0" w:color="auto"/>
                                                            <w:right w:val="none" w:sz="0" w:space="0" w:color="auto"/>
                                                          </w:divBdr>
                                                        </w:div>
                                                        <w:div w:id="1099567477">
                                                          <w:marLeft w:val="0"/>
                                                          <w:marRight w:val="0"/>
                                                          <w:marTop w:val="0"/>
                                                          <w:marBottom w:val="0"/>
                                                          <w:divBdr>
                                                            <w:top w:val="none" w:sz="0" w:space="0" w:color="auto"/>
                                                            <w:left w:val="none" w:sz="0" w:space="0" w:color="auto"/>
                                                            <w:bottom w:val="none" w:sz="0" w:space="0" w:color="auto"/>
                                                            <w:right w:val="none" w:sz="0" w:space="0" w:color="auto"/>
                                                          </w:divBdr>
                                                        </w:div>
                                                        <w:div w:id="1268469657">
                                                          <w:marLeft w:val="0"/>
                                                          <w:marRight w:val="0"/>
                                                          <w:marTop w:val="0"/>
                                                          <w:marBottom w:val="0"/>
                                                          <w:divBdr>
                                                            <w:top w:val="none" w:sz="0" w:space="0" w:color="auto"/>
                                                            <w:left w:val="none" w:sz="0" w:space="0" w:color="auto"/>
                                                            <w:bottom w:val="none" w:sz="0" w:space="0" w:color="auto"/>
                                                            <w:right w:val="none" w:sz="0" w:space="0" w:color="auto"/>
                                                          </w:divBdr>
                                                        </w:div>
                                                        <w:div w:id="1272398046">
                                                          <w:marLeft w:val="0"/>
                                                          <w:marRight w:val="0"/>
                                                          <w:marTop w:val="0"/>
                                                          <w:marBottom w:val="0"/>
                                                          <w:divBdr>
                                                            <w:top w:val="none" w:sz="0" w:space="0" w:color="auto"/>
                                                            <w:left w:val="none" w:sz="0" w:space="0" w:color="auto"/>
                                                            <w:bottom w:val="none" w:sz="0" w:space="0" w:color="auto"/>
                                                            <w:right w:val="none" w:sz="0" w:space="0" w:color="auto"/>
                                                          </w:divBdr>
                                                        </w:div>
                                                        <w:div w:id="1406802154">
                                                          <w:marLeft w:val="0"/>
                                                          <w:marRight w:val="0"/>
                                                          <w:marTop w:val="0"/>
                                                          <w:marBottom w:val="0"/>
                                                          <w:divBdr>
                                                            <w:top w:val="none" w:sz="0" w:space="0" w:color="auto"/>
                                                            <w:left w:val="none" w:sz="0" w:space="0" w:color="auto"/>
                                                            <w:bottom w:val="none" w:sz="0" w:space="0" w:color="auto"/>
                                                            <w:right w:val="none" w:sz="0" w:space="0" w:color="auto"/>
                                                          </w:divBdr>
                                                        </w:div>
                                                        <w:div w:id="1536045895">
                                                          <w:marLeft w:val="0"/>
                                                          <w:marRight w:val="0"/>
                                                          <w:marTop w:val="0"/>
                                                          <w:marBottom w:val="0"/>
                                                          <w:divBdr>
                                                            <w:top w:val="none" w:sz="0" w:space="0" w:color="auto"/>
                                                            <w:left w:val="none" w:sz="0" w:space="0" w:color="auto"/>
                                                            <w:bottom w:val="none" w:sz="0" w:space="0" w:color="auto"/>
                                                            <w:right w:val="none" w:sz="0" w:space="0" w:color="auto"/>
                                                          </w:divBdr>
                                                        </w:div>
                                                        <w:div w:id="15391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600854">
      <w:bodyDiv w:val="1"/>
      <w:marLeft w:val="0"/>
      <w:marRight w:val="0"/>
      <w:marTop w:val="0"/>
      <w:marBottom w:val="0"/>
      <w:divBdr>
        <w:top w:val="none" w:sz="0" w:space="0" w:color="auto"/>
        <w:left w:val="none" w:sz="0" w:space="0" w:color="auto"/>
        <w:bottom w:val="none" w:sz="0" w:space="0" w:color="auto"/>
        <w:right w:val="none" w:sz="0" w:space="0" w:color="auto"/>
      </w:divBdr>
    </w:div>
    <w:div w:id="1824858427">
      <w:bodyDiv w:val="1"/>
      <w:marLeft w:val="0"/>
      <w:marRight w:val="0"/>
      <w:marTop w:val="0"/>
      <w:marBottom w:val="0"/>
      <w:divBdr>
        <w:top w:val="none" w:sz="0" w:space="0" w:color="auto"/>
        <w:left w:val="none" w:sz="0" w:space="0" w:color="auto"/>
        <w:bottom w:val="none" w:sz="0" w:space="0" w:color="auto"/>
        <w:right w:val="none" w:sz="0" w:space="0" w:color="auto"/>
      </w:divBdr>
    </w:div>
    <w:div w:id="1975215695">
      <w:bodyDiv w:val="1"/>
      <w:marLeft w:val="0"/>
      <w:marRight w:val="0"/>
      <w:marTop w:val="0"/>
      <w:marBottom w:val="0"/>
      <w:divBdr>
        <w:top w:val="none" w:sz="0" w:space="0" w:color="auto"/>
        <w:left w:val="none" w:sz="0" w:space="0" w:color="auto"/>
        <w:bottom w:val="none" w:sz="0" w:space="0" w:color="auto"/>
        <w:right w:val="none" w:sz="0" w:space="0" w:color="auto"/>
      </w:divBdr>
    </w:div>
    <w:div w:id="20703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treasury.gov.au/documents/275/PDF/cnp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5423F-71A3-466A-A919-E5472B702052}"/>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08BA3248-0954-400A-B890-D7D97A1AF694}"/>
</file>

<file path=docProps/app.xml><?xml version="1.0" encoding="utf-8"?>
<Properties xmlns="http://schemas.openxmlformats.org/officeDocument/2006/extended-properties" xmlns:vt="http://schemas.openxmlformats.org/officeDocument/2006/docPropsVTypes">
  <Template>Normal.dotm</Template>
  <TotalTime>289</TotalTime>
  <Pages>20</Pages>
  <Words>5210</Words>
  <Characters>29701</Characters>
  <Application>Microsoft Office Word</Application>
  <DocSecurity>0</DocSecurity>
  <Lines>247</Lines>
  <Paragraphs>69</Paragraphs>
  <ScaleCrop>false</ScaleCrop>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Beneficial enterprises discussion paper</dc:title>
  <dc:subject/>
  <dc:creator>Ken Parker</dc:creator>
  <cp:keywords/>
  <cp:lastModifiedBy>Darrelle Merritt</cp:lastModifiedBy>
  <cp:revision>67</cp:revision>
  <cp:lastPrinted>2018-08-05T16:45:00Z</cp:lastPrinted>
  <dcterms:created xsi:type="dcterms:W3CDTF">2018-08-26T19:20:00Z</dcterms:created>
  <dcterms:modified xsi:type="dcterms:W3CDTF">2018-09-18T06:03:00Z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