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204A0" w14:textId="77777777" w:rsidR="009614BF" w:rsidRDefault="009614BF" w:rsidP="009614BF">
      <w:pPr>
        <w:pStyle w:val="Title"/>
      </w:pPr>
      <w:r w:rsidRPr="00D63AF5">
        <w:rPr>
          <w:i/>
        </w:rPr>
        <w:t>Local Government Act 1995</w:t>
      </w:r>
      <w:r>
        <w:t xml:space="preserve"> Review </w:t>
      </w:r>
    </w:p>
    <w:p w14:paraId="2CB81876" w14:textId="77777777" w:rsidR="009614BF" w:rsidRDefault="009614BF" w:rsidP="009614BF">
      <w:pPr>
        <w:pStyle w:val="Title"/>
      </w:pPr>
    </w:p>
    <w:p w14:paraId="2D8F3265" w14:textId="6C52819C" w:rsidR="009614BF" w:rsidRPr="00D63AF5" w:rsidRDefault="009614BF" w:rsidP="009614BF">
      <w:pPr>
        <w:pStyle w:val="Title"/>
      </w:pPr>
      <w:r>
        <w:t xml:space="preserve">Agile </w:t>
      </w:r>
      <w:r w:rsidRPr="00F67B5F">
        <w:rPr>
          <w:sz w:val="40"/>
        </w:rPr>
        <w:sym w:font="Wingdings" w:char="F09F"/>
      </w:r>
      <w:r w:rsidRPr="00F67B5F">
        <w:rPr>
          <w:sz w:val="72"/>
        </w:rPr>
        <w:t xml:space="preserve"> </w:t>
      </w:r>
      <w:r>
        <w:t xml:space="preserve">Smart </w:t>
      </w:r>
      <w:r w:rsidRPr="00F67B5F">
        <w:rPr>
          <w:sz w:val="40"/>
        </w:rPr>
        <w:sym w:font="Wingdings" w:char="F09F"/>
      </w:r>
      <w:r>
        <w:rPr>
          <w:sz w:val="40"/>
        </w:rPr>
        <w:t xml:space="preserve"> </w:t>
      </w:r>
      <w:r>
        <w:t>Inclusive – Local governments for the future</w:t>
      </w:r>
    </w:p>
    <w:p w14:paraId="50DEEE46" w14:textId="77777777" w:rsidR="00CA5427" w:rsidRDefault="00D63AF5" w:rsidP="00B047BD">
      <w:pPr>
        <w:pStyle w:val="Subtitle"/>
      </w:pPr>
      <w:r>
        <w:t>Phase 1: Consultation Paper</w:t>
      </w:r>
    </w:p>
    <w:p w14:paraId="1367CA80" w14:textId="77777777" w:rsidR="00D63AF5" w:rsidRDefault="00D63AF5" w:rsidP="00B047BD">
      <w:pPr>
        <w:pStyle w:val="Date"/>
      </w:pPr>
    </w:p>
    <w:p w14:paraId="0FD04687" w14:textId="77777777" w:rsidR="00CA5427" w:rsidRDefault="002D2B7B" w:rsidP="00B047BD">
      <w:pPr>
        <w:pStyle w:val="Date"/>
      </w:pPr>
      <w:r>
        <w:t xml:space="preserve">8 </w:t>
      </w:r>
      <w:r w:rsidR="00D63AF5">
        <w:t>November 2017</w:t>
      </w:r>
    </w:p>
    <w:p w14:paraId="442E5B18" w14:textId="77777777" w:rsidR="00CA5427" w:rsidRDefault="00CA5427" w:rsidP="00B047BD">
      <w:pPr>
        <w:pStyle w:val="Date"/>
      </w:pPr>
      <w:r>
        <w:br w:type="page"/>
      </w:r>
    </w:p>
    <w:sdt>
      <w:sdtPr>
        <w:rPr>
          <w:rFonts w:eastAsiaTheme="minorHAnsi" w:cstheme="minorBidi"/>
          <w:bCs w:val="0"/>
          <w:color w:val="3C3C3C"/>
          <w:sz w:val="24"/>
          <w:szCs w:val="22"/>
        </w:rPr>
        <w:id w:val="1617792230"/>
        <w:docPartObj>
          <w:docPartGallery w:val="Table of Contents"/>
          <w:docPartUnique/>
        </w:docPartObj>
      </w:sdtPr>
      <w:sdtEndPr>
        <w:rPr>
          <w:b/>
          <w:noProof/>
        </w:rPr>
      </w:sdtEndPr>
      <w:sdtContent>
        <w:p w14:paraId="6FC8899B" w14:textId="77777777" w:rsidR="00BC52C1" w:rsidRDefault="00BC52C1" w:rsidP="00B047BD">
          <w:pPr>
            <w:pStyle w:val="TOCHeading"/>
            <w:rPr>
              <w:rFonts w:eastAsiaTheme="minorHAnsi" w:cstheme="minorBidi"/>
              <w:bCs w:val="0"/>
              <w:color w:val="3C3C3C"/>
              <w:sz w:val="24"/>
              <w:szCs w:val="22"/>
            </w:rPr>
          </w:pPr>
        </w:p>
        <w:p w14:paraId="60EE315E" w14:textId="77777777" w:rsidR="00BC52C1" w:rsidRDefault="00BC52C1" w:rsidP="00BC52C1">
          <w:r>
            <w:br w:type="page"/>
          </w:r>
        </w:p>
        <w:p w14:paraId="41698E72" w14:textId="7B54026E" w:rsidR="00CA5427" w:rsidRDefault="00CA5427" w:rsidP="00B047BD">
          <w:pPr>
            <w:pStyle w:val="TOCHeading"/>
          </w:pPr>
          <w:r w:rsidRPr="00B047BD">
            <w:lastRenderedPageBreak/>
            <w:t>Contents</w:t>
          </w:r>
        </w:p>
        <w:p w14:paraId="7EDE60D4" w14:textId="77777777" w:rsidR="00B15B16" w:rsidRDefault="00CA5427">
          <w:pPr>
            <w:pStyle w:val="TOC1"/>
            <w:rPr>
              <w:rFonts w:asciiTheme="minorHAnsi" w:eastAsiaTheme="minorEastAsia" w:hAnsiTheme="minorHAnsi"/>
              <w:b w:val="0"/>
              <w:color w:val="auto"/>
              <w:sz w:val="22"/>
              <w:lang w:eastAsia="en-AU"/>
            </w:rPr>
          </w:pPr>
          <w:r>
            <w:fldChar w:fldCharType="begin"/>
          </w:r>
          <w:r w:rsidRPr="00CA5427">
            <w:instrText xml:space="preserve"> TOC \o "1-3" \h \z \u </w:instrText>
          </w:r>
          <w:r>
            <w:fldChar w:fldCharType="separate"/>
          </w:r>
          <w:hyperlink w:anchor="_Toc497741781" w:history="1">
            <w:r w:rsidR="00B15B16" w:rsidRPr="006F5B4A">
              <w:rPr>
                <w:rStyle w:val="Hyperlink"/>
              </w:rPr>
              <w:t>Minister’s foreword</w:t>
            </w:r>
            <w:r w:rsidR="00B15B16">
              <w:rPr>
                <w:webHidden/>
              </w:rPr>
              <w:tab/>
            </w:r>
            <w:r w:rsidR="00B15B16">
              <w:rPr>
                <w:webHidden/>
              </w:rPr>
              <w:fldChar w:fldCharType="begin"/>
            </w:r>
            <w:r w:rsidR="00B15B16">
              <w:rPr>
                <w:webHidden/>
              </w:rPr>
              <w:instrText xml:space="preserve"> PAGEREF _Toc497741781 \h </w:instrText>
            </w:r>
            <w:r w:rsidR="00B15B16">
              <w:rPr>
                <w:webHidden/>
              </w:rPr>
            </w:r>
            <w:r w:rsidR="00B15B16">
              <w:rPr>
                <w:webHidden/>
              </w:rPr>
              <w:fldChar w:fldCharType="separate"/>
            </w:r>
            <w:r w:rsidR="00B15B16">
              <w:rPr>
                <w:webHidden/>
              </w:rPr>
              <w:t>8</w:t>
            </w:r>
            <w:r w:rsidR="00B15B16">
              <w:rPr>
                <w:webHidden/>
              </w:rPr>
              <w:fldChar w:fldCharType="end"/>
            </w:r>
          </w:hyperlink>
        </w:p>
        <w:p w14:paraId="34358E24" w14:textId="77777777" w:rsidR="00B15B16" w:rsidRDefault="00971C75">
          <w:pPr>
            <w:pStyle w:val="TOC1"/>
            <w:rPr>
              <w:rFonts w:asciiTheme="minorHAnsi" w:eastAsiaTheme="minorEastAsia" w:hAnsiTheme="minorHAnsi"/>
              <w:b w:val="0"/>
              <w:color w:val="auto"/>
              <w:sz w:val="22"/>
              <w:lang w:eastAsia="en-AU"/>
            </w:rPr>
          </w:pPr>
          <w:hyperlink w:anchor="_Toc497741782" w:history="1">
            <w:r w:rsidR="00B15B16" w:rsidRPr="006F5B4A">
              <w:rPr>
                <w:rStyle w:val="Hyperlink"/>
              </w:rPr>
              <w:t>Introduction</w:t>
            </w:r>
            <w:r w:rsidR="00B15B16">
              <w:rPr>
                <w:webHidden/>
              </w:rPr>
              <w:tab/>
            </w:r>
            <w:r w:rsidR="00B15B16">
              <w:rPr>
                <w:webHidden/>
              </w:rPr>
              <w:fldChar w:fldCharType="begin"/>
            </w:r>
            <w:r w:rsidR="00B15B16">
              <w:rPr>
                <w:webHidden/>
              </w:rPr>
              <w:instrText xml:space="preserve"> PAGEREF _Toc497741782 \h </w:instrText>
            </w:r>
            <w:r w:rsidR="00B15B16">
              <w:rPr>
                <w:webHidden/>
              </w:rPr>
            </w:r>
            <w:r w:rsidR="00B15B16">
              <w:rPr>
                <w:webHidden/>
              </w:rPr>
              <w:fldChar w:fldCharType="separate"/>
            </w:r>
            <w:r w:rsidR="00B15B16">
              <w:rPr>
                <w:webHidden/>
              </w:rPr>
              <w:t>9</w:t>
            </w:r>
            <w:r w:rsidR="00B15B16">
              <w:rPr>
                <w:webHidden/>
              </w:rPr>
              <w:fldChar w:fldCharType="end"/>
            </w:r>
          </w:hyperlink>
        </w:p>
        <w:p w14:paraId="059ACEED" w14:textId="77777777" w:rsidR="00B15B16" w:rsidRDefault="00971C75">
          <w:pPr>
            <w:pStyle w:val="TOC1"/>
            <w:rPr>
              <w:rFonts w:asciiTheme="minorHAnsi" w:eastAsiaTheme="minorEastAsia" w:hAnsiTheme="minorHAnsi"/>
              <w:b w:val="0"/>
              <w:color w:val="auto"/>
              <w:sz w:val="22"/>
              <w:lang w:eastAsia="en-AU"/>
            </w:rPr>
          </w:pPr>
          <w:hyperlink w:anchor="_Toc497741783" w:history="1">
            <w:r w:rsidR="00B15B16" w:rsidRPr="006F5B4A">
              <w:rPr>
                <w:rStyle w:val="Hyperlink"/>
              </w:rPr>
              <w:t>Consultation to date</w:t>
            </w:r>
            <w:r w:rsidR="00B15B16">
              <w:rPr>
                <w:webHidden/>
              </w:rPr>
              <w:tab/>
            </w:r>
            <w:r w:rsidR="00B15B16">
              <w:rPr>
                <w:webHidden/>
              </w:rPr>
              <w:fldChar w:fldCharType="begin"/>
            </w:r>
            <w:r w:rsidR="00B15B16">
              <w:rPr>
                <w:webHidden/>
              </w:rPr>
              <w:instrText xml:space="preserve"> PAGEREF _Toc497741783 \h </w:instrText>
            </w:r>
            <w:r w:rsidR="00B15B16">
              <w:rPr>
                <w:webHidden/>
              </w:rPr>
            </w:r>
            <w:r w:rsidR="00B15B16">
              <w:rPr>
                <w:webHidden/>
              </w:rPr>
              <w:fldChar w:fldCharType="separate"/>
            </w:r>
            <w:r w:rsidR="00B15B16">
              <w:rPr>
                <w:webHidden/>
              </w:rPr>
              <w:t>11</w:t>
            </w:r>
            <w:r w:rsidR="00B15B16">
              <w:rPr>
                <w:webHidden/>
              </w:rPr>
              <w:fldChar w:fldCharType="end"/>
            </w:r>
          </w:hyperlink>
        </w:p>
        <w:p w14:paraId="1F011764" w14:textId="77777777" w:rsidR="00B15B16" w:rsidRDefault="00971C75">
          <w:pPr>
            <w:pStyle w:val="TOC1"/>
            <w:rPr>
              <w:rFonts w:asciiTheme="minorHAnsi" w:eastAsiaTheme="minorEastAsia" w:hAnsiTheme="minorHAnsi"/>
              <w:b w:val="0"/>
              <w:color w:val="auto"/>
              <w:sz w:val="22"/>
              <w:lang w:eastAsia="en-AU"/>
            </w:rPr>
          </w:pPr>
          <w:hyperlink w:anchor="_Toc497741784" w:history="1">
            <w:r w:rsidR="00B15B16" w:rsidRPr="006F5B4A">
              <w:rPr>
                <w:rStyle w:val="Hyperlink"/>
              </w:rPr>
              <w:t>Having your say</w:t>
            </w:r>
            <w:r w:rsidR="00B15B16">
              <w:rPr>
                <w:webHidden/>
              </w:rPr>
              <w:tab/>
            </w:r>
            <w:r w:rsidR="00B15B16">
              <w:rPr>
                <w:webHidden/>
              </w:rPr>
              <w:fldChar w:fldCharType="begin"/>
            </w:r>
            <w:r w:rsidR="00B15B16">
              <w:rPr>
                <w:webHidden/>
              </w:rPr>
              <w:instrText xml:space="preserve"> PAGEREF _Toc497741784 \h </w:instrText>
            </w:r>
            <w:r w:rsidR="00B15B16">
              <w:rPr>
                <w:webHidden/>
              </w:rPr>
            </w:r>
            <w:r w:rsidR="00B15B16">
              <w:rPr>
                <w:webHidden/>
              </w:rPr>
              <w:fldChar w:fldCharType="separate"/>
            </w:r>
            <w:r w:rsidR="00B15B16">
              <w:rPr>
                <w:webHidden/>
              </w:rPr>
              <w:t>12</w:t>
            </w:r>
            <w:r w:rsidR="00B15B16">
              <w:rPr>
                <w:webHidden/>
              </w:rPr>
              <w:fldChar w:fldCharType="end"/>
            </w:r>
          </w:hyperlink>
        </w:p>
        <w:p w14:paraId="07EB2123" w14:textId="77777777" w:rsidR="00B15B16" w:rsidRDefault="00971C75">
          <w:pPr>
            <w:pStyle w:val="TOC1"/>
            <w:rPr>
              <w:rFonts w:asciiTheme="minorHAnsi" w:eastAsiaTheme="minorEastAsia" w:hAnsiTheme="minorHAnsi"/>
              <w:b w:val="0"/>
              <w:color w:val="auto"/>
              <w:sz w:val="22"/>
              <w:lang w:eastAsia="en-AU"/>
            </w:rPr>
          </w:pPr>
          <w:hyperlink w:anchor="_Toc497741785" w:history="1">
            <w:r w:rsidR="00B15B16" w:rsidRPr="006F5B4A">
              <w:rPr>
                <w:rStyle w:val="Hyperlink"/>
              </w:rPr>
              <w:t>About local government in Western Australia</w:t>
            </w:r>
            <w:r w:rsidR="00B15B16">
              <w:rPr>
                <w:webHidden/>
              </w:rPr>
              <w:tab/>
            </w:r>
            <w:r w:rsidR="00B15B16">
              <w:rPr>
                <w:webHidden/>
              </w:rPr>
              <w:fldChar w:fldCharType="begin"/>
            </w:r>
            <w:r w:rsidR="00B15B16">
              <w:rPr>
                <w:webHidden/>
              </w:rPr>
              <w:instrText xml:space="preserve"> PAGEREF _Toc497741785 \h </w:instrText>
            </w:r>
            <w:r w:rsidR="00B15B16">
              <w:rPr>
                <w:webHidden/>
              </w:rPr>
            </w:r>
            <w:r w:rsidR="00B15B16">
              <w:rPr>
                <w:webHidden/>
              </w:rPr>
              <w:fldChar w:fldCharType="separate"/>
            </w:r>
            <w:r w:rsidR="00B15B16">
              <w:rPr>
                <w:webHidden/>
              </w:rPr>
              <w:t>13</w:t>
            </w:r>
            <w:r w:rsidR="00B15B16">
              <w:rPr>
                <w:webHidden/>
              </w:rPr>
              <w:fldChar w:fldCharType="end"/>
            </w:r>
          </w:hyperlink>
        </w:p>
        <w:p w14:paraId="6262EBF8" w14:textId="77777777" w:rsidR="00B15B16" w:rsidRDefault="00971C75">
          <w:pPr>
            <w:pStyle w:val="TOC1"/>
            <w:rPr>
              <w:rFonts w:asciiTheme="minorHAnsi" w:eastAsiaTheme="minorEastAsia" w:hAnsiTheme="minorHAnsi"/>
              <w:b w:val="0"/>
              <w:color w:val="auto"/>
              <w:sz w:val="22"/>
              <w:lang w:eastAsia="en-AU"/>
            </w:rPr>
          </w:pPr>
          <w:hyperlink w:anchor="_Toc497741786" w:history="1">
            <w:r w:rsidR="00B15B16" w:rsidRPr="006F5B4A">
              <w:rPr>
                <w:rStyle w:val="Hyperlink"/>
              </w:rPr>
              <w:t>Meeting community expectations of standards and performance</w:t>
            </w:r>
            <w:r w:rsidR="00B15B16">
              <w:rPr>
                <w:webHidden/>
              </w:rPr>
              <w:tab/>
            </w:r>
            <w:r w:rsidR="00B15B16">
              <w:rPr>
                <w:webHidden/>
              </w:rPr>
              <w:fldChar w:fldCharType="begin"/>
            </w:r>
            <w:r w:rsidR="00B15B16">
              <w:rPr>
                <w:webHidden/>
              </w:rPr>
              <w:instrText xml:space="preserve"> PAGEREF _Toc497741786 \h </w:instrText>
            </w:r>
            <w:r w:rsidR="00B15B16">
              <w:rPr>
                <w:webHidden/>
              </w:rPr>
            </w:r>
            <w:r w:rsidR="00B15B16">
              <w:rPr>
                <w:webHidden/>
              </w:rPr>
              <w:fldChar w:fldCharType="separate"/>
            </w:r>
            <w:r w:rsidR="00B15B16">
              <w:rPr>
                <w:webHidden/>
              </w:rPr>
              <w:t>15</w:t>
            </w:r>
            <w:r w:rsidR="00B15B16">
              <w:rPr>
                <w:webHidden/>
              </w:rPr>
              <w:fldChar w:fldCharType="end"/>
            </w:r>
          </w:hyperlink>
        </w:p>
        <w:p w14:paraId="0803620A"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787" w:history="1">
            <w:r w:rsidR="00B15B16" w:rsidRPr="006F5B4A">
              <w:rPr>
                <w:rStyle w:val="Hyperlink"/>
              </w:rPr>
              <w:t>1.</w:t>
            </w:r>
            <w:r w:rsidR="00B15B16">
              <w:rPr>
                <w:rFonts w:asciiTheme="minorHAnsi" w:eastAsiaTheme="minorEastAsia" w:hAnsiTheme="minorHAnsi"/>
                <w:b w:val="0"/>
                <w:color w:val="auto"/>
                <w:sz w:val="22"/>
                <w:lang w:eastAsia="en-AU"/>
              </w:rPr>
              <w:tab/>
            </w:r>
            <w:r w:rsidR="00B15B16" w:rsidRPr="006F5B4A">
              <w:rPr>
                <w:rStyle w:val="Hyperlink"/>
              </w:rPr>
              <w:t>Relationships between council and administration</w:t>
            </w:r>
            <w:r w:rsidR="00B15B16">
              <w:rPr>
                <w:webHidden/>
              </w:rPr>
              <w:tab/>
            </w:r>
            <w:r w:rsidR="00B15B16">
              <w:rPr>
                <w:webHidden/>
              </w:rPr>
              <w:fldChar w:fldCharType="begin"/>
            </w:r>
            <w:r w:rsidR="00B15B16">
              <w:rPr>
                <w:webHidden/>
              </w:rPr>
              <w:instrText xml:space="preserve"> PAGEREF _Toc497741787 \h </w:instrText>
            </w:r>
            <w:r w:rsidR="00B15B16">
              <w:rPr>
                <w:webHidden/>
              </w:rPr>
            </w:r>
            <w:r w:rsidR="00B15B16">
              <w:rPr>
                <w:webHidden/>
              </w:rPr>
              <w:fldChar w:fldCharType="separate"/>
            </w:r>
            <w:r w:rsidR="00B15B16">
              <w:rPr>
                <w:webHidden/>
              </w:rPr>
              <w:t>16</w:t>
            </w:r>
            <w:r w:rsidR="00B15B16">
              <w:rPr>
                <w:webHidden/>
              </w:rPr>
              <w:fldChar w:fldCharType="end"/>
            </w:r>
          </w:hyperlink>
        </w:p>
        <w:p w14:paraId="04D4BE0D" w14:textId="77777777" w:rsidR="00B15B16" w:rsidRDefault="00971C75">
          <w:pPr>
            <w:pStyle w:val="TOC2"/>
            <w:rPr>
              <w:rFonts w:asciiTheme="minorHAnsi" w:eastAsiaTheme="minorEastAsia" w:hAnsiTheme="minorHAnsi"/>
              <w:color w:val="auto"/>
              <w:sz w:val="22"/>
            </w:rPr>
          </w:pPr>
          <w:hyperlink w:anchor="_Toc497741788" w:history="1">
            <w:r w:rsidR="00B15B16" w:rsidRPr="006F5B4A">
              <w:rPr>
                <w:rStyle w:val="Hyperlink"/>
              </w:rPr>
              <w:t>Introduction</w:t>
            </w:r>
            <w:r w:rsidR="00B15B16">
              <w:rPr>
                <w:webHidden/>
              </w:rPr>
              <w:tab/>
            </w:r>
            <w:r w:rsidR="00B15B16">
              <w:rPr>
                <w:webHidden/>
              </w:rPr>
              <w:fldChar w:fldCharType="begin"/>
            </w:r>
            <w:r w:rsidR="00B15B16">
              <w:rPr>
                <w:webHidden/>
              </w:rPr>
              <w:instrText xml:space="preserve"> PAGEREF _Toc497741788 \h </w:instrText>
            </w:r>
            <w:r w:rsidR="00B15B16">
              <w:rPr>
                <w:webHidden/>
              </w:rPr>
            </w:r>
            <w:r w:rsidR="00B15B16">
              <w:rPr>
                <w:webHidden/>
              </w:rPr>
              <w:fldChar w:fldCharType="separate"/>
            </w:r>
            <w:r w:rsidR="00B15B16">
              <w:rPr>
                <w:webHidden/>
              </w:rPr>
              <w:t>16</w:t>
            </w:r>
            <w:r w:rsidR="00B15B16">
              <w:rPr>
                <w:webHidden/>
              </w:rPr>
              <w:fldChar w:fldCharType="end"/>
            </w:r>
          </w:hyperlink>
        </w:p>
        <w:p w14:paraId="708BB6D6" w14:textId="77777777" w:rsidR="00B15B16" w:rsidRDefault="00971C75">
          <w:pPr>
            <w:pStyle w:val="TOC2"/>
            <w:rPr>
              <w:rFonts w:asciiTheme="minorHAnsi" w:eastAsiaTheme="minorEastAsia" w:hAnsiTheme="minorHAnsi"/>
              <w:color w:val="auto"/>
              <w:sz w:val="22"/>
            </w:rPr>
          </w:pPr>
          <w:hyperlink w:anchor="_Toc497741789" w:history="1">
            <w:r w:rsidR="00B15B16" w:rsidRPr="006F5B4A">
              <w:rPr>
                <w:rStyle w:val="Hyperlink"/>
              </w:rPr>
              <w:t>Defining the roles of council and administration</w:t>
            </w:r>
            <w:r w:rsidR="00B15B16">
              <w:rPr>
                <w:webHidden/>
              </w:rPr>
              <w:tab/>
            </w:r>
            <w:r w:rsidR="00B15B16">
              <w:rPr>
                <w:webHidden/>
              </w:rPr>
              <w:fldChar w:fldCharType="begin"/>
            </w:r>
            <w:r w:rsidR="00B15B16">
              <w:rPr>
                <w:webHidden/>
              </w:rPr>
              <w:instrText xml:space="preserve"> PAGEREF _Toc497741789 \h </w:instrText>
            </w:r>
            <w:r w:rsidR="00B15B16">
              <w:rPr>
                <w:webHidden/>
              </w:rPr>
            </w:r>
            <w:r w:rsidR="00B15B16">
              <w:rPr>
                <w:webHidden/>
              </w:rPr>
              <w:fldChar w:fldCharType="separate"/>
            </w:r>
            <w:r w:rsidR="00B15B16">
              <w:rPr>
                <w:webHidden/>
              </w:rPr>
              <w:t>17</w:t>
            </w:r>
            <w:r w:rsidR="00B15B16">
              <w:rPr>
                <w:webHidden/>
              </w:rPr>
              <w:fldChar w:fldCharType="end"/>
            </w:r>
          </w:hyperlink>
        </w:p>
        <w:p w14:paraId="3AF21FD6" w14:textId="77777777" w:rsidR="00B15B16" w:rsidRDefault="00971C75">
          <w:pPr>
            <w:pStyle w:val="TOC2"/>
            <w:rPr>
              <w:rFonts w:asciiTheme="minorHAnsi" w:eastAsiaTheme="minorEastAsia" w:hAnsiTheme="minorHAnsi"/>
              <w:color w:val="auto"/>
              <w:sz w:val="22"/>
            </w:rPr>
          </w:pPr>
          <w:hyperlink w:anchor="_Toc497741790"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_Toc497741790 \h </w:instrText>
            </w:r>
            <w:r w:rsidR="00B15B16">
              <w:rPr>
                <w:webHidden/>
              </w:rPr>
            </w:r>
            <w:r w:rsidR="00B15B16">
              <w:rPr>
                <w:webHidden/>
              </w:rPr>
              <w:fldChar w:fldCharType="separate"/>
            </w:r>
            <w:r w:rsidR="00B15B16">
              <w:rPr>
                <w:webHidden/>
              </w:rPr>
              <w:t>19</w:t>
            </w:r>
            <w:r w:rsidR="00B15B16">
              <w:rPr>
                <w:webHidden/>
              </w:rPr>
              <w:fldChar w:fldCharType="end"/>
            </w:r>
          </w:hyperlink>
        </w:p>
        <w:p w14:paraId="75BC2463"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791" w:history="1">
            <w:r w:rsidR="00B15B16" w:rsidRPr="006F5B4A">
              <w:rPr>
                <w:rStyle w:val="Hyperlink"/>
              </w:rPr>
              <w:t>2.</w:t>
            </w:r>
            <w:r w:rsidR="00B15B16">
              <w:rPr>
                <w:rFonts w:asciiTheme="minorHAnsi" w:eastAsiaTheme="minorEastAsia" w:hAnsiTheme="minorHAnsi"/>
                <w:b w:val="0"/>
                <w:color w:val="auto"/>
                <w:sz w:val="22"/>
                <w:lang w:eastAsia="en-AU"/>
              </w:rPr>
              <w:tab/>
            </w:r>
            <w:r w:rsidR="00B15B16" w:rsidRPr="006F5B4A">
              <w:rPr>
                <w:rStyle w:val="Hyperlink"/>
              </w:rPr>
              <w:t>Training</w:t>
            </w:r>
            <w:r w:rsidR="00B15B16">
              <w:rPr>
                <w:webHidden/>
              </w:rPr>
              <w:tab/>
            </w:r>
            <w:r w:rsidR="00B15B16">
              <w:rPr>
                <w:webHidden/>
              </w:rPr>
              <w:fldChar w:fldCharType="begin"/>
            </w:r>
            <w:r w:rsidR="00B15B16">
              <w:rPr>
                <w:webHidden/>
              </w:rPr>
              <w:instrText xml:space="preserve"> PAGEREF _Toc497741791 \h </w:instrText>
            </w:r>
            <w:r w:rsidR="00B15B16">
              <w:rPr>
                <w:webHidden/>
              </w:rPr>
            </w:r>
            <w:r w:rsidR="00B15B16">
              <w:rPr>
                <w:webHidden/>
              </w:rPr>
              <w:fldChar w:fldCharType="separate"/>
            </w:r>
            <w:r w:rsidR="00B15B16">
              <w:rPr>
                <w:webHidden/>
              </w:rPr>
              <w:t>22</w:t>
            </w:r>
            <w:r w:rsidR="00B15B16">
              <w:rPr>
                <w:webHidden/>
              </w:rPr>
              <w:fldChar w:fldCharType="end"/>
            </w:r>
          </w:hyperlink>
        </w:p>
        <w:p w14:paraId="4DCCED63" w14:textId="77777777" w:rsidR="00B15B16" w:rsidRDefault="00971C75">
          <w:pPr>
            <w:pStyle w:val="TOC2"/>
            <w:rPr>
              <w:rFonts w:asciiTheme="minorHAnsi" w:eastAsiaTheme="minorEastAsia" w:hAnsiTheme="minorHAnsi"/>
              <w:color w:val="auto"/>
              <w:sz w:val="22"/>
            </w:rPr>
          </w:pPr>
          <w:hyperlink w:anchor="_Toc497741792" w:history="1">
            <w:r w:rsidR="00B15B16" w:rsidRPr="006F5B4A">
              <w:rPr>
                <w:rStyle w:val="Hyperlink"/>
              </w:rPr>
              <w:t>Introduction</w:t>
            </w:r>
            <w:r w:rsidR="00B15B16">
              <w:rPr>
                <w:webHidden/>
              </w:rPr>
              <w:tab/>
            </w:r>
            <w:r w:rsidR="00B15B16">
              <w:rPr>
                <w:webHidden/>
              </w:rPr>
              <w:fldChar w:fldCharType="begin"/>
            </w:r>
            <w:r w:rsidR="00B15B16">
              <w:rPr>
                <w:webHidden/>
              </w:rPr>
              <w:instrText xml:space="preserve"> PAGEREF _Toc497741792 \h </w:instrText>
            </w:r>
            <w:r w:rsidR="00B15B16">
              <w:rPr>
                <w:webHidden/>
              </w:rPr>
            </w:r>
            <w:r w:rsidR="00B15B16">
              <w:rPr>
                <w:webHidden/>
              </w:rPr>
              <w:fldChar w:fldCharType="separate"/>
            </w:r>
            <w:r w:rsidR="00B15B16">
              <w:rPr>
                <w:webHidden/>
              </w:rPr>
              <w:t>22</w:t>
            </w:r>
            <w:r w:rsidR="00B15B16">
              <w:rPr>
                <w:webHidden/>
              </w:rPr>
              <w:fldChar w:fldCharType="end"/>
            </w:r>
          </w:hyperlink>
        </w:p>
        <w:p w14:paraId="49BBDFE2" w14:textId="77777777" w:rsidR="00B15B16" w:rsidRDefault="00971C75">
          <w:pPr>
            <w:pStyle w:val="TOC2"/>
            <w:rPr>
              <w:rFonts w:asciiTheme="minorHAnsi" w:eastAsiaTheme="minorEastAsia" w:hAnsiTheme="minorHAnsi"/>
              <w:color w:val="auto"/>
              <w:sz w:val="22"/>
            </w:rPr>
          </w:pPr>
          <w:hyperlink w:anchor="_Toc497741793"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_Toc497741793 \h </w:instrText>
            </w:r>
            <w:r w:rsidR="00B15B16">
              <w:rPr>
                <w:webHidden/>
              </w:rPr>
            </w:r>
            <w:r w:rsidR="00B15B16">
              <w:rPr>
                <w:webHidden/>
              </w:rPr>
              <w:fldChar w:fldCharType="separate"/>
            </w:r>
            <w:r w:rsidR="00B15B16">
              <w:rPr>
                <w:webHidden/>
              </w:rPr>
              <w:t>23</w:t>
            </w:r>
            <w:r w:rsidR="00B15B16">
              <w:rPr>
                <w:webHidden/>
              </w:rPr>
              <w:fldChar w:fldCharType="end"/>
            </w:r>
          </w:hyperlink>
        </w:p>
        <w:p w14:paraId="4788B0AD" w14:textId="77777777" w:rsidR="00B15B16" w:rsidRDefault="00971C75">
          <w:pPr>
            <w:pStyle w:val="TOC2"/>
            <w:tabs>
              <w:tab w:val="left" w:pos="880"/>
            </w:tabs>
            <w:rPr>
              <w:rFonts w:asciiTheme="minorHAnsi" w:eastAsiaTheme="minorEastAsia" w:hAnsiTheme="minorHAnsi"/>
              <w:color w:val="auto"/>
              <w:sz w:val="22"/>
            </w:rPr>
          </w:pPr>
          <w:hyperlink w:anchor="_Toc497741794" w:history="1">
            <w:r w:rsidR="00B15B16" w:rsidRPr="006F5B4A">
              <w:rPr>
                <w:rStyle w:val="Hyperlink"/>
              </w:rPr>
              <w:t>2.1</w:t>
            </w:r>
            <w:r w:rsidR="00B15B16">
              <w:rPr>
                <w:rFonts w:asciiTheme="minorHAnsi" w:eastAsiaTheme="minorEastAsia" w:hAnsiTheme="minorHAnsi"/>
                <w:color w:val="auto"/>
                <w:sz w:val="22"/>
              </w:rPr>
              <w:tab/>
            </w:r>
            <w:r w:rsidR="00B15B16" w:rsidRPr="006F5B4A">
              <w:rPr>
                <w:rStyle w:val="Hyperlink"/>
              </w:rPr>
              <w:t>Competencies required to be an elected member</w:t>
            </w:r>
            <w:r w:rsidR="00B15B16">
              <w:rPr>
                <w:webHidden/>
              </w:rPr>
              <w:tab/>
            </w:r>
            <w:r w:rsidR="00B15B16">
              <w:rPr>
                <w:webHidden/>
              </w:rPr>
              <w:fldChar w:fldCharType="begin"/>
            </w:r>
            <w:r w:rsidR="00B15B16">
              <w:rPr>
                <w:webHidden/>
              </w:rPr>
              <w:instrText xml:space="preserve"> PAGEREF _Toc497741794 \h </w:instrText>
            </w:r>
            <w:r w:rsidR="00B15B16">
              <w:rPr>
                <w:webHidden/>
              </w:rPr>
            </w:r>
            <w:r w:rsidR="00B15B16">
              <w:rPr>
                <w:webHidden/>
              </w:rPr>
              <w:fldChar w:fldCharType="separate"/>
            </w:r>
            <w:r w:rsidR="00B15B16">
              <w:rPr>
                <w:webHidden/>
              </w:rPr>
              <w:t>24</w:t>
            </w:r>
            <w:r w:rsidR="00B15B16">
              <w:rPr>
                <w:webHidden/>
              </w:rPr>
              <w:fldChar w:fldCharType="end"/>
            </w:r>
          </w:hyperlink>
        </w:p>
        <w:p w14:paraId="61EEB2F0" w14:textId="77777777" w:rsidR="00B15B16" w:rsidRDefault="00971C75">
          <w:pPr>
            <w:pStyle w:val="TOC2"/>
            <w:tabs>
              <w:tab w:val="left" w:pos="880"/>
            </w:tabs>
            <w:rPr>
              <w:rFonts w:asciiTheme="minorHAnsi" w:eastAsiaTheme="minorEastAsia" w:hAnsiTheme="minorHAnsi"/>
              <w:color w:val="auto"/>
              <w:sz w:val="22"/>
            </w:rPr>
          </w:pPr>
          <w:hyperlink w:anchor="_Toc497741795" w:history="1">
            <w:r w:rsidR="00B15B16" w:rsidRPr="006F5B4A">
              <w:rPr>
                <w:rStyle w:val="Hyperlink"/>
              </w:rPr>
              <w:t>2.2</w:t>
            </w:r>
            <w:r w:rsidR="00B15B16">
              <w:rPr>
                <w:rFonts w:asciiTheme="minorHAnsi" w:eastAsiaTheme="minorEastAsia" w:hAnsiTheme="minorHAnsi"/>
                <w:color w:val="auto"/>
                <w:sz w:val="22"/>
              </w:rPr>
              <w:tab/>
            </w:r>
            <w:r w:rsidR="00B15B16" w:rsidRPr="006F5B4A">
              <w:rPr>
                <w:rStyle w:val="Hyperlink"/>
              </w:rPr>
              <w:t>Funding training</w:t>
            </w:r>
            <w:r w:rsidR="00B15B16">
              <w:rPr>
                <w:webHidden/>
              </w:rPr>
              <w:tab/>
            </w:r>
            <w:r w:rsidR="00B15B16">
              <w:rPr>
                <w:webHidden/>
              </w:rPr>
              <w:fldChar w:fldCharType="begin"/>
            </w:r>
            <w:r w:rsidR="00B15B16">
              <w:rPr>
                <w:webHidden/>
              </w:rPr>
              <w:instrText xml:space="preserve"> PAGEREF _Toc497741795 \h </w:instrText>
            </w:r>
            <w:r w:rsidR="00B15B16">
              <w:rPr>
                <w:webHidden/>
              </w:rPr>
            </w:r>
            <w:r w:rsidR="00B15B16">
              <w:rPr>
                <w:webHidden/>
              </w:rPr>
              <w:fldChar w:fldCharType="separate"/>
            </w:r>
            <w:r w:rsidR="00B15B16">
              <w:rPr>
                <w:webHidden/>
              </w:rPr>
              <w:t>25</w:t>
            </w:r>
            <w:r w:rsidR="00B15B16">
              <w:rPr>
                <w:webHidden/>
              </w:rPr>
              <w:fldChar w:fldCharType="end"/>
            </w:r>
          </w:hyperlink>
        </w:p>
        <w:p w14:paraId="1D539614" w14:textId="77777777" w:rsidR="00B15B16" w:rsidRDefault="00971C75">
          <w:pPr>
            <w:pStyle w:val="TOC2"/>
            <w:tabs>
              <w:tab w:val="left" w:pos="880"/>
            </w:tabs>
            <w:rPr>
              <w:rFonts w:asciiTheme="minorHAnsi" w:eastAsiaTheme="minorEastAsia" w:hAnsiTheme="minorHAnsi"/>
              <w:color w:val="auto"/>
              <w:sz w:val="22"/>
            </w:rPr>
          </w:pPr>
          <w:hyperlink w:anchor="_Toc497741796" w:history="1">
            <w:r w:rsidR="00B15B16" w:rsidRPr="006F5B4A">
              <w:rPr>
                <w:rStyle w:val="Hyperlink"/>
              </w:rPr>
              <w:t>2.3</w:t>
            </w:r>
            <w:r w:rsidR="00B15B16">
              <w:rPr>
                <w:rFonts w:asciiTheme="minorHAnsi" w:eastAsiaTheme="minorEastAsia" w:hAnsiTheme="minorHAnsi"/>
                <w:color w:val="auto"/>
                <w:sz w:val="22"/>
              </w:rPr>
              <w:tab/>
            </w:r>
            <w:r w:rsidR="00B15B16" w:rsidRPr="006F5B4A">
              <w:rPr>
                <w:rStyle w:val="Hyperlink"/>
              </w:rPr>
              <w:t>Mandatory training</w:t>
            </w:r>
            <w:r w:rsidR="00B15B16">
              <w:rPr>
                <w:webHidden/>
              </w:rPr>
              <w:tab/>
            </w:r>
            <w:r w:rsidR="00B15B16">
              <w:rPr>
                <w:webHidden/>
              </w:rPr>
              <w:fldChar w:fldCharType="begin"/>
            </w:r>
            <w:r w:rsidR="00B15B16">
              <w:rPr>
                <w:webHidden/>
              </w:rPr>
              <w:instrText xml:space="preserve"> PAGEREF _Toc497741796 \h </w:instrText>
            </w:r>
            <w:r w:rsidR="00B15B16">
              <w:rPr>
                <w:webHidden/>
              </w:rPr>
            </w:r>
            <w:r w:rsidR="00B15B16">
              <w:rPr>
                <w:webHidden/>
              </w:rPr>
              <w:fldChar w:fldCharType="separate"/>
            </w:r>
            <w:r w:rsidR="00B15B16">
              <w:rPr>
                <w:webHidden/>
              </w:rPr>
              <w:t>26</w:t>
            </w:r>
            <w:r w:rsidR="00B15B16">
              <w:rPr>
                <w:webHidden/>
              </w:rPr>
              <w:fldChar w:fldCharType="end"/>
            </w:r>
          </w:hyperlink>
        </w:p>
        <w:p w14:paraId="2AB13E88" w14:textId="77777777" w:rsidR="00B15B16" w:rsidRDefault="00971C75">
          <w:pPr>
            <w:pStyle w:val="TOC2"/>
            <w:tabs>
              <w:tab w:val="left" w:pos="880"/>
            </w:tabs>
            <w:rPr>
              <w:rFonts w:asciiTheme="minorHAnsi" w:eastAsiaTheme="minorEastAsia" w:hAnsiTheme="minorHAnsi"/>
              <w:color w:val="auto"/>
              <w:sz w:val="22"/>
            </w:rPr>
          </w:pPr>
          <w:hyperlink w:anchor="_Toc497741797" w:history="1">
            <w:r w:rsidR="00B15B16" w:rsidRPr="006F5B4A">
              <w:rPr>
                <w:rStyle w:val="Hyperlink"/>
              </w:rPr>
              <w:t>2.4</w:t>
            </w:r>
            <w:r w:rsidR="00B15B16">
              <w:rPr>
                <w:rFonts w:asciiTheme="minorHAnsi" w:eastAsiaTheme="minorEastAsia" w:hAnsiTheme="minorHAnsi"/>
                <w:color w:val="auto"/>
                <w:sz w:val="22"/>
              </w:rPr>
              <w:tab/>
            </w:r>
            <w:r w:rsidR="00B15B16" w:rsidRPr="006F5B4A">
              <w:rPr>
                <w:rStyle w:val="Hyperlink"/>
              </w:rPr>
              <w:t>Continuing professional development</w:t>
            </w:r>
            <w:r w:rsidR="00B15B16">
              <w:rPr>
                <w:webHidden/>
              </w:rPr>
              <w:tab/>
            </w:r>
            <w:r w:rsidR="00B15B16">
              <w:rPr>
                <w:webHidden/>
              </w:rPr>
              <w:fldChar w:fldCharType="begin"/>
            </w:r>
            <w:r w:rsidR="00B15B16">
              <w:rPr>
                <w:webHidden/>
              </w:rPr>
              <w:instrText xml:space="preserve"> PAGEREF _Toc497741797 \h </w:instrText>
            </w:r>
            <w:r w:rsidR="00B15B16">
              <w:rPr>
                <w:webHidden/>
              </w:rPr>
            </w:r>
            <w:r w:rsidR="00B15B16">
              <w:rPr>
                <w:webHidden/>
              </w:rPr>
              <w:fldChar w:fldCharType="separate"/>
            </w:r>
            <w:r w:rsidR="00B15B16">
              <w:rPr>
                <w:webHidden/>
              </w:rPr>
              <w:t>29</w:t>
            </w:r>
            <w:r w:rsidR="00B15B16">
              <w:rPr>
                <w:webHidden/>
              </w:rPr>
              <w:fldChar w:fldCharType="end"/>
            </w:r>
          </w:hyperlink>
        </w:p>
        <w:p w14:paraId="6CB8A2E6"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798" w:history="1">
            <w:r w:rsidR="00B15B16" w:rsidRPr="006F5B4A">
              <w:rPr>
                <w:rStyle w:val="Hyperlink"/>
              </w:rPr>
              <w:t>3.</w:t>
            </w:r>
            <w:r w:rsidR="00B15B16">
              <w:rPr>
                <w:rFonts w:asciiTheme="minorHAnsi" w:eastAsiaTheme="minorEastAsia" w:hAnsiTheme="minorHAnsi"/>
                <w:b w:val="0"/>
                <w:color w:val="auto"/>
                <w:sz w:val="22"/>
                <w:lang w:eastAsia="en-AU"/>
              </w:rPr>
              <w:tab/>
            </w:r>
            <w:r w:rsidR="00B15B16" w:rsidRPr="006F5B4A">
              <w:rPr>
                <w:rStyle w:val="Hyperlink"/>
              </w:rPr>
              <w:t>The behaviour of elected members</w:t>
            </w:r>
            <w:r w:rsidR="00B15B16">
              <w:rPr>
                <w:webHidden/>
              </w:rPr>
              <w:tab/>
            </w:r>
            <w:r w:rsidR="00B15B16">
              <w:rPr>
                <w:webHidden/>
              </w:rPr>
              <w:fldChar w:fldCharType="begin"/>
            </w:r>
            <w:r w:rsidR="00B15B16">
              <w:rPr>
                <w:webHidden/>
              </w:rPr>
              <w:instrText xml:space="preserve"> PAGEREF _Toc497741798 \h </w:instrText>
            </w:r>
            <w:r w:rsidR="00B15B16">
              <w:rPr>
                <w:webHidden/>
              </w:rPr>
            </w:r>
            <w:r w:rsidR="00B15B16">
              <w:rPr>
                <w:webHidden/>
              </w:rPr>
              <w:fldChar w:fldCharType="separate"/>
            </w:r>
            <w:r w:rsidR="00B15B16">
              <w:rPr>
                <w:webHidden/>
              </w:rPr>
              <w:t>31</w:t>
            </w:r>
            <w:r w:rsidR="00B15B16">
              <w:rPr>
                <w:webHidden/>
              </w:rPr>
              <w:fldChar w:fldCharType="end"/>
            </w:r>
          </w:hyperlink>
        </w:p>
        <w:p w14:paraId="024E33F1" w14:textId="77777777" w:rsidR="00B15B16" w:rsidRDefault="00971C75">
          <w:pPr>
            <w:pStyle w:val="TOC2"/>
            <w:tabs>
              <w:tab w:val="left" w:pos="880"/>
            </w:tabs>
            <w:rPr>
              <w:rFonts w:asciiTheme="minorHAnsi" w:eastAsiaTheme="minorEastAsia" w:hAnsiTheme="minorHAnsi"/>
              <w:color w:val="auto"/>
              <w:sz w:val="22"/>
            </w:rPr>
          </w:pPr>
          <w:hyperlink w:anchor="_Toc497741799" w:history="1">
            <w:r w:rsidR="00B15B16" w:rsidRPr="006F5B4A">
              <w:rPr>
                <w:rStyle w:val="Hyperlink"/>
              </w:rPr>
              <w:t>3.1</w:t>
            </w:r>
            <w:r w:rsidR="00B15B16">
              <w:rPr>
                <w:rFonts w:asciiTheme="minorHAnsi" w:eastAsiaTheme="minorEastAsia" w:hAnsiTheme="minorHAnsi"/>
                <w:color w:val="auto"/>
                <w:sz w:val="22"/>
              </w:rPr>
              <w:tab/>
            </w:r>
            <w:r w:rsidR="00B15B16" w:rsidRPr="006F5B4A">
              <w:rPr>
                <w:rStyle w:val="Hyperlink"/>
              </w:rPr>
              <w:t>Current Situation</w:t>
            </w:r>
            <w:r w:rsidR="00B15B16">
              <w:rPr>
                <w:webHidden/>
              </w:rPr>
              <w:tab/>
            </w:r>
            <w:r w:rsidR="00B15B16">
              <w:rPr>
                <w:webHidden/>
              </w:rPr>
              <w:fldChar w:fldCharType="begin"/>
            </w:r>
            <w:r w:rsidR="00B15B16">
              <w:rPr>
                <w:webHidden/>
              </w:rPr>
              <w:instrText xml:space="preserve"> PAGEREF _Toc497741799 \h </w:instrText>
            </w:r>
            <w:r w:rsidR="00B15B16">
              <w:rPr>
                <w:webHidden/>
              </w:rPr>
            </w:r>
            <w:r w:rsidR="00B15B16">
              <w:rPr>
                <w:webHidden/>
              </w:rPr>
              <w:fldChar w:fldCharType="separate"/>
            </w:r>
            <w:r w:rsidR="00B15B16">
              <w:rPr>
                <w:webHidden/>
              </w:rPr>
              <w:t>32</w:t>
            </w:r>
            <w:r w:rsidR="00B15B16">
              <w:rPr>
                <w:webHidden/>
              </w:rPr>
              <w:fldChar w:fldCharType="end"/>
            </w:r>
          </w:hyperlink>
        </w:p>
        <w:p w14:paraId="0D2B44B3" w14:textId="77777777" w:rsidR="00B15B16" w:rsidRDefault="00971C75">
          <w:pPr>
            <w:pStyle w:val="TOC2"/>
            <w:rPr>
              <w:rFonts w:asciiTheme="minorHAnsi" w:eastAsiaTheme="minorEastAsia" w:hAnsiTheme="minorHAnsi"/>
              <w:color w:val="auto"/>
              <w:sz w:val="22"/>
            </w:rPr>
          </w:pPr>
          <w:hyperlink w:anchor="_Toc497741800"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_Toc497741800 \h </w:instrText>
            </w:r>
            <w:r w:rsidR="00B15B16">
              <w:rPr>
                <w:webHidden/>
              </w:rPr>
            </w:r>
            <w:r w:rsidR="00B15B16">
              <w:rPr>
                <w:webHidden/>
              </w:rPr>
              <w:fldChar w:fldCharType="separate"/>
            </w:r>
            <w:r w:rsidR="00B15B16">
              <w:rPr>
                <w:webHidden/>
              </w:rPr>
              <w:t>32</w:t>
            </w:r>
            <w:r w:rsidR="00B15B16">
              <w:rPr>
                <w:webHidden/>
              </w:rPr>
              <w:fldChar w:fldCharType="end"/>
            </w:r>
          </w:hyperlink>
        </w:p>
        <w:p w14:paraId="4FF73795" w14:textId="77777777" w:rsidR="00B15B16" w:rsidRDefault="00971C75">
          <w:pPr>
            <w:pStyle w:val="TOC2"/>
            <w:rPr>
              <w:rFonts w:asciiTheme="minorHAnsi" w:eastAsiaTheme="minorEastAsia" w:hAnsiTheme="minorHAnsi"/>
              <w:color w:val="auto"/>
              <w:sz w:val="22"/>
            </w:rPr>
          </w:pPr>
          <w:hyperlink w:anchor="_Toc497741801" w:history="1">
            <w:r w:rsidR="00B15B16" w:rsidRPr="006F5B4A">
              <w:rPr>
                <w:rStyle w:val="Hyperlink"/>
              </w:rPr>
              <w:t>Code of conduct requirements</w:t>
            </w:r>
            <w:r w:rsidR="00B15B16">
              <w:rPr>
                <w:webHidden/>
              </w:rPr>
              <w:tab/>
            </w:r>
            <w:r w:rsidR="00B15B16">
              <w:rPr>
                <w:webHidden/>
              </w:rPr>
              <w:fldChar w:fldCharType="begin"/>
            </w:r>
            <w:r w:rsidR="00B15B16">
              <w:rPr>
                <w:webHidden/>
              </w:rPr>
              <w:instrText xml:space="preserve"> PAGEREF _Toc497741801 \h </w:instrText>
            </w:r>
            <w:r w:rsidR="00B15B16">
              <w:rPr>
                <w:webHidden/>
              </w:rPr>
            </w:r>
            <w:r w:rsidR="00B15B16">
              <w:rPr>
                <w:webHidden/>
              </w:rPr>
              <w:fldChar w:fldCharType="separate"/>
            </w:r>
            <w:r w:rsidR="00B15B16">
              <w:rPr>
                <w:webHidden/>
              </w:rPr>
              <w:t>35</w:t>
            </w:r>
            <w:r w:rsidR="00B15B16">
              <w:rPr>
                <w:webHidden/>
              </w:rPr>
              <w:fldChar w:fldCharType="end"/>
            </w:r>
          </w:hyperlink>
        </w:p>
        <w:p w14:paraId="5A1C3492" w14:textId="77777777" w:rsidR="00B15B16" w:rsidRDefault="00971C75">
          <w:pPr>
            <w:pStyle w:val="TOC2"/>
            <w:tabs>
              <w:tab w:val="left" w:pos="880"/>
            </w:tabs>
            <w:rPr>
              <w:rFonts w:asciiTheme="minorHAnsi" w:eastAsiaTheme="minorEastAsia" w:hAnsiTheme="minorHAnsi"/>
              <w:color w:val="auto"/>
              <w:sz w:val="22"/>
            </w:rPr>
          </w:pPr>
          <w:hyperlink w:anchor="_Toc497741802" w:history="1">
            <w:r w:rsidR="00B15B16" w:rsidRPr="006F5B4A">
              <w:rPr>
                <w:rStyle w:val="Hyperlink"/>
              </w:rPr>
              <w:t>3.2</w:t>
            </w:r>
            <w:r w:rsidR="00B15B16">
              <w:rPr>
                <w:rFonts w:asciiTheme="minorHAnsi" w:eastAsiaTheme="minorEastAsia" w:hAnsiTheme="minorHAnsi"/>
                <w:color w:val="auto"/>
                <w:sz w:val="22"/>
              </w:rPr>
              <w:tab/>
            </w:r>
            <w:r w:rsidR="00B15B16" w:rsidRPr="006F5B4A">
              <w:rPr>
                <w:rStyle w:val="Hyperlink"/>
              </w:rPr>
              <w:t>Regulation of elected member conduct: rules of conduct</w:t>
            </w:r>
            <w:r w:rsidR="00B15B16">
              <w:rPr>
                <w:webHidden/>
              </w:rPr>
              <w:tab/>
            </w:r>
            <w:r w:rsidR="00B15B16">
              <w:rPr>
                <w:webHidden/>
              </w:rPr>
              <w:fldChar w:fldCharType="begin"/>
            </w:r>
            <w:r w:rsidR="00B15B16">
              <w:rPr>
                <w:webHidden/>
              </w:rPr>
              <w:instrText xml:space="preserve"> PAGEREF _Toc497741802 \h </w:instrText>
            </w:r>
            <w:r w:rsidR="00B15B16">
              <w:rPr>
                <w:webHidden/>
              </w:rPr>
            </w:r>
            <w:r w:rsidR="00B15B16">
              <w:rPr>
                <w:webHidden/>
              </w:rPr>
              <w:fldChar w:fldCharType="separate"/>
            </w:r>
            <w:r w:rsidR="00B15B16">
              <w:rPr>
                <w:webHidden/>
              </w:rPr>
              <w:t>37</w:t>
            </w:r>
            <w:r w:rsidR="00B15B16">
              <w:rPr>
                <w:webHidden/>
              </w:rPr>
              <w:fldChar w:fldCharType="end"/>
            </w:r>
          </w:hyperlink>
        </w:p>
        <w:p w14:paraId="0719B3B6" w14:textId="77777777" w:rsidR="00B15B16" w:rsidRDefault="00971C75">
          <w:pPr>
            <w:pStyle w:val="TOC2"/>
            <w:rPr>
              <w:rFonts w:asciiTheme="minorHAnsi" w:eastAsiaTheme="minorEastAsia" w:hAnsiTheme="minorHAnsi"/>
              <w:color w:val="auto"/>
              <w:sz w:val="22"/>
            </w:rPr>
          </w:pPr>
          <w:hyperlink w:anchor="_Toc497741803"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_Toc497741803 \h </w:instrText>
            </w:r>
            <w:r w:rsidR="00B15B16">
              <w:rPr>
                <w:webHidden/>
              </w:rPr>
            </w:r>
            <w:r w:rsidR="00B15B16">
              <w:rPr>
                <w:webHidden/>
              </w:rPr>
              <w:fldChar w:fldCharType="separate"/>
            </w:r>
            <w:r w:rsidR="00B15B16">
              <w:rPr>
                <w:webHidden/>
              </w:rPr>
              <w:t>37</w:t>
            </w:r>
            <w:r w:rsidR="00B15B16">
              <w:rPr>
                <w:webHidden/>
              </w:rPr>
              <w:fldChar w:fldCharType="end"/>
            </w:r>
          </w:hyperlink>
        </w:p>
        <w:p w14:paraId="00100B76" w14:textId="77777777" w:rsidR="00B15B16" w:rsidRDefault="00971C75">
          <w:pPr>
            <w:pStyle w:val="TOC3"/>
            <w:rPr>
              <w:rFonts w:asciiTheme="minorHAnsi" w:eastAsiaTheme="minorEastAsia" w:hAnsiTheme="minorHAnsi"/>
              <w:color w:val="auto"/>
              <w:sz w:val="22"/>
            </w:rPr>
          </w:pPr>
          <w:hyperlink w:anchor="_Toc497741804" w:history="1">
            <w:r w:rsidR="00B15B16" w:rsidRPr="006F5B4A">
              <w:rPr>
                <w:rStyle w:val="Hyperlink"/>
              </w:rPr>
              <w:t>Option 1: Streamlined Rules of Conduct</w:t>
            </w:r>
            <w:r w:rsidR="00B15B16">
              <w:rPr>
                <w:webHidden/>
              </w:rPr>
              <w:tab/>
            </w:r>
            <w:r w:rsidR="00B15B16">
              <w:rPr>
                <w:webHidden/>
              </w:rPr>
              <w:fldChar w:fldCharType="begin"/>
            </w:r>
            <w:r w:rsidR="00B15B16">
              <w:rPr>
                <w:webHidden/>
              </w:rPr>
              <w:instrText xml:space="preserve"> PAGEREF _Toc497741804 \h </w:instrText>
            </w:r>
            <w:r w:rsidR="00B15B16">
              <w:rPr>
                <w:webHidden/>
              </w:rPr>
            </w:r>
            <w:r w:rsidR="00B15B16">
              <w:rPr>
                <w:webHidden/>
              </w:rPr>
              <w:fldChar w:fldCharType="separate"/>
            </w:r>
            <w:r w:rsidR="00B15B16">
              <w:rPr>
                <w:webHidden/>
              </w:rPr>
              <w:t>40</w:t>
            </w:r>
            <w:r w:rsidR="00B15B16">
              <w:rPr>
                <w:webHidden/>
              </w:rPr>
              <w:fldChar w:fldCharType="end"/>
            </w:r>
          </w:hyperlink>
        </w:p>
        <w:p w14:paraId="02946624" w14:textId="77777777" w:rsidR="00B15B16" w:rsidRDefault="00971C75">
          <w:pPr>
            <w:pStyle w:val="TOC3"/>
            <w:rPr>
              <w:rFonts w:asciiTheme="minorHAnsi" w:eastAsiaTheme="minorEastAsia" w:hAnsiTheme="minorHAnsi"/>
              <w:color w:val="auto"/>
              <w:sz w:val="22"/>
            </w:rPr>
          </w:pPr>
          <w:hyperlink w:anchor="_Toc497741805" w:history="1">
            <w:r w:rsidR="00B15B16" w:rsidRPr="006F5B4A">
              <w:rPr>
                <w:rStyle w:val="Hyperlink"/>
              </w:rPr>
              <w:t>Option 2: Revised disciplinary framework</w:t>
            </w:r>
            <w:r w:rsidR="00B15B16">
              <w:rPr>
                <w:webHidden/>
              </w:rPr>
              <w:tab/>
            </w:r>
            <w:r w:rsidR="00B15B16">
              <w:rPr>
                <w:webHidden/>
              </w:rPr>
              <w:fldChar w:fldCharType="begin"/>
            </w:r>
            <w:r w:rsidR="00B15B16">
              <w:rPr>
                <w:webHidden/>
              </w:rPr>
              <w:instrText xml:space="preserve"> PAGEREF _Toc497741805 \h </w:instrText>
            </w:r>
            <w:r w:rsidR="00B15B16">
              <w:rPr>
                <w:webHidden/>
              </w:rPr>
            </w:r>
            <w:r w:rsidR="00B15B16">
              <w:rPr>
                <w:webHidden/>
              </w:rPr>
              <w:fldChar w:fldCharType="separate"/>
            </w:r>
            <w:r w:rsidR="00B15B16">
              <w:rPr>
                <w:webHidden/>
              </w:rPr>
              <w:t>41</w:t>
            </w:r>
            <w:r w:rsidR="00B15B16">
              <w:rPr>
                <w:webHidden/>
              </w:rPr>
              <w:fldChar w:fldCharType="end"/>
            </w:r>
          </w:hyperlink>
        </w:p>
        <w:p w14:paraId="121F365E" w14:textId="77777777" w:rsidR="00B15B16" w:rsidRDefault="00971C75">
          <w:pPr>
            <w:pStyle w:val="TOC2"/>
            <w:tabs>
              <w:tab w:val="left" w:pos="880"/>
            </w:tabs>
            <w:rPr>
              <w:rFonts w:asciiTheme="minorHAnsi" w:eastAsiaTheme="minorEastAsia" w:hAnsiTheme="minorHAnsi"/>
              <w:color w:val="auto"/>
              <w:sz w:val="22"/>
            </w:rPr>
          </w:pPr>
          <w:hyperlink w:anchor="_Toc497741806" w:history="1">
            <w:r w:rsidR="00B15B16" w:rsidRPr="006F5B4A">
              <w:rPr>
                <w:rStyle w:val="Hyperlink"/>
              </w:rPr>
              <w:t>3.3</w:t>
            </w:r>
            <w:r w:rsidR="00B15B16">
              <w:rPr>
                <w:rFonts w:asciiTheme="minorHAnsi" w:eastAsiaTheme="minorEastAsia" w:hAnsiTheme="minorHAnsi"/>
                <w:color w:val="auto"/>
                <w:sz w:val="22"/>
              </w:rPr>
              <w:tab/>
            </w:r>
            <w:r w:rsidR="00B15B16" w:rsidRPr="006F5B4A">
              <w:rPr>
                <w:rStyle w:val="Hyperlink"/>
              </w:rPr>
              <w:t>Other matters recommended in the 2015-16 review</w:t>
            </w:r>
            <w:r w:rsidR="00B15B16">
              <w:rPr>
                <w:webHidden/>
              </w:rPr>
              <w:tab/>
            </w:r>
            <w:r w:rsidR="00B15B16">
              <w:rPr>
                <w:webHidden/>
              </w:rPr>
              <w:fldChar w:fldCharType="begin"/>
            </w:r>
            <w:r w:rsidR="00B15B16">
              <w:rPr>
                <w:webHidden/>
              </w:rPr>
              <w:instrText xml:space="preserve"> PAGEREF _Toc497741806 \h </w:instrText>
            </w:r>
            <w:r w:rsidR="00B15B16">
              <w:rPr>
                <w:webHidden/>
              </w:rPr>
            </w:r>
            <w:r w:rsidR="00B15B16">
              <w:rPr>
                <w:webHidden/>
              </w:rPr>
              <w:fldChar w:fldCharType="separate"/>
            </w:r>
            <w:r w:rsidR="00B15B16">
              <w:rPr>
                <w:webHidden/>
              </w:rPr>
              <w:t>43</w:t>
            </w:r>
            <w:r w:rsidR="00B15B16">
              <w:rPr>
                <w:webHidden/>
              </w:rPr>
              <w:fldChar w:fldCharType="end"/>
            </w:r>
          </w:hyperlink>
        </w:p>
        <w:p w14:paraId="527579A0" w14:textId="77777777" w:rsidR="00B15B16" w:rsidRDefault="00971C75">
          <w:pPr>
            <w:pStyle w:val="TOC3"/>
            <w:rPr>
              <w:rFonts w:asciiTheme="minorHAnsi" w:eastAsiaTheme="minorEastAsia" w:hAnsiTheme="minorHAnsi"/>
              <w:color w:val="auto"/>
              <w:sz w:val="22"/>
            </w:rPr>
          </w:pPr>
          <w:hyperlink w:anchor="_Toc497741807" w:history="1">
            <w:r w:rsidR="00B15B16" w:rsidRPr="006F5B4A">
              <w:rPr>
                <w:rStyle w:val="Hyperlink"/>
              </w:rPr>
              <w:t>Application of Rules of Conduct</w:t>
            </w:r>
            <w:r w:rsidR="00B15B16">
              <w:rPr>
                <w:webHidden/>
              </w:rPr>
              <w:tab/>
            </w:r>
            <w:r w:rsidR="00B15B16">
              <w:rPr>
                <w:webHidden/>
              </w:rPr>
              <w:fldChar w:fldCharType="begin"/>
            </w:r>
            <w:r w:rsidR="00B15B16">
              <w:rPr>
                <w:webHidden/>
              </w:rPr>
              <w:instrText xml:space="preserve"> PAGEREF _Toc497741807 \h </w:instrText>
            </w:r>
            <w:r w:rsidR="00B15B16">
              <w:rPr>
                <w:webHidden/>
              </w:rPr>
            </w:r>
            <w:r w:rsidR="00B15B16">
              <w:rPr>
                <w:webHidden/>
              </w:rPr>
              <w:fldChar w:fldCharType="separate"/>
            </w:r>
            <w:r w:rsidR="00B15B16">
              <w:rPr>
                <w:webHidden/>
              </w:rPr>
              <w:t>43</w:t>
            </w:r>
            <w:r w:rsidR="00B15B16">
              <w:rPr>
                <w:webHidden/>
              </w:rPr>
              <w:fldChar w:fldCharType="end"/>
            </w:r>
          </w:hyperlink>
        </w:p>
        <w:p w14:paraId="7FC7CFB9" w14:textId="77777777" w:rsidR="00B15B16" w:rsidRDefault="00971C75">
          <w:pPr>
            <w:pStyle w:val="TOC3"/>
            <w:rPr>
              <w:rFonts w:asciiTheme="minorHAnsi" w:eastAsiaTheme="minorEastAsia" w:hAnsiTheme="minorHAnsi"/>
              <w:color w:val="auto"/>
              <w:sz w:val="22"/>
            </w:rPr>
          </w:pPr>
          <w:hyperlink w:anchor="_Toc497741808" w:history="1">
            <w:r w:rsidR="00B15B16" w:rsidRPr="006F5B4A">
              <w:rPr>
                <w:rStyle w:val="Hyperlink"/>
              </w:rPr>
              <w:t>Offence provisions</w:t>
            </w:r>
            <w:r w:rsidR="00B15B16">
              <w:rPr>
                <w:webHidden/>
              </w:rPr>
              <w:tab/>
            </w:r>
            <w:r w:rsidR="00B15B16">
              <w:rPr>
                <w:webHidden/>
              </w:rPr>
              <w:fldChar w:fldCharType="begin"/>
            </w:r>
            <w:r w:rsidR="00B15B16">
              <w:rPr>
                <w:webHidden/>
              </w:rPr>
              <w:instrText xml:space="preserve"> PAGEREF _Toc497741808 \h </w:instrText>
            </w:r>
            <w:r w:rsidR="00B15B16">
              <w:rPr>
                <w:webHidden/>
              </w:rPr>
            </w:r>
            <w:r w:rsidR="00B15B16">
              <w:rPr>
                <w:webHidden/>
              </w:rPr>
              <w:fldChar w:fldCharType="separate"/>
            </w:r>
            <w:r w:rsidR="00B15B16">
              <w:rPr>
                <w:webHidden/>
              </w:rPr>
              <w:t>43</w:t>
            </w:r>
            <w:r w:rsidR="00B15B16">
              <w:rPr>
                <w:webHidden/>
              </w:rPr>
              <w:fldChar w:fldCharType="end"/>
            </w:r>
          </w:hyperlink>
        </w:p>
        <w:p w14:paraId="2F78E9B7" w14:textId="77777777" w:rsidR="00B15B16" w:rsidRDefault="00971C75">
          <w:pPr>
            <w:pStyle w:val="TOC3"/>
            <w:rPr>
              <w:rFonts w:asciiTheme="minorHAnsi" w:eastAsiaTheme="minorEastAsia" w:hAnsiTheme="minorHAnsi"/>
              <w:color w:val="auto"/>
              <w:sz w:val="22"/>
            </w:rPr>
          </w:pPr>
          <w:hyperlink w:anchor="_Toc497741809" w:history="1">
            <w:r w:rsidR="00B15B16" w:rsidRPr="006F5B4A">
              <w:rPr>
                <w:rStyle w:val="Hyperlink"/>
              </w:rPr>
              <w:t>Confidentiality</w:t>
            </w:r>
            <w:r w:rsidR="00B15B16">
              <w:rPr>
                <w:webHidden/>
              </w:rPr>
              <w:tab/>
            </w:r>
            <w:r w:rsidR="00B15B16">
              <w:rPr>
                <w:webHidden/>
              </w:rPr>
              <w:fldChar w:fldCharType="begin"/>
            </w:r>
            <w:r w:rsidR="00B15B16">
              <w:rPr>
                <w:webHidden/>
              </w:rPr>
              <w:instrText xml:space="preserve"> PAGEREF _Toc497741809 \h </w:instrText>
            </w:r>
            <w:r w:rsidR="00B15B16">
              <w:rPr>
                <w:webHidden/>
              </w:rPr>
            </w:r>
            <w:r w:rsidR="00B15B16">
              <w:rPr>
                <w:webHidden/>
              </w:rPr>
              <w:fldChar w:fldCharType="separate"/>
            </w:r>
            <w:r w:rsidR="00B15B16">
              <w:rPr>
                <w:webHidden/>
              </w:rPr>
              <w:t>43</w:t>
            </w:r>
            <w:r w:rsidR="00B15B16">
              <w:rPr>
                <w:webHidden/>
              </w:rPr>
              <w:fldChar w:fldCharType="end"/>
            </w:r>
          </w:hyperlink>
        </w:p>
        <w:p w14:paraId="4CAACE8C" w14:textId="77777777" w:rsidR="00B15B16" w:rsidRDefault="00971C75">
          <w:pPr>
            <w:pStyle w:val="TOC2"/>
            <w:tabs>
              <w:tab w:val="left" w:pos="880"/>
            </w:tabs>
            <w:rPr>
              <w:rFonts w:asciiTheme="minorHAnsi" w:eastAsiaTheme="minorEastAsia" w:hAnsiTheme="minorHAnsi"/>
              <w:color w:val="auto"/>
              <w:sz w:val="22"/>
            </w:rPr>
          </w:pPr>
          <w:hyperlink w:anchor="_Toc497741810" w:history="1">
            <w:r w:rsidR="00B15B16" w:rsidRPr="006F5B4A">
              <w:rPr>
                <w:rStyle w:val="Hyperlink"/>
              </w:rPr>
              <w:t>3.4</w:t>
            </w:r>
            <w:r w:rsidR="00B15B16">
              <w:rPr>
                <w:rFonts w:asciiTheme="minorHAnsi" w:eastAsiaTheme="minorEastAsia" w:hAnsiTheme="minorHAnsi"/>
                <w:color w:val="auto"/>
                <w:sz w:val="22"/>
              </w:rPr>
              <w:tab/>
            </w:r>
            <w:r w:rsidR="00B15B16" w:rsidRPr="006F5B4A">
              <w:rPr>
                <w:rStyle w:val="Hyperlink"/>
              </w:rPr>
              <w:t>Reforms to the Local Government Standards Panel and the means to review alleged breaches of the Rules of Conduct Regulations</w:t>
            </w:r>
            <w:r w:rsidR="00B15B16">
              <w:rPr>
                <w:webHidden/>
              </w:rPr>
              <w:tab/>
            </w:r>
            <w:r w:rsidR="00B15B16">
              <w:rPr>
                <w:webHidden/>
              </w:rPr>
              <w:fldChar w:fldCharType="begin"/>
            </w:r>
            <w:r w:rsidR="00B15B16">
              <w:rPr>
                <w:webHidden/>
              </w:rPr>
              <w:instrText xml:space="preserve"> PAGEREF _Toc497741810 \h </w:instrText>
            </w:r>
            <w:r w:rsidR="00B15B16">
              <w:rPr>
                <w:webHidden/>
              </w:rPr>
            </w:r>
            <w:r w:rsidR="00B15B16">
              <w:rPr>
                <w:webHidden/>
              </w:rPr>
              <w:fldChar w:fldCharType="separate"/>
            </w:r>
            <w:r w:rsidR="00B15B16">
              <w:rPr>
                <w:webHidden/>
              </w:rPr>
              <w:t>44</w:t>
            </w:r>
            <w:r w:rsidR="00B15B16">
              <w:rPr>
                <w:webHidden/>
              </w:rPr>
              <w:fldChar w:fldCharType="end"/>
            </w:r>
          </w:hyperlink>
        </w:p>
        <w:p w14:paraId="4FC2AC1F" w14:textId="77777777" w:rsidR="00B15B16" w:rsidRDefault="00971C75">
          <w:pPr>
            <w:pStyle w:val="TOC2"/>
            <w:rPr>
              <w:rFonts w:asciiTheme="minorHAnsi" w:eastAsiaTheme="minorEastAsia" w:hAnsiTheme="minorHAnsi"/>
              <w:color w:val="auto"/>
              <w:sz w:val="22"/>
            </w:rPr>
          </w:pPr>
          <w:hyperlink w:anchor="_Toc497741811"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_Toc497741811 \h </w:instrText>
            </w:r>
            <w:r w:rsidR="00B15B16">
              <w:rPr>
                <w:webHidden/>
              </w:rPr>
            </w:r>
            <w:r w:rsidR="00B15B16">
              <w:rPr>
                <w:webHidden/>
              </w:rPr>
              <w:fldChar w:fldCharType="separate"/>
            </w:r>
            <w:r w:rsidR="00B15B16">
              <w:rPr>
                <w:webHidden/>
              </w:rPr>
              <w:t>45</w:t>
            </w:r>
            <w:r w:rsidR="00B15B16">
              <w:rPr>
                <w:webHidden/>
              </w:rPr>
              <w:fldChar w:fldCharType="end"/>
            </w:r>
          </w:hyperlink>
        </w:p>
        <w:p w14:paraId="7A52043D" w14:textId="77777777" w:rsidR="00B15B16" w:rsidRDefault="00971C75">
          <w:pPr>
            <w:pStyle w:val="TOC3"/>
            <w:rPr>
              <w:rFonts w:asciiTheme="minorHAnsi" w:eastAsiaTheme="minorEastAsia" w:hAnsiTheme="minorHAnsi"/>
              <w:color w:val="auto"/>
              <w:sz w:val="22"/>
            </w:rPr>
          </w:pPr>
          <w:hyperlink w:anchor="_Toc497741812" w:history="1">
            <w:r w:rsidR="00B15B16" w:rsidRPr="006F5B4A">
              <w:rPr>
                <w:rStyle w:val="Hyperlink"/>
              </w:rPr>
              <w:t>Option 1: Status Quo</w:t>
            </w:r>
            <w:r w:rsidR="00B15B16">
              <w:rPr>
                <w:webHidden/>
              </w:rPr>
              <w:tab/>
            </w:r>
            <w:r w:rsidR="00B15B16">
              <w:rPr>
                <w:webHidden/>
              </w:rPr>
              <w:fldChar w:fldCharType="begin"/>
            </w:r>
            <w:r w:rsidR="00B15B16">
              <w:rPr>
                <w:webHidden/>
              </w:rPr>
              <w:instrText xml:space="preserve"> PAGEREF _Toc497741812 \h </w:instrText>
            </w:r>
            <w:r w:rsidR="00B15B16">
              <w:rPr>
                <w:webHidden/>
              </w:rPr>
            </w:r>
            <w:r w:rsidR="00B15B16">
              <w:rPr>
                <w:webHidden/>
              </w:rPr>
              <w:fldChar w:fldCharType="separate"/>
            </w:r>
            <w:r w:rsidR="00B15B16">
              <w:rPr>
                <w:webHidden/>
              </w:rPr>
              <w:t>46</w:t>
            </w:r>
            <w:r w:rsidR="00B15B16">
              <w:rPr>
                <w:webHidden/>
              </w:rPr>
              <w:fldChar w:fldCharType="end"/>
            </w:r>
          </w:hyperlink>
        </w:p>
        <w:p w14:paraId="37799657" w14:textId="77777777" w:rsidR="00B15B16" w:rsidRDefault="00971C75">
          <w:pPr>
            <w:pStyle w:val="TOC3"/>
            <w:rPr>
              <w:rFonts w:asciiTheme="minorHAnsi" w:eastAsiaTheme="minorEastAsia" w:hAnsiTheme="minorHAnsi"/>
              <w:color w:val="auto"/>
              <w:sz w:val="22"/>
            </w:rPr>
          </w:pPr>
          <w:hyperlink w:anchor="_Toc497741813" w:history="1">
            <w:r w:rsidR="00B15B16" w:rsidRPr="006F5B4A">
              <w:rPr>
                <w:rStyle w:val="Hyperlink"/>
              </w:rPr>
              <w:t>Option 2: Sector Conduct Review Committees</w:t>
            </w:r>
            <w:r w:rsidR="00B15B16">
              <w:rPr>
                <w:webHidden/>
              </w:rPr>
              <w:tab/>
            </w:r>
            <w:r w:rsidR="00B15B16">
              <w:rPr>
                <w:webHidden/>
              </w:rPr>
              <w:fldChar w:fldCharType="begin"/>
            </w:r>
            <w:r w:rsidR="00B15B16">
              <w:rPr>
                <w:webHidden/>
              </w:rPr>
              <w:instrText xml:space="preserve"> PAGEREF _Toc497741813 \h </w:instrText>
            </w:r>
            <w:r w:rsidR="00B15B16">
              <w:rPr>
                <w:webHidden/>
              </w:rPr>
            </w:r>
            <w:r w:rsidR="00B15B16">
              <w:rPr>
                <w:webHidden/>
              </w:rPr>
              <w:fldChar w:fldCharType="separate"/>
            </w:r>
            <w:r w:rsidR="00B15B16">
              <w:rPr>
                <w:webHidden/>
              </w:rPr>
              <w:t>47</w:t>
            </w:r>
            <w:r w:rsidR="00B15B16">
              <w:rPr>
                <w:webHidden/>
              </w:rPr>
              <w:fldChar w:fldCharType="end"/>
            </w:r>
          </w:hyperlink>
        </w:p>
        <w:p w14:paraId="4E895CF3" w14:textId="77777777" w:rsidR="00B15B16" w:rsidRDefault="00971C75">
          <w:pPr>
            <w:pStyle w:val="TOC2"/>
            <w:tabs>
              <w:tab w:val="left" w:pos="880"/>
            </w:tabs>
            <w:rPr>
              <w:rFonts w:asciiTheme="minorHAnsi" w:eastAsiaTheme="minorEastAsia" w:hAnsiTheme="minorHAnsi"/>
              <w:color w:val="auto"/>
              <w:sz w:val="22"/>
            </w:rPr>
          </w:pPr>
          <w:hyperlink w:anchor="_Toc497741814" w:history="1">
            <w:r w:rsidR="00B15B16" w:rsidRPr="006F5B4A">
              <w:rPr>
                <w:rStyle w:val="Hyperlink"/>
              </w:rPr>
              <w:t>3.5</w:t>
            </w:r>
            <w:r w:rsidR="00B15B16">
              <w:rPr>
                <w:rFonts w:asciiTheme="minorHAnsi" w:eastAsiaTheme="minorEastAsia" w:hAnsiTheme="minorHAnsi"/>
                <w:color w:val="auto"/>
                <w:sz w:val="22"/>
              </w:rPr>
              <w:tab/>
            </w:r>
            <w:r w:rsidR="00B15B16" w:rsidRPr="006F5B4A">
              <w:rPr>
                <w:rStyle w:val="Hyperlink"/>
              </w:rPr>
              <w:t>Sanctions and other Standard Panel matters</w:t>
            </w:r>
            <w:r w:rsidR="00B15B16">
              <w:rPr>
                <w:webHidden/>
              </w:rPr>
              <w:tab/>
            </w:r>
            <w:r w:rsidR="00B15B16">
              <w:rPr>
                <w:webHidden/>
              </w:rPr>
              <w:fldChar w:fldCharType="begin"/>
            </w:r>
            <w:r w:rsidR="00B15B16">
              <w:rPr>
                <w:webHidden/>
              </w:rPr>
              <w:instrText xml:space="preserve"> PAGEREF _Toc497741814 \h </w:instrText>
            </w:r>
            <w:r w:rsidR="00B15B16">
              <w:rPr>
                <w:webHidden/>
              </w:rPr>
            </w:r>
            <w:r w:rsidR="00B15B16">
              <w:rPr>
                <w:webHidden/>
              </w:rPr>
              <w:fldChar w:fldCharType="separate"/>
            </w:r>
            <w:r w:rsidR="00B15B16">
              <w:rPr>
                <w:webHidden/>
              </w:rPr>
              <w:t>49</w:t>
            </w:r>
            <w:r w:rsidR="00B15B16">
              <w:rPr>
                <w:webHidden/>
              </w:rPr>
              <w:fldChar w:fldCharType="end"/>
            </w:r>
          </w:hyperlink>
        </w:p>
        <w:p w14:paraId="06BFABD9" w14:textId="77777777" w:rsidR="00B15B16" w:rsidRDefault="00971C75">
          <w:pPr>
            <w:pStyle w:val="TOC2"/>
            <w:rPr>
              <w:rFonts w:asciiTheme="minorHAnsi" w:eastAsiaTheme="minorEastAsia" w:hAnsiTheme="minorHAnsi"/>
              <w:color w:val="auto"/>
              <w:sz w:val="22"/>
            </w:rPr>
          </w:pPr>
          <w:hyperlink w:anchor="_Toc497741815"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_Toc497741815 \h </w:instrText>
            </w:r>
            <w:r w:rsidR="00B15B16">
              <w:rPr>
                <w:webHidden/>
              </w:rPr>
            </w:r>
            <w:r w:rsidR="00B15B16">
              <w:rPr>
                <w:webHidden/>
              </w:rPr>
              <w:fldChar w:fldCharType="separate"/>
            </w:r>
            <w:r w:rsidR="00B15B16">
              <w:rPr>
                <w:webHidden/>
              </w:rPr>
              <w:t>49</w:t>
            </w:r>
            <w:r w:rsidR="00B15B16">
              <w:rPr>
                <w:webHidden/>
              </w:rPr>
              <w:fldChar w:fldCharType="end"/>
            </w:r>
          </w:hyperlink>
        </w:p>
        <w:p w14:paraId="023067F2" w14:textId="77777777" w:rsidR="00B15B16" w:rsidRDefault="00971C75">
          <w:pPr>
            <w:pStyle w:val="TOC3"/>
            <w:rPr>
              <w:rFonts w:asciiTheme="minorHAnsi" w:eastAsiaTheme="minorEastAsia" w:hAnsiTheme="minorHAnsi"/>
              <w:color w:val="auto"/>
              <w:sz w:val="22"/>
            </w:rPr>
          </w:pPr>
          <w:hyperlink w:anchor="_Toc497741816" w:history="1">
            <w:r w:rsidR="00B15B16" w:rsidRPr="006F5B4A">
              <w:rPr>
                <w:rStyle w:val="Hyperlink"/>
              </w:rPr>
              <w:t>Mediation</w:t>
            </w:r>
            <w:r w:rsidR="00B15B16">
              <w:rPr>
                <w:webHidden/>
              </w:rPr>
              <w:tab/>
            </w:r>
            <w:r w:rsidR="00B15B16">
              <w:rPr>
                <w:webHidden/>
              </w:rPr>
              <w:fldChar w:fldCharType="begin"/>
            </w:r>
            <w:r w:rsidR="00B15B16">
              <w:rPr>
                <w:webHidden/>
              </w:rPr>
              <w:instrText xml:space="preserve"> PAGEREF _Toc497741816 \h </w:instrText>
            </w:r>
            <w:r w:rsidR="00B15B16">
              <w:rPr>
                <w:webHidden/>
              </w:rPr>
            </w:r>
            <w:r w:rsidR="00B15B16">
              <w:rPr>
                <w:webHidden/>
              </w:rPr>
              <w:fldChar w:fldCharType="separate"/>
            </w:r>
            <w:r w:rsidR="00B15B16">
              <w:rPr>
                <w:webHidden/>
              </w:rPr>
              <w:t>51</w:t>
            </w:r>
            <w:r w:rsidR="00B15B16">
              <w:rPr>
                <w:webHidden/>
              </w:rPr>
              <w:fldChar w:fldCharType="end"/>
            </w:r>
          </w:hyperlink>
        </w:p>
        <w:p w14:paraId="161066AA" w14:textId="77777777" w:rsidR="00B15B16" w:rsidRDefault="00971C75">
          <w:pPr>
            <w:pStyle w:val="TOC3"/>
            <w:rPr>
              <w:rFonts w:asciiTheme="minorHAnsi" w:eastAsiaTheme="minorEastAsia" w:hAnsiTheme="minorHAnsi"/>
              <w:color w:val="auto"/>
              <w:sz w:val="22"/>
            </w:rPr>
          </w:pPr>
          <w:hyperlink w:anchor="_Toc497741817" w:history="1">
            <w:r w:rsidR="00B15B16" w:rsidRPr="006F5B4A">
              <w:rPr>
                <w:rStyle w:val="Hyperlink"/>
              </w:rPr>
              <w:t>Prohibition from attending council meetings</w:t>
            </w:r>
            <w:r w:rsidR="00B15B16">
              <w:rPr>
                <w:webHidden/>
              </w:rPr>
              <w:tab/>
            </w:r>
            <w:r w:rsidR="00B15B16">
              <w:rPr>
                <w:webHidden/>
              </w:rPr>
              <w:fldChar w:fldCharType="begin"/>
            </w:r>
            <w:r w:rsidR="00B15B16">
              <w:rPr>
                <w:webHidden/>
              </w:rPr>
              <w:instrText xml:space="preserve"> PAGEREF _Toc497741817 \h </w:instrText>
            </w:r>
            <w:r w:rsidR="00B15B16">
              <w:rPr>
                <w:webHidden/>
              </w:rPr>
            </w:r>
            <w:r w:rsidR="00B15B16">
              <w:rPr>
                <w:webHidden/>
              </w:rPr>
              <w:fldChar w:fldCharType="separate"/>
            </w:r>
            <w:r w:rsidR="00B15B16">
              <w:rPr>
                <w:webHidden/>
              </w:rPr>
              <w:t>51</w:t>
            </w:r>
            <w:r w:rsidR="00B15B16">
              <w:rPr>
                <w:webHidden/>
              </w:rPr>
              <w:fldChar w:fldCharType="end"/>
            </w:r>
          </w:hyperlink>
        </w:p>
        <w:p w14:paraId="0E3F40A2" w14:textId="77777777" w:rsidR="00B15B16" w:rsidRDefault="00971C75">
          <w:pPr>
            <w:pStyle w:val="TOC3"/>
            <w:rPr>
              <w:rFonts w:asciiTheme="minorHAnsi" w:eastAsiaTheme="minorEastAsia" w:hAnsiTheme="minorHAnsi"/>
              <w:color w:val="auto"/>
              <w:sz w:val="22"/>
            </w:rPr>
          </w:pPr>
          <w:hyperlink w:anchor="_Toc497741818" w:history="1">
            <w:r w:rsidR="00B15B16" w:rsidRPr="006F5B4A">
              <w:rPr>
                <w:rStyle w:val="Hyperlink"/>
              </w:rPr>
              <w:t>Compensation to the local government</w:t>
            </w:r>
            <w:r w:rsidR="00B15B16">
              <w:rPr>
                <w:webHidden/>
              </w:rPr>
              <w:tab/>
            </w:r>
            <w:r w:rsidR="00B15B16">
              <w:rPr>
                <w:webHidden/>
              </w:rPr>
              <w:fldChar w:fldCharType="begin"/>
            </w:r>
            <w:r w:rsidR="00B15B16">
              <w:rPr>
                <w:webHidden/>
              </w:rPr>
              <w:instrText xml:space="preserve"> PAGEREF _Toc497741818 \h </w:instrText>
            </w:r>
            <w:r w:rsidR="00B15B16">
              <w:rPr>
                <w:webHidden/>
              </w:rPr>
            </w:r>
            <w:r w:rsidR="00B15B16">
              <w:rPr>
                <w:webHidden/>
              </w:rPr>
              <w:fldChar w:fldCharType="separate"/>
            </w:r>
            <w:r w:rsidR="00B15B16">
              <w:rPr>
                <w:webHidden/>
              </w:rPr>
              <w:t>52</w:t>
            </w:r>
            <w:r w:rsidR="00B15B16">
              <w:rPr>
                <w:webHidden/>
              </w:rPr>
              <w:fldChar w:fldCharType="end"/>
            </w:r>
          </w:hyperlink>
        </w:p>
        <w:p w14:paraId="2B9F4C29" w14:textId="77777777" w:rsidR="00B15B16" w:rsidRDefault="00971C75">
          <w:pPr>
            <w:pStyle w:val="TOC3"/>
            <w:rPr>
              <w:rFonts w:asciiTheme="minorHAnsi" w:eastAsiaTheme="minorEastAsia" w:hAnsiTheme="minorHAnsi"/>
              <w:color w:val="auto"/>
              <w:sz w:val="22"/>
            </w:rPr>
          </w:pPr>
          <w:hyperlink w:anchor="_Toc497741819" w:history="1">
            <w:r w:rsidR="00B15B16" w:rsidRPr="006F5B4A">
              <w:rPr>
                <w:rStyle w:val="Hyperlink"/>
              </w:rPr>
              <w:t>Complaint administrative fee</w:t>
            </w:r>
            <w:r w:rsidR="00B15B16">
              <w:rPr>
                <w:webHidden/>
              </w:rPr>
              <w:tab/>
            </w:r>
            <w:r w:rsidR="00B15B16">
              <w:rPr>
                <w:webHidden/>
              </w:rPr>
              <w:fldChar w:fldCharType="begin"/>
            </w:r>
            <w:r w:rsidR="00B15B16">
              <w:rPr>
                <w:webHidden/>
              </w:rPr>
              <w:instrText xml:space="preserve"> PAGEREF _Toc497741819 \h </w:instrText>
            </w:r>
            <w:r w:rsidR="00B15B16">
              <w:rPr>
                <w:webHidden/>
              </w:rPr>
            </w:r>
            <w:r w:rsidR="00B15B16">
              <w:rPr>
                <w:webHidden/>
              </w:rPr>
              <w:fldChar w:fldCharType="separate"/>
            </w:r>
            <w:r w:rsidR="00B15B16">
              <w:rPr>
                <w:webHidden/>
              </w:rPr>
              <w:t>52</w:t>
            </w:r>
            <w:r w:rsidR="00B15B16">
              <w:rPr>
                <w:webHidden/>
              </w:rPr>
              <w:fldChar w:fldCharType="end"/>
            </w:r>
          </w:hyperlink>
        </w:p>
        <w:p w14:paraId="19399B69" w14:textId="77777777" w:rsidR="00B15B16" w:rsidRDefault="00971C75">
          <w:pPr>
            <w:pStyle w:val="TOC3"/>
            <w:rPr>
              <w:rFonts w:asciiTheme="minorHAnsi" w:eastAsiaTheme="minorEastAsia" w:hAnsiTheme="minorHAnsi"/>
              <w:color w:val="auto"/>
              <w:sz w:val="22"/>
            </w:rPr>
          </w:pPr>
          <w:hyperlink w:anchor="_Toc497741820" w:history="1">
            <w:r w:rsidR="00B15B16" w:rsidRPr="006F5B4A">
              <w:rPr>
                <w:rStyle w:val="Hyperlink"/>
              </w:rPr>
              <w:t>Cost recovery to the local government</w:t>
            </w:r>
            <w:r w:rsidR="00B15B16">
              <w:rPr>
                <w:webHidden/>
              </w:rPr>
              <w:tab/>
            </w:r>
            <w:r w:rsidR="00B15B16">
              <w:rPr>
                <w:webHidden/>
              </w:rPr>
              <w:fldChar w:fldCharType="begin"/>
            </w:r>
            <w:r w:rsidR="00B15B16">
              <w:rPr>
                <w:webHidden/>
              </w:rPr>
              <w:instrText xml:space="preserve"> PAGEREF _Toc497741820 \h </w:instrText>
            </w:r>
            <w:r w:rsidR="00B15B16">
              <w:rPr>
                <w:webHidden/>
              </w:rPr>
            </w:r>
            <w:r w:rsidR="00B15B16">
              <w:rPr>
                <w:webHidden/>
              </w:rPr>
              <w:fldChar w:fldCharType="separate"/>
            </w:r>
            <w:r w:rsidR="00B15B16">
              <w:rPr>
                <w:webHidden/>
              </w:rPr>
              <w:t>53</w:t>
            </w:r>
            <w:r w:rsidR="00B15B16">
              <w:rPr>
                <w:webHidden/>
              </w:rPr>
              <w:fldChar w:fldCharType="end"/>
            </w:r>
          </w:hyperlink>
        </w:p>
        <w:p w14:paraId="520BCECE" w14:textId="77777777" w:rsidR="00B15B16" w:rsidRDefault="00971C75">
          <w:pPr>
            <w:pStyle w:val="TOC3"/>
            <w:rPr>
              <w:rFonts w:asciiTheme="minorHAnsi" w:eastAsiaTheme="minorEastAsia" w:hAnsiTheme="minorHAnsi"/>
              <w:color w:val="auto"/>
              <w:sz w:val="22"/>
            </w:rPr>
          </w:pPr>
          <w:hyperlink w:anchor="_Toc497741821" w:history="1">
            <w:r w:rsidR="00B15B16" w:rsidRPr="006F5B4A">
              <w:rPr>
                <w:rStyle w:val="Hyperlink"/>
              </w:rPr>
              <w:t>Publish complaints in the annual report</w:t>
            </w:r>
            <w:r w:rsidR="00B15B16">
              <w:rPr>
                <w:webHidden/>
              </w:rPr>
              <w:tab/>
            </w:r>
            <w:r w:rsidR="00B15B16">
              <w:rPr>
                <w:webHidden/>
              </w:rPr>
              <w:fldChar w:fldCharType="begin"/>
            </w:r>
            <w:r w:rsidR="00B15B16">
              <w:rPr>
                <w:webHidden/>
              </w:rPr>
              <w:instrText xml:space="preserve"> PAGEREF _Toc497741821 \h </w:instrText>
            </w:r>
            <w:r w:rsidR="00B15B16">
              <w:rPr>
                <w:webHidden/>
              </w:rPr>
            </w:r>
            <w:r w:rsidR="00B15B16">
              <w:rPr>
                <w:webHidden/>
              </w:rPr>
              <w:fldChar w:fldCharType="separate"/>
            </w:r>
            <w:r w:rsidR="00B15B16">
              <w:rPr>
                <w:webHidden/>
              </w:rPr>
              <w:t>53</w:t>
            </w:r>
            <w:r w:rsidR="00B15B16">
              <w:rPr>
                <w:webHidden/>
              </w:rPr>
              <w:fldChar w:fldCharType="end"/>
            </w:r>
          </w:hyperlink>
        </w:p>
        <w:p w14:paraId="2A098F80" w14:textId="77777777" w:rsidR="00B15B16" w:rsidRDefault="00971C75">
          <w:pPr>
            <w:pStyle w:val="TOC3"/>
            <w:rPr>
              <w:rFonts w:asciiTheme="minorHAnsi" w:eastAsiaTheme="minorEastAsia" w:hAnsiTheme="minorHAnsi"/>
              <w:color w:val="auto"/>
              <w:sz w:val="22"/>
            </w:rPr>
          </w:pPr>
          <w:hyperlink w:anchor="_Toc497741822" w:history="1">
            <w:r w:rsidR="00B15B16" w:rsidRPr="006F5B4A">
              <w:rPr>
                <w:rStyle w:val="Hyperlink"/>
              </w:rPr>
              <w:t>Table decision report at Ordinary Council Meeting</w:t>
            </w:r>
            <w:r w:rsidR="00B15B16">
              <w:rPr>
                <w:webHidden/>
              </w:rPr>
              <w:tab/>
            </w:r>
            <w:r w:rsidR="00B15B16">
              <w:rPr>
                <w:webHidden/>
              </w:rPr>
              <w:fldChar w:fldCharType="begin"/>
            </w:r>
            <w:r w:rsidR="00B15B16">
              <w:rPr>
                <w:webHidden/>
              </w:rPr>
              <w:instrText xml:space="preserve"> PAGEREF _Toc497741822 \h </w:instrText>
            </w:r>
            <w:r w:rsidR="00B15B16">
              <w:rPr>
                <w:webHidden/>
              </w:rPr>
            </w:r>
            <w:r w:rsidR="00B15B16">
              <w:rPr>
                <w:webHidden/>
              </w:rPr>
              <w:fldChar w:fldCharType="separate"/>
            </w:r>
            <w:r w:rsidR="00B15B16">
              <w:rPr>
                <w:webHidden/>
              </w:rPr>
              <w:t>54</w:t>
            </w:r>
            <w:r w:rsidR="00B15B16">
              <w:rPr>
                <w:webHidden/>
              </w:rPr>
              <w:fldChar w:fldCharType="end"/>
            </w:r>
          </w:hyperlink>
        </w:p>
        <w:p w14:paraId="4BD2F319" w14:textId="77777777" w:rsidR="00B15B16" w:rsidRDefault="00971C75">
          <w:pPr>
            <w:pStyle w:val="TOC2"/>
            <w:tabs>
              <w:tab w:val="left" w:pos="880"/>
            </w:tabs>
            <w:rPr>
              <w:rFonts w:asciiTheme="minorHAnsi" w:eastAsiaTheme="minorEastAsia" w:hAnsiTheme="minorHAnsi"/>
              <w:color w:val="auto"/>
              <w:sz w:val="22"/>
            </w:rPr>
          </w:pPr>
          <w:hyperlink w:anchor="_Toc497741823" w:history="1">
            <w:r w:rsidR="00B15B16" w:rsidRPr="006F5B4A">
              <w:rPr>
                <w:rStyle w:val="Hyperlink"/>
              </w:rPr>
              <w:t>3.6</w:t>
            </w:r>
            <w:r w:rsidR="00B15B16">
              <w:rPr>
                <w:rFonts w:asciiTheme="minorHAnsi" w:eastAsiaTheme="minorEastAsia" w:hAnsiTheme="minorHAnsi"/>
                <w:color w:val="auto"/>
                <w:sz w:val="22"/>
              </w:rPr>
              <w:tab/>
            </w:r>
            <w:r w:rsidR="00B15B16" w:rsidRPr="006F5B4A">
              <w:rPr>
                <w:rStyle w:val="Hyperlink"/>
              </w:rPr>
              <w:t>Elected member interests</w:t>
            </w:r>
            <w:r w:rsidR="00B15B16">
              <w:rPr>
                <w:webHidden/>
              </w:rPr>
              <w:tab/>
            </w:r>
            <w:r w:rsidR="00B15B16">
              <w:rPr>
                <w:webHidden/>
              </w:rPr>
              <w:fldChar w:fldCharType="begin"/>
            </w:r>
            <w:r w:rsidR="00B15B16">
              <w:rPr>
                <w:webHidden/>
              </w:rPr>
              <w:instrText xml:space="preserve"> PAGEREF _Toc497741823 \h </w:instrText>
            </w:r>
            <w:r w:rsidR="00B15B16">
              <w:rPr>
                <w:webHidden/>
              </w:rPr>
            </w:r>
            <w:r w:rsidR="00B15B16">
              <w:rPr>
                <w:webHidden/>
              </w:rPr>
              <w:fldChar w:fldCharType="separate"/>
            </w:r>
            <w:r w:rsidR="00B15B16">
              <w:rPr>
                <w:webHidden/>
              </w:rPr>
              <w:t>54</w:t>
            </w:r>
            <w:r w:rsidR="00B15B16">
              <w:rPr>
                <w:webHidden/>
              </w:rPr>
              <w:fldChar w:fldCharType="end"/>
            </w:r>
          </w:hyperlink>
        </w:p>
        <w:p w14:paraId="76C4D880"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824" w:history="1">
            <w:r w:rsidR="00B15B16" w:rsidRPr="006F5B4A">
              <w:rPr>
                <w:rStyle w:val="Hyperlink"/>
                <w:lang w:eastAsia="en-AU"/>
              </w:rPr>
              <w:t>4.</w:t>
            </w:r>
            <w:r w:rsidR="00B15B16">
              <w:rPr>
                <w:rFonts w:asciiTheme="minorHAnsi" w:eastAsiaTheme="minorEastAsia" w:hAnsiTheme="minorHAnsi"/>
                <w:b w:val="0"/>
                <w:color w:val="auto"/>
                <w:sz w:val="22"/>
                <w:lang w:eastAsia="en-AU"/>
              </w:rPr>
              <w:tab/>
            </w:r>
            <w:r w:rsidR="00B15B16" w:rsidRPr="006F5B4A">
              <w:rPr>
                <w:rStyle w:val="Hyperlink"/>
                <w:lang w:eastAsia="en-AU"/>
              </w:rPr>
              <w:t>Local government administration</w:t>
            </w:r>
            <w:r w:rsidR="00B15B16">
              <w:rPr>
                <w:webHidden/>
              </w:rPr>
              <w:tab/>
            </w:r>
            <w:r w:rsidR="00B15B16">
              <w:rPr>
                <w:webHidden/>
              </w:rPr>
              <w:fldChar w:fldCharType="begin"/>
            </w:r>
            <w:r w:rsidR="00B15B16">
              <w:rPr>
                <w:webHidden/>
              </w:rPr>
              <w:instrText xml:space="preserve"> PAGEREF _Toc497741824 \h </w:instrText>
            </w:r>
            <w:r w:rsidR="00B15B16">
              <w:rPr>
                <w:webHidden/>
              </w:rPr>
            </w:r>
            <w:r w:rsidR="00B15B16">
              <w:rPr>
                <w:webHidden/>
              </w:rPr>
              <w:fldChar w:fldCharType="separate"/>
            </w:r>
            <w:r w:rsidR="00B15B16">
              <w:rPr>
                <w:webHidden/>
              </w:rPr>
              <w:t>56</w:t>
            </w:r>
            <w:r w:rsidR="00B15B16">
              <w:rPr>
                <w:webHidden/>
              </w:rPr>
              <w:fldChar w:fldCharType="end"/>
            </w:r>
          </w:hyperlink>
        </w:p>
        <w:p w14:paraId="78B29F35" w14:textId="77777777" w:rsidR="00B15B16" w:rsidRDefault="00971C75">
          <w:pPr>
            <w:pStyle w:val="TOC2"/>
            <w:tabs>
              <w:tab w:val="left" w:pos="880"/>
            </w:tabs>
            <w:rPr>
              <w:rFonts w:asciiTheme="minorHAnsi" w:eastAsiaTheme="minorEastAsia" w:hAnsiTheme="minorHAnsi"/>
              <w:color w:val="auto"/>
              <w:sz w:val="22"/>
            </w:rPr>
          </w:pPr>
          <w:hyperlink w:anchor="_Toc497741825" w:history="1">
            <w:r w:rsidR="00B15B16" w:rsidRPr="006F5B4A">
              <w:rPr>
                <w:rStyle w:val="Hyperlink"/>
              </w:rPr>
              <w:t>4.1</w:t>
            </w:r>
            <w:r w:rsidR="00B15B16">
              <w:rPr>
                <w:rFonts w:asciiTheme="minorHAnsi" w:eastAsiaTheme="minorEastAsia" w:hAnsiTheme="minorHAnsi"/>
                <w:color w:val="auto"/>
                <w:sz w:val="22"/>
              </w:rPr>
              <w:tab/>
            </w:r>
            <w:r w:rsidR="00B15B16" w:rsidRPr="006F5B4A">
              <w:rPr>
                <w:rStyle w:val="Hyperlink"/>
              </w:rPr>
              <w:t>Recruitment and selection of local government Chief Executive Officers</w:t>
            </w:r>
            <w:r w:rsidR="00B15B16">
              <w:rPr>
                <w:webHidden/>
              </w:rPr>
              <w:tab/>
            </w:r>
            <w:r w:rsidR="00B15B16">
              <w:rPr>
                <w:webHidden/>
              </w:rPr>
              <w:fldChar w:fldCharType="begin"/>
            </w:r>
            <w:r w:rsidR="00B15B16">
              <w:rPr>
                <w:webHidden/>
              </w:rPr>
              <w:instrText xml:space="preserve"> PAGEREF _Toc497741825 \h </w:instrText>
            </w:r>
            <w:r w:rsidR="00B15B16">
              <w:rPr>
                <w:webHidden/>
              </w:rPr>
            </w:r>
            <w:r w:rsidR="00B15B16">
              <w:rPr>
                <w:webHidden/>
              </w:rPr>
              <w:fldChar w:fldCharType="separate"/>
            </w:r>
            <w:r w:rsidR="00B15B16">
              <w:rPr>
                <w:webHidden/>
              </w:rPr>
              <w:t>56</w:t>
            </w:r>
            <w:r w:rsidR="00B15B16">
              <w:rPr>
                <w:webHidden/>
              </w:rPr>
              <w:fldChar w:fldCharType="end"/>
            </w:r>
          </w:hyperlink>
        </w:p>
        <w:p w14:paraId="7792A611" w14:textId="77777777" w:rsidR="00B15B16" w:rsidRDefault="00971C75">
          <w:pPr>
            <w:pStyle w:val="TOC2"/>
            <w:rPr>
              <w:rFonts w:asciiTheme="minorHAnsi" w:eastAsiaTheme="minorEastAsia" w:hAnsiTheme="minorHAnsi"/>
              <w:color w:val="auto"/>
              <w:sz w:val="22"/>
            </w:rPr>
          </w:pPr>
          <w:hyperlink w:anchor="_Toc497741826"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_Toc497741826 \h </w:instrText>
            </w:r>
            <w:r w:rsidR="00B15B16">
              <w:rPr>
                <w:webHidden/>
              </w:rPr>
            </w:r>
            <w:r w:rsidR="00B15B16">
              <w:rPr>
                <w:webHidden/>
              </w:rPr>
              <w:fldChar w:fldCharType="separate"/>
            </w:r>
            <w:r w:rsidR="00B15B16">
              <w:rPr>
                <w:webHidden/>
              </w:rPr>
              <w:t>57</w:t>
            </w:r>
            <w:r w:rsidR="00B15B16">
              <w:rPr>
                <w:webHidden/>
              </w:rPr>
              <w:fldChar w:fldCharType="end"/>
            </w:r>
          </w:hyperlink>
        </w:p>
        <w:p w14:paraId="4FF9D715" w14:textId="77777777" w:rsidR="00B15B16" w:rsidRDefault="00971C75">
          <w:pPr>
            <w:pStyle w:val="TOC3"/>
            <w:rPr>
              <w:rFonts w:asciiTheme="minorHAnsi" w:eastAsiaTheme="minorEastAsia" w:hAnsiTheme="minorHAnsi"/>
              <w:color w:val="auto"/>
              <w:sz w:val="22"/>
            </w:rPr>
          </w:pPr>
          <w:hyperlink w:anchor="_Toc497741827" w:history="1">
            <w:r w:rsidR="00B15B16" w:rsidRPr="006F5B4A">
              <w:rPr>
                <w:rStyle w:val="Hyperlink"/>
              </w:rPr>
              <w:t>Option 1: Local governments to engage the services of the Public Sector Commission to provide support and guidance to council during the selection of a CEO</w:t>
            </w:r>
            <w:r w:rsidR="00B15B16">
              <w:rPr>
                <w:webHidden/>
              </w:rPr>
              <w:tab/>
            </w:r>
            <w:r w:rsidR="00B15B16">
              <w:rPr>
                <w:webHidden/>
              </w:rPr>
              <w:fldChar w:fldCharType="begin"/>
            </w:r>
            <w:r w:rsidR="00B15B16">
              <w:rPr>
                <w:webHidden/>
              </w:rPr>
              <w:instrText xml:space="preserve"> PAGEREF _Toc497741827 \h </w:instrText>
            </w:r>
            <w:r w:rsidR="00B15B16">
              <w:rPr>
                <w:webHidden/>
              </w:rPr>
            </w:r>
            <w:r w:rsidR="00B15B16">
              <w:rPr>
                <w:webHidden/>
              </w:rPr>
              <w:fldChar w:fldCharType="separate"/>
            </w:r>
            <w:r w:rsidR="00B15B16">
              <w:rPr>
                <w:webHidden/>
              </w:rPr>
              <w:t>57</w:t>
            </w:r>
            <w:r w:rsidR="00B15B16">
              <w:rPr>
                <w:webHidden/>
              </w:rPr>
              <w:fldChar w:fldCharType="end"/>
            </w:r>
          </w:hyperlink>
        </w:p>
        <w:p w14:paraId="3EBD12AD" w14:textId="77777777" w:rsidR="00B15B16" w:rsidRDefault="00971C75">
          <w:pPr>
            <w:pStyle w:val="TOC3"/>
            <w:rPr>
              <w:rFonts w:asciiTheme="minorHAnsi" w:eastAsiaTheme="minorEastAsia" w:hAnsiTheme="minorHAnsi"/>
              <w:color w:val="auto"/>
              <w:sz w:val="22"/>
            </w:rPr>
          </w:pPr>
          <w:hyperlink w:anchor="_Toc497741828" w:history="1">
            <w:r w:rsidR="00B15B16" w:rsidRPr="006F5B4A">
              <w:rPr>
                <w:rStyle w:val="Hyperlink"/>
              </w:rPr>
              <w:t>Option 2: Councils to involve third-parties in CEO selection</w:t>
            </w:r>
            <w:r w:rsidR="00B15B16">
              <w:rPr>
                <w:webHidden/>
              </w:rPr>
              <w:tab/>
            </w:r>
            <w:r w:rsidR="00B15B16">
              <w:rPr>
                <w:webHidden/>
              </w:rPr>
              <w:fldChar w:fldCharType="begin"/>
            </w:r>
            <w:r w:rsidR="00B15B16">
              <w:rPr>
                <w:webHidden/>
              </w:rPr>
              <w:instrText xml:space="preserve"> PAGEREF _Toc497741828 \h </w:instrText>
            </w:r>
            <w:r w:rsidR="00B15B16">
              <w:rPr>
                <w:webHidden/>
              </w:rPr>
            </w:r>
            <w:r w:rsidR="00B15B16">
              <w:rPr>
                <w:webHidden/>
              </w:rPr>
              <w:fldChar w:fldCharType="separate"/>
            </w:r>
            <w:r w:rsidR="00B15B16">
              <w:rPr>
                <w:webHidden/>
              </w:rPr>
              <w:t>58</w:t>
            </w:r>
            <w:r w:rsidR="00B15B16">
              <w:rPr>
                <w:webHidden/>
              </w:rPr>
              <w:fldChar w:fldCharType="end"/>
            </w:r>
          </w:hyperlink>
        </w:p>
        <w:p w14:paraId="76824CB6" w14:textId="77777777" w:rsidR="00B15B16" w:rsidRDefault="00971C75">
          <w:pPr>
            <w:pStyle w:val="TOC3"/>
            <w:rPr>
              <w:rFonts w:asciiTheme="minorHAnsi" w:eastAsiaTheme="minorEastAsia" w:hAnsiTheme="minorHAnsi"/>
              <w:color w:val="auto"/>
              <w:sz w:val="22"/>
            </w:rPr>
          </w:pPr>
          <w:hyperlink w:anchor="_Toc497741829" w:history="1">
            <w:r w:rsidR="00B15B16" w:rsidRPr="006F5B4A">
              <w:rPr>
                <w:rStyle w:val="Hyperlink"/>
              </w:rPr>
              <w:t>Option 3: Local governments to adopt a CEO recruitment standard</w:t>
            </w:r>
            <w:r w:rsidR="00B15B16">
              <w:rPr>
                <w:webHidden/>
              </w:rPr>
              <w:tab/>
            </w:r>
            <w:r w:rsidR="00B15B16">
              <w:rPr>
                <w:webHidden/>
              </w:rPr>
              <w:fldChar w:fldCharType="begin"/>
            </w:r>
            <w:r w:rsidR="00B15B16">
              <w:rPr>
                <w:webHidden/>
              </w:rPr>
              <w:instrText xml:space="preserve"> PAGEREF _Toc497741829 \h </w:instrText>
            </w:r>
            <w:r w:rsidR="00B15B16">
              <w:rPr>
                <w:webHidden/>
              </w:rPr>
            </w:r>
            <w:r w:rsidR="00B15B16">
              <w:rPr>
                <w:webHidden/>
              </w:rPr>
              <w:fldChar w:fldCharType="separate"/>
            </w:r>
            <w:r w:rsidR="00B15B16">
              <w:rPr>
                <w:webHidden/>
              </w:rPr>
              <w:t>59</w:t>
            </w:r>
            <w:r w:rsidR="00B15B16">
              <w:rPr>
                <w:webHidden/>
              </w:rPr>
              <w:fldChar w:fldCharType="end"/>
            </w:r>
          </w:hyperlink>
        </w:p>
        <w:p w14:paraId="7FC5E876" w14:textId="77777777" w:rsidR="00B15B16" w:rsidRDefault="00971C75">
          <w:pPr>
            <w:pStyle w:val="TOC3"/>
            <w:rPr>
              <w:rFonts w:asciiTheme="minorHAnsi" w:eastAsiaTheme="minorEastAsia" w:hAnsiTheme="minorHAnsi"/>
              <w:color w:val="auto"/>
              <w:sz w:val="22"/>
            </w:rPr>
          </w:pPr>
          <w:hyperlink w:anchor="_Toc497741830" w:history="1">
            <w:r w:rsidR="00B15B16" w:rsidRPr="006F5B4A">
              <w:rPr>
                <w:rStyle w:val="Hyperlink"/>
              </w:rPr>
              <w:t>Option 4: Status Quo</w:t>
            </w:r>
            <w:r w:rsidR="00B15B16">
              <w:rPr>
                <w:webHidden/>
              </w:rPr>
              <w:tab/>
            </w:r>
            <w:r w:rsidR="00B15B16">
              <w:rPr>
                <w:webHidden/>
              </w:rPr>
              <w:fldChar w:fldCharType="begin"/>
            </w:r>
            <w:r w:rsidR="00B15B16">
              <w:rPr>
                <w:webHidden/>
              </w:rPr>
              <w:instrText xml:space="preserve"> PAGEREF _Toc497741830 \h </w:instrText>
            </w:r>
            <w:r w:rsidR="00B15B16">
              <w:rPr>
                <w:webHidden/>
              </w:rPr>
            </w:r>
            <w:r w:rsidR="00B15B16">
              <w:rPr>
                <w:webHidden/>
              </w:rPr>
              <w:fldChar w:fldCharType="separate"/>
            </w:r>
            <w:r w:rsidR="00B15B16">
              <w:rPr>
                <w:webHidden/>
              </w:rPr>
              <w:t>59</w:t>
            </w:r>
            <w:r w:rsidR="00B15B16">
              <w:rPr>
                <w:webHidden/>
              </w:rPr>
              <w:fldChar w:fldCharType="end"/>
            </w:r>
          </w:hyperlink>
        </w:p>
        <w:p w14:paraId="6673EAEE" w14:textId="77777777" w:rsidR="00B15B16" w:rsidRDefault="00971C75">
          <w:pPr>
            <w:pStyle w:val="TOC2"/>
            <w:tabs>
              <w:tab w:val="left" w:pos="880"/>
            </w:tabs>
            <w:rPr>
              <w:rFonts w:asciiTheme="minorHAnsi" w:eastAsiaTheme="minorEastAsia" w:hAnsiTheme="minorHAnsi"/>
              <w:color w:val="auto"/>
              <w:sz w:val="22"/>
            </w:rPr>
          </w:pPr>
          <w:hyperlink w:anchor="_Toc497741831" w:history="1">
            <w:r w:rsidR="00B15B16" w:rsidRPr="006F5B4A">
              <w:rPr>
                <w:rStyle w:val="Hyperlink"/>
              </w:rPr>
              <w:t>4.2</w:t>
            </w:r>
            <w:r w:rsidR="00B15B16">
              <w:rPr>
                <w:rFonts w:asciiTheme="minorHAnsi" w:eastAsiaTheme="minorEastAsia" w:hAnsiTheme="minorHAnsi"/>
                <w:color w:val="auto"/>
                <w:sz w:val="22"/>
              </w:rPr>
              <w:tab/>
            </w:r>
            <w:r w:rsidR="00B15B16" w:rsidRPr="006F5B4A">
              <w:rPr>
                <w:rStyle w:val="Hyperlink"/>
              </w:rPr>
              <w:t>Acting Chief Executive Officers</w:t>
            </w:r>
            <w:r w:rsidR="00B15B16">
              <w:rPr>
                <w:webHidden/>
              </w:rPr>
              <w:tab/>
            </w:r>
            <w:r w:rsidR="00B15B16">
              <w:rPr>
                <w:webHidden/>
              </w:rPr>
              <w:fldChar w:fldCharType="begin"/>
            </w:r>
            <w:r w:rsidR="00B15B16">
              <w:rPr>
                <w:webHidden/>
              </w:rPr>
              <w:instrText xml:space="preserve"> PAGEREF _Toc497741831 \h </w:instrText>
            </w:r>
            <w:r w:rsidR="00B15B16">
              <w:rPr>
                <w:webHidden/>
              </w:rPr>
            </w:r>
            <w:r w:rsidR="00B15B16">
              <w:rPr>
                <w:webHidden/>
              </w:rPr>
              <w:fldChar w:fldCharType="separate"/>
            </w:r>
            <w:r w:rsidR="00B15B16">
              <w:rPr>
                <w:webHidden/>
              </w:rPr>
              <w:t>60</w:t>
            </w:r>
            <w:r w:rsidR="00B15B16">
              <w:rPr>
                <w:webHidden/>
              </w:rPr>
              <w:fldChar w:fldCharType="end"/>
            </w:r>
          </w:hyperlink>
        </w:p>
        <w:p w14:paraId="0808943E" w14:textId="77777777" w:rsidR="00B15B16" w:rsidRDefault="00971C75">
          <w:pPr>
            <w:pStyle w:val="TOC2"/>
            <w:rPr>
              <w:rFonts w:asciiTheme="minorHAnsi" w:eastAsiaTheme="minorEastAsia" w:hAnsiTheme="minorHAnsi"/>
              <w:color w:val="auto"/>
              <w:sz w:val="22"/>
            </w:rPr>
          </w:pPr>
          <w:hyperlink w:anchor="_Toc497741832"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_Toc497741832 \h </w:instrText>
            </w:r>
            <w:r w:rsidR="00B15B16">
              <w:rPr>
                <w:webHidden/>
              </w:rPr>
            </w:r>
            <w:r w:rsidR="00B15B16">
              <w:rPr>
                <w:webHidden/>
              </w:rPr>
              <w:fldChar w:fldCharType="separate"/>
            </w:r>
            <w:r w:rsidR="00B15B16">
              <w:rPr>
                <w:webHidden/>
              </w:rPr>
              <w:t>61</w:t>
            </w:r>
            <w:r w:rsidR="00B15B16">
              <w:rPr>
                <w:webHidden/>
              </w:rPr>
              <w:fldChar w:fldCharType="end"/>
            </w:r>
          </w:hyperlink>
        </w:p>
        <w:p w14:paraId="4C2BB197" w14:textId="77777777" w:rsidR="00B15B16" w:rsidRDefault="00971C75">
          <w:pPr>
            <w:pStyle w:val="TOC2"/>
            <w:tabs>
              <w:tab w:val="left" w:pos="880"/>
            </w:tabs>
            <w:rPr>
              <w:rFonts w:asciiTheme="minorHAnsi" w:eastAsiaTheme="minorEastAsia" w:hAnsiTheme="minorHAnsi"/>
              <w:color w:val="auto"/>
              <w:sz w:val="22"/>
            </w:rPr>
          </w:pPr>
          <w:hyperlink w:anchor="_Toc497741833" w:history="1">
            <w:r w:rsidR="00B15B16" w:rsidRPr="006F5B4A">
              <w:rPr>
                <w:rStyle w:val="Hyperlink"/>
              </w:rPr>
              <w:t>4.3</w:t>
            </w:r>
            <w:r w:rsidR="00B15B16">
              <w:rPr>
                <w:rFonts w:asciiTheme="minorHAnsi" w:eastAsiaTheme="minorEastAsia" w:hAnsiTheme="minorHAnsi"/>
                <w:color w:val="auto"/>
                <w:sz w:val="22"/>
              </w:rPr>
              <w:tab/>
            </w:r>
            <w:r w:rsidR="00B15B16" w:rsidRPr="006F5B4A">
              <w:rPr>
                <w:rStyle w:val="Hyperlink"/>
              </w:rPr>
              <w:t>Performance review of local government Chief Executive Officers</w:t>
            </w:r>
            <w:r w:rsidR="00B15B16">
              <w:rPr>
                <w:webHidden/>
              </w:rPr>
              <w:tab/>
            </w:r>
            <w:r w:rsidR="00B15B16">
              <w:rPr>
                <w:webHidden/>
              </w:rPr>
              <w:fldChar w:fldCharType="begin"/>
            </w:r>
            <w:r w:rsidR="00B15B16">
              <w:rPr>
                <w:webHidden/>
              </w:rPr>
              <w:instrText xml:space="preserve"> PAGEREF _Toc497741833 \h </w:instrText>
            </w:r>
            <w:r w:rsidR="00B15B16">
              <w:rPr>
                <w:webHidden/>
              </w:rPr>
            </w:r>
            <w:r w:rsidR="00B15B16">
              <w:rPr>
                <w:webHidden/>
              </w:rPr>
              <w:fldChar w:fldCharType="separate"/>
            </w:r>
            <w:r w:rsidR="00B15B16">
              <w:rPr>
                <w:webHidden/>
              </w:rPr>
              <w:t>61</w:t>
            </w:r>
            <w:r w:rsidR="00B15B16">
              <w:rPr>
                <w:webHidden/>
              </w:rPr>
              <w:fldChar w:fldCharType="end"/>
            </w:r>
          </w:hyperlink>
        </w:p>
        <w:p w14:paraId="4348C7FF" w14:textId="77777777" w:rsidR="00B15B16" w:rsidRDefault="00971C75">
          <w:pPr>
            <w:pStyle w:val="TOC2"/>
            <w:rPr>
              <w:rFonts w:asciiTheme="minorHAnsi" w:eastAsiaTheme="minorEastAsia" w:hAnsiTheme="minorHAnsi"/>
              <w:color w:val="auto"/>
              <w:sz w:val="22"/>
            </w:rPr>
          </w:pPr>
          <w:hyperlink w:anchor="_Toc497741834"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_Toc497741834 \h </w:instrText>
            </w:r>
            <w:r w:rsidR="00B15B16">
              <w:rPr>
                <w:webHidden/>
              </w:rPr>
            </w:r>
            <w:r w:rsidR="00B15B16">
              <w:rPr>
                <w:webHidden/>
              </w:rPr>
              <w:fldChar w:fldCharType="separate"/>
            </w:r>
            <w:r w:rsidR="00B15B16">
              <w:rPr>
                <w:webHidden/>
              </w:rPr>
              <w:t>62</w:t>
            </w:r>
            <w:r w:rsidR="00B15B16">
              <w:rPr>
                <w:webHidden/>
              </w:rPr>
              <w:fldChar w:fldCharType="end"/>
            </w:r>
          </w:hyperlink>
        </w:p>
        <w:p w14:paraId="5A2D48D1" w14:textId="77777777" w:rsidR="00B15B16" w:rsidRDefault="00971C75">
          <w:pPr>
            <w:pStyle w:val="TOC3"/>
            <w:rPr>
              <w:rFonts w:asciiTheme="minorHAnsi" w:eastAsiaTheme="minorEastAsia" w:hAnsiTheme="minorHAnsi"/>
              <w:color w:val="auto"/>
              <w:sz w:val="22"/>
            </w:rPr>
          </w:pPr>
          <w:hyperlink w:anchor="_Toc497741835" w:history="1">
            <w:r w:rsidR="00B15B16" w:rsidRPr="006F5B4A">
              <w:rPr>
                <w:rStyle w:val="Hyperlink"/>
              </w:rPr>
              <w:t>Option 1: Approved third-party to be involved in the performance review of CEOs</w:t>
            </w:r>
            <w:r w:rsidR="00B15B16">
              <w:rPr>
                <w:webHidden/>
              </w:rPr>
              <w:tab/>
            </w:r>
            <w:r w:rsidR="00B15B16">
              <w:rPr>
                <w:webHidden/>
              </w:rPr>
              <w:fldChar w:fldCharType="begin"/>
            </w:r>
            <w:r w:rsidR="00B15B16">
              <w:rPr>
                <w:webHidden/>
              </w:rPr>
              <w:instrText xml:space="preserve"> PAGEREF _Toc497741835 \h </w:instrText>
            </w:r>
            <w:r w:rsidR="00B15B16">
              <w:rPr>
                <w:webHidden/>
              </w:rPr>
            </w:r>
            <w:r w:rsidR="00B15B16">
              <w:rPr>
                <w:webHidden/>
              </w:rPr>
              <w:fldChar w:fldCharType="separate"/>
            </w:r>
            <w:r w:rsidR="00B15B16">
              <w:rPr>
                <w:webHidden/>
              </w:rPr>
              <w:t>64</w:t>
            </w:r>
            <w:r w:rsidR="00B15B16">
              <w:rPr>
                <w:webHidden/>
              </w:rPr>
              <w:fldChar w:fldCharType="end"/>
            </w:r>
          </w:hyperlink>
        </w:p>
        <w:p w14:paraId="164F6932" w14:textId="77777777" w:rsidR="00B15B16" w:rsidRDefault="00971C75">
          <w:pPr>
            <w:pStyle w:val="TOC3"/>
            <w:rPr>
              <w:rFonts w:asciiTheme="minorHAnsi" w:eastAsiaTheme="minorEastAsia" w:hAnsiTheme="minorHAnsi"/>
              <w:color w:val="auto"/>
              <w:sz w:val="22"/>
            </w:rPr>
          </w:pPr>
          <w:hyperlink w:anchor="_Toc497741836" w:history="1">
            <w:r w:rsidR="00B15B16" w:rsidRPr="006F5B4A">
              <w:rPr>
                <w:rStyle w:val="Hyperlink"/>
              </w:rPr>
              <w:t>Option 2: Local governments to adopt a CEO performance review policy</w:t>
            </w:r>
            <w:r w:rsidR="00B15B16">
              <w:rPr>
                <w:webHidden/>
              </w:rPr>
              <w:tab/>
            </w:r>
            <w:r w:rsidR="00B15B16">
              <w:rPr>
                <w:webHidden/>
              </w:rPr>
              <w:fldChar w:fldCharType="begin"/>
            </w:r>
            <w:r w:rsidR="00B15B16">
              <w:rPr>
                <w:webHidden/>
              </w:rPr>
              <w:instrText xml:space="preserve"> PAGEREF _Toc497741836 \h </w:instrText>
            </w:r>
            <w:r w:rsidR="00B15B16">
              <w:rPr>
                <w:webHidden/>
              </w:rPr>
            </w:r>
            <w:r w:rsidR="00B15B16">
              <w:rPr>
                <w:webHidden/>
              </w:rPr>
              <w:fldChar w:fldCharType="separate"/>
            </w:r>
            <w:r w:rsidR="00B15B16">
              <w:rPr>
                <w:webHidden/>
              </w:rPr>
              <w:t>65</w:t>
            </w:r>
            <w:r w:rsidR="00B15B16">
              <w:rPr>
                <w:webHidden/>
              </w:rPr>
              <w:fldChar w:fldCharType="end"/>
            </w:r>
          </w:hyperlink>
        </w:p>
        <w:p w14:paraId="7F8372E2" w14:textId="77777777" w:rsidR="00B15B16" w:rsidRDefault="00971C75">
          <w:pPr>
            <w:pStyle w:val="TOC3"/>
            <w:rPr>
              <w:rFonts w:asciiTheme="minorHAnsi" w:eastAsiaTheme="minorEastAsia" w:hAnsiTheme="minorHAnsi"/>
              <w:color w:val="auto"/>
              <w:sz w:val="22"/>
            </w:rPr>
          </w:pPr>
          <w:hyperlink w:anchor="_Toc497741837" w:history="1">
            <w:r w:rsidR="00B15B16" w:rsidRPr="006F5B4A">
              <w:rPr>
                <w:rStyle w:val="Hyperlink"/>
              </w:rPr>
              <w:t>Option 3: Local governments to conform to a standard for CEO performance review</w:t>
            </w:r>
            <w:r w:rsidR="00B15B16">
              <w:rPr>
                <w:webHidden/>
              </w:rPr>
              <w:tab/>
            </w:r>
            <w:r w:rsidR="00B15B16">
              <w:rPr>
                <w:webHidden/>
              </w:rPr>
              <w:fldChar w:fldCharType="begin"/>
            </w:r>
            <w:r w:rsidR="00B15B16">
              <w:rPr>
                <w:webHidden/>
              </w:rPr>
              <w:instrText xml:space="preserve"> PAGEREF _Toc497741837 \h </w:instrText>
            </w:r>
            <w:r w:rsidR="00B15B16">
              <w:rPr>
                <w:webHidden/>
              </w:rPr>
            </w:r>
            <w:r w:rsidR="00B15B16">
              <w:rPr>
                <w:webHidden/>
              </w:rPr>
              <w:fldChar w:fldCharType="separate"/>
            </w:r>
            <w:r w:rsidR="00B15B16">
              <w:rPr>
                <w:webHidden/>
              </w:rPr>
              <w:t>65</w:t>
            </w:r>
            <w:r w:rsidR="00B15B16">
              <w:rPr>
                <w:webHidden/>
              </w:rPr>
              <w:fldChar w:fldCharType="end"/>
            </w:r>
          </w:hyperlink>
        </w:p>
        <w:p w14:paraId="70DB527E" w14:textId="77777777" w:rsidR="00B15B16" w:rsidRDefault="00971C75">
          <w:pPr>
            <w:pStyle w:val="TOC2"/>
            <w:tabs>
              <w:tab w:val="left" w:pos="880"/>
            </w:tabs>
            <w:rPr>
              <w:rFonts w:asciiTheme="minorHAnsi" w:eastAsiaTheme="minorEastAsia" w:hAnsiTheme="minorHAnsi"/>
              <w:color w:val="auto"/>
              <w:sz w:val="22"/>
            </w:rPr>
          </w:pPr>
          <w:hyperlink w:anchor="_Toc497741838" w:history="1">
            <w:r w:rsidR="00B15B16" w:rsidRPr="006F5B4A">
              <w:rPr>
                <w:rStyle w:val="Hyperlink"/>
              </w:rPr>
              <w:t>4.4</w:t>
            </w:r>
            <w:r w:rsidR="00B15B16">
              <w:rPr>
                <w:rFonts w:asciiTheme="minorHAnsi" w:eastAsiaTheme="minorEastAsia" w:hAnsiTheme="minorHAnsi"/>
                <w:color w:val="auto"/>
                <w:sz w:val="22"/>
              </w:rPr>
              <w:tab/>
            </w:r>
            <w:r w:rsidR="00B15B16" w:rsidRPr="006F5B4A">
              <w:rPr>
                <w:rStyle w:val="Hyperlink"/>
              </w:rPr>
              <w:t>Extension or termination of the Chief Executive Officer contract immediately before or following an election</w:t>
            </w:r>
            <w:r w:rsidR="00B15B16">
              <w:rPr>
                <w:webHidden/>
              </w:rPr>
              <w:tab/>
            </w:r>
            <w:r w:rsidR="00B15B16">
              <w:rPr>
                <w:webHidden/>
              </w:rPr>
              <w:fldChar w:fldCharType="begin"/>
            </w:r>
            <w:r w:rsidR="00B15B16">
              <w:rPr>
                <w:webHidden/>
              </w:rPr>
              <w:instrText xml:space="preserve"> PAGEREF _Toc497741838 \h </w:instrText>
            </w:r>
            <w:r w:rsidR="00B15B16">
              <w:rPr>
                <w:webHidden/>
              </w:rPr>
            </w:r>
            <w:r w:rsidR="00B15B16">
              <w:rPr>
                <w:webHidden/>
              </w:rPr>
              <w:fldChar w:fldCharType="separate"/>
            </w:r>
            <w:r w:rsidR="00B15B16">
              <w:rPr>
                <w:webHidden/>
              </w:rPr>
              <w:t>65</w:t>
            </w:r>
            <w:r w:rsidR="00B15B16">
              <w:rPr>
                <w:webHidden/>
              </w:rPr>
              <w:fldChar w:fldCharType="end"/>
            </w:r>
          </w:hyperlink>
        </w:p>
        <w:p w14:paraId="28F8987F" w14:textId="77777777" w:rsidR="00B15B16" w:rsidRDefault="00971C75">
          <w:pPr>
            <w:pStyle w:val="TOC2"/>
            <w:tabs>
              <w:tab w:val="left" w:pos="880"/>
            </w:tabs>
            <w:rPr>
              <w:rFonts w:asciiTheme="minorHAnsi" w:eastAsiaTheme="minorEastAsia" w:hAnsiTheme="minorHAnsi"/>
              <w:color w:val="auto"/>
              <w:sz w:val="22"/>
            </w:rPr>
          </w:pPr>
          <w:hyperlink w:anchor="_Toc497741839" w:history="1">
            <w:r w:rsidR="00B15B16" w:rsidRPr="006F5B4A">
              <w:rPr>
                <w:rStyle w:val="Hyperlink"/>
              </w:rPr>
              <w:t>4.5</w:t>
            </w:r>
            <w:r w:rsidR="00B15B16">
              <w:rPr>
                <w:rFonts w:asciiTheme="minorHAnsi" w:eastAsiaTheme="minorEastAsia" w:hAnsiTheme="minorHAnsi"/>
                <w:color w:val="auto"/>
                <w:sz w:val="22"/>
              </w:rPr>
              <w:tab/>
            </w:r>
            <w:r w:rsidR="00B15B16" w:rsidRPr="006F5B4A">
              <w:rPr>
                <w:rStyle w:val="Hyperlink"/>
              </w:rPr>
              <w:t>Public expectations of staff performance</w:t>
            </w:r>
            <w:r w:rsidR="00B15B16">
              <w:rPr>
                <w:webHidden/>
              </w:rPr>
              <w:tab/>
            </w:r>
            <w:r w:rsidR="00B15B16">
              <w:rPr>
                <w:webHidden/>
              </w:rPr>
              <w:fldChar w:fldCharType="begin"/>
            </w:r>
            <w:r w:rsidR="00B15B16">
              <w:rPr>
                <w:webHidden/>
              </w:rPr>
              <w:instrText xml:space="preserve"> PAGEREF _Toc497741839 \h </w:instrText>
            </w:r>
            <w:r w:rsidR="00B15B16">
              <w:rPr>
                <w:webHidden/>
              </w:rPr>
            </w:r>
            <w:r w:rsidR="00B15B16">
              <w:rPr>
                <w:webHidden/>
              </w:rPr>
              <w:fldChar w:fldCharType="separate"/>
            </w:r>
            <w:r w:rsidR="00B15B16">
              <w:rPr>
                <w:webHidden/>
              </w:rPr>
              <w:t>67</w:t>
            </w:r>
            <w:r w:rsidR="00B15B16">
              <w:rPr>
                <w:webHidden/>
              </w:rPr>
              <w:fldChar w:fldCharType="end"/>
            </w:r>
          </w:hyperlink>
        </w:p>
        <w:p w14:paraId="63FF0931"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840" w:history="1">
            <w:r w:rsidR="00B15B16" w:rsidRPr="006F5B4A">
              <w:rPr>
                <w:rStyle w:val="Hyperlink"/>
              </w:rPr>
              <w:t>5.</w:t>
            </w:r>
            <w:r w:rsidR="00B15B16">
              <w:rPr>
                <w:rFonts w:asciiTheme="minorHAnsi" w:eastAsiaTheme="minorEastAsia" w:hAnsiTheme="minorHAnsi"/>
                <w:b w:val="0"/>
                <w:color w:val="auto"/>
                <w:sz w:val="22"/>
                <w:lang w:eastAsia="en-AU"/>
              </w:rPr>
              <w:tab/>
            </w:r>
            <w:r w:rsidR="00B15B16" w:rsidRPr="006F5B4A">
              <w:rPr>
                <w:rStyle w:val="Hyperlink"/>
              </w:rPr>
              <w:t>Supporting local governments in challenging times</w:t>
            </w:r>
            <w:r w:rsidR="00B15B16">
              <w:rPr>
                <w:webHidden/>
              </w:rPr>
              <w:tab/>
            </w:r>
            <w:r w:rsidR="00B15B16">
              <w:rPr>
                <w:webHidden/>
              </w:rPr>
              <w:fldChar w:fldCharType="begin"/>
            </w:r>
            <w:r w:rsidR="00B15B16">
              <w:rPr>
                <w:webHidden/>
              </w:rPr>
              <w:instrText xml:space="preserve"> PAGEREF _Toc497741840 \h </w:instrText>
            </w:r>
            <w:r w:rsidR="00B15B16">
              <w:rPr>
                <w:webHidden/>
              </w:rPr>
            </w:r>
            <w:r w:rsidR="00B15B16">
              <w:rPr>
                <w:webHidden/>
              </w:rPr>
              <w:fldChar w:fldCharType="separate"/>
            </w:r>
            <w:r w:rsidR="00B15B16">
              <w:rPr>
                <w:webHidden/>
              </w:rPr>
              <w:t>69</w:t>
            </w:r>
            <w:r w:rsidR="00B15B16">
              <w:rPr>
                <w:webHidden/>
              </w:rPr>
              <w:fldChar w:fldCharType="end"/>
            </w:r>
          </w:hyperlink>
        </w:p>
        <w:p w14:paraId="4A107A76" w14:textId="77777777" w:rsidR="00B15B16" w:rsidRDefault="00971C75">
          <w:pPr>
            <w:pStyle w:val="TOC2"/>
            <w:rPr>
              <w:rFonts w:asciiTheme="minorHAnsi" w:eastAsiaTheme="minorEastAsia" w:hAnsiTheme="minorHAnsi"/>
              <w:color w:val="auto"/>
              <w:sz w:val="22"/>
            </w:rPr>
          </w:pPr>
          <w:hyperlink w:anchor="_Toc497741841"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_Toc497741841 \h </w:instrText>
            </w:r>
            <w:r w:rsidR="00B15B16">
              <w:rPr>
                <w:webHidden/>
              </w:rPr>
            </w:r>
            <w:r w:rsidR="00B15B16">
              <w:rPr>
                <w:webHidden/>
              </w:rPr>
              <w:fldChar w:fldCharType="separate"/>
            </w:r>
            <w:r w:rsidR="00B15B16">
              <w:rPr>
                <w:webHidden/>
              </w:rPr>
              <w:t>70</w:t>
            </w:r>
            <w:r w:rsidR="00B15B16">
              <w:rPr>
                <w:webHidden/>
              </w:rPr>
              <w:fldChar w:fldCharType="end"/>
            </w:r>
          </w:hyperlink>
        </w:p>
        <w:p w14:paraId="7536DCA7" w14:textId="77777777" w:rsidR="00B15B16" w:rsidRDefault="00971C75">
          <w:pPr>
            <w:pStyle w:val="TOC3"/>
            <w:rPr>
              <w:rFonts w:asciiTheme="minorHAnsi" w:eastAsiaTheme="minorEastAsia" w:hAnsiTheme="minorHAnsi"/>
              <w:color w:val="auto"/>
              <w:sz w:val="22"/>
            </w:rPr>
          </w:pPr>
          <w:hyperlink w:anchor="_Toc497741842" w:history="1">
            <w:r w:rsidR="00B15B16" w:rsidRPr="006F5B4A">
              <w:rPr>
                <w:rStyle w:val="Hyperlink"/>
              </w:rPr>
              <w:t>Proposed Remedial Action Process</w:t>
            </w:r>
            <w:r w:rsidR="00B15B16">
              <w:rPr>
                <w:webHidden/>
              </w:rPr>
              <w:tab/>
            </w:r>
            <w:r w:rsidR="00B15B16">
              <w:rPr>
                <w:webHidden/>
              </w:rPr>
              <w:fldChar w:fldCharType="begin"/>
            </w:r>
            <w:r w:rsidR="00B15B16">
              <w:rPr>
                <w:webHidden/>
              </w:rPr>
              <w:instrText xml:space="preserve"> PAGEREF _Toc497741842 \h </w:instrText>
            </w:r>
            <w:r w:rsidR="00B15B16">
              <w:rPr>
                <w:webHidden/>
              </w:rPr>
            </w:r>
            <w:r w:rsidR="00B15B16">
              <w:rPr>
                <w:webHidden/>
              </w:rPr>
              <w:fldChar w:fldCharType="separate"/>
            </w:r>
            <w:r w:rsidR="00B15B16">
              <w:rPr>
                <w:webHidden/>
              </w:rPr>
              <w:t>73</w:t>
            </w:r>
            <w:r w:rsidR="00B15B16">
              <w:rPr>
                <w:webHidden/>
              </w:rPr>
              <w:fldChar w:fldCharType="end"/>
            </w:r>
          </w:hyperlink>
        </w:p>
        <w:p w14:paraId="54BBE010" w14:textId="77777777" w:rsidR="00B15B16" w:rsidRDefault="00971C75">
          <w:pPr>
            <w:pStyle w:val="TOC3"/>
            <w:rPr>
              <w:rFonts w:asciiTheme="minorHAnsi" w:eastAsiaTheme="minorEastAsia" w:hAnsiTheme="minorHAnsi"/>
              <w:color w:val="auto"/>
              <w:sz w:val="22"/>
            </w:rPr>
          </w:pPr>
          <w:hyperlink w:anchor="_Toc497741843" w:history="1">
            <w:r w:rsidR="00B15B16" w:rsidRPr="006F5B4A">
              <w:rPr>
                <w:rStyle w:val="Hyperlink"/>
              </w:rPr>
              <w:t>Discussion</w:t>
            </w:r>
            <w:r w:rsidR="00B15B16">
              <w:rPr>
                <w:webHidden/>
              </w:rPr>
              <w:tab/>
            </w:r>
            <w:r w:rsidR="00B15B16">
              <w:rPr>
                <w:webHidden/>
              </w:rPr>
              <w:fldChar w:fldCharType="begin"/>
            </w:r>
            <w:r w:rsidR="00B15B16">
              <w:rPr>
                <w:webHidden/>
              </w:rPr>
              <w:instrText xml:space="preserve"> PAGEREF _Toc497741843 \h </w:instrText>
            </w:r>
            <w:r w:rsidR="00B15B16">
              <w:rPr>
                <w:webHidden/>
              </w:rPr>
            </w:r>
            <w:r w:rsidR="00B15B16">
              <w:rPr>
                <w:webHidden/>
              </w:rPr>
              <w:fldChar w:fldCharType="separate"/>
            </w:r>
            <w:r w:rsidR="00B15B16">
              <w:rPr>
                <w:webHidden/>
              </w:rPr>
              <w:t>75</w:t>
            </w:r>
            <w:r w:rsidR="00B15B16">
              <w:rPr>
                <w:webHidden/>
              </w:rPr>
              <w:fldChar w:fldCharType="end"/>
            </w:r>
          </w:hyperlink>
        </w:p>
        <w:p w14:paraId="468FA725"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844" w:history="1">
            <w:r w:rsidR="00B15B16" w:rsidRPr="006F5B4A">
              <w:rPr>
                <w:rStyle w:val="Hyperlink"/>
              </w:rPr>
              <w:t>6.</w:t>
            </w:r>
            <w:r w:rsidR="00B15B16">
              <w:rPr>
                <w:rFonts w:asciiTheme="minorHAnsi" w:eastAsiaTheme="minorEastAsia" w:hAnsiTheme="minorHAnsi"/>
                <w:b w:val="0"/>
                <w:color w:val="auto"/>
                <w:sz w:val="22"/>
                <w:lang w:eastAsia="en-AU"/>
              </w:rPr>
              <w:tab/>
            </w:r>
            <w:r w:rsidR="00B15B16" w:rsidRPr="006F5B4A">
              <w:rPr>
                <w:rStyle w:val="Hyperlink"/>
              </w:rPr>
              <w:t>Making it easier to move between State and local government employment</w:t>
            </w:r>
            <w:r w:rsidR="00B15B16">
              <w:rPr>
                <w:webHidden/>
              </w:rPr>
              <w:tab/>
            </w:r>
            <w:r w:rsidR="00B15B16">
              <w:rPr>
                <w:webHidden/>
              </w:rPr>
              <w:fldChar w:fldCharType="begin"/>
            </w:r>
            <w:r w:rsidR="00B15B16">
              <w:rPr>
                <w:webHidden/>
              </w:rPr>
              <w:instrText xml:space="preserve"> PAGEREF _Toc497741844 \h </w:instrText>
            </w:r>
            <w:r w:rsidR="00B15B16">
              <w:rPr>
                <w:webHidden/>
              </w:rPr>
            </w:r>
            <w:r w:rsidR="00B15B16">
              <w:rPr>
                <w:webHidden/>
              </w:rPr>
              <w:fldChar w:fldCharType="separate"/>
            </w:r>
            <w:r w:rsidR="00B15B16">
              <w:rPr>
                <w:webHidden/>
              </w:rPr>
              <w:t>76</w:t>
            </w:r>
            <w:r w:rsidR="00B15B16">
              <w:rPr>
                <w:webHidden/>
              </w:rPr>
              <w:fldChar w:fldCharType="end"/>
            </w:r>
          </w:hyperlink>
        </w:p>
        <w:p w14:paraId="100C0E69" w14:textId="77777777" w:rsidR="00B15B16" w:rsidRDefault="00971C75">
          <w:pPr>
            <w:pStyle w:val="TOC1"/>
            <w:rPr>
              <w:rFonts w:asciiTheme="minorHAnsi" w:eastAsiaTheme="minorEastAsia" w:hAnsiTheme="minorHAnsi"/>
              <w:b w:val="0"/>
              <w:color w:val="auto"/>
              <w:sz w:val="22"/>
              <w:lang w:eastAsia="en-AU"/>
            </w:rPr>
          </w:pPr>
          <w:hyperlink w:anchor="_Toc497741845" w:history="1">
            <w:r w:rsidR="00B15B16" w:rsidRPr="006F5B4A">
              <w:rPr>
                <w:rStyle w:val="Hyperlink"/>
              </w:rPr>
              <w:t>Public confidence in Local Government</w:t>
            </w:r>
            <w:r w:rsidR="00B15B16">
              <w:rPr>
                <w:webHidden/>
              </w:rPr>
              <w:tab/>
            </w:r>
            <w:r w:rsidR="00B15B16">
              <w:rPr>
                <w:webHidden/>
              </w:rPr>
              <w:fldChar w:fldCharType="begin"/>
            </w:r>
            <w:r w:rsidR="00B15B16">
              <w:rPr>
                <w:webHidden/>
              </w:rPr>
              <w:instrText xml:space="preserve"> PAGEREF _Toc497741845 \h </w:instrText>
            </w:r>
            <w:r w:rsidR="00B15B16">
              <w:rPr>
                <w:webHidden/>
              </w:rPr>
            </w:r>
            <w:r w:rsidR="00B15B16">
              <w:rPr>
                <w:webHidden/>
              </w:rPr>
              <w:fldChar w:fldCharType="separate"/>
            </w:r>
            <w:r w:rsidR="00B15B16">
              <w:rPr>
                <w:webHidden/>
              </w:rPr>
              <w:t>78</w:t>
            </w:r>
            <w:r w:rsidR="00B15B16">
              <w:rPr>
                <w:webHidden/>
              </w:rPr>
              <w:fldChar w:fldCharType="end"/>
            </w:r>
          </w:hyperlink>
        </w:p>
        <w:p w14:paraId="39918F10"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846" w:history="1">
            <w:r w:rsidR="00B15B16" w:rsidRPr="006F5B4A">
              <w:rPr>
                <w:rStyle w:val="Hyperlink"/>
              </w:rPr>
              <w:t>7.</w:t>
            </w:r>
            <w:r w:rsidR="00B15B16">
              <w:rPr>
                <w:rFonts w:asciiTheme="minorHAnsi" w:eastAsiaTheme="minorEastAsia" w:hAnsiTheme="minorHAnsi"/>
                <w:b w:val="0"/>
                <w:color w:val="auto"/>
                <w:sz w:val="22"/>
                <w:lang w:eastAsia="en-AU"/>
              </w:rPr>
              <w:tab/>
            </w:r>
            <w:r w:rsidR="00B15B16" w:rsidRPr="006F5B4A">
              <w:rPr>
                <w:rStyle w:val="Hyperlink"/>
              </w:rPr>
              <w:t>Gifts</w:t>
            </w:r>
            <w:r w:rsidR="00B15B16">
              <w:rPr>
                <w:webHidden/>
              </w:rPr>
              <w:tab/>
            </w:r>
            <w:r w:rsidR="00B15B16">
              <w:rPr>
                <w:webHidden/>
              </w:rPr>
              <w:fldChar w:fldCharType="begin"/>
            </w:r>
            <w:r w:rsidR="00B15B16">
              <w:rPr>
                <w:webHidden/>
              </w:rPr>
              <w:instrText xml:space="preserve"> PAGEREF _Toc497741846 \h </w:instrText>
            </w:r>
            <w:r w:rsidR="00B15B16">
              <w:rPr>
                <w:webHidden/>
              </w:rPr>
            </w:r>
            <w:r w:rsidR="00B15B16">
              <w:rPr>
                <w:webHidden/>
              </w:rPr>
              <w:fldChar w:fldCharType="separate"/>
            </w:r>
            <w:r w:rsidR="00B15B16">
              <w:rPr>
                <w:webHidden/>
              </w:rPr>
              <w:t>79</w:t>
            </w:r>
            <w:r w:rsidR="00B15B16">
              <w:rPr>
                <w:webHidden/>
              </w:rPr>
              <w:fldChar w:fldCharType="end"/>
            </w:r>
          </w:hyperlink>
        </w:p>
        <w:p w14:paraId="202A2624" w14:textId="77777777" w:rsidR="00B15B16" w:rsidRDefault="00971C75">
          <w:pPr>
            <w:pStyle w:val="TOC2"/>
            <w:tabs>
              <w:tab w:val="left" w:pos="880"/>
            </w:tabs>
            <w:rPr>
              <w:rFonts w:asciiTheme="minorHAnsi" w:eastAsiaTheme="minorEastAsia" w:hAnsiTheme="minorHAnsi"/>
              <w:color w:val="auto"/>
              <w:sz w:val="22"/>
            </w:rPr>
          </w:pPr>
          <w:hyperlink w:anchor="_Toc497741847" w:history="1">
            <w:r w:rsidR="00B15B16" w:rsidRPr="006F5B4A">
              <w:rPr>
                <w:rStyle w:val="Hyperlink"/>
              </w:rPr>
              <w:t>7.1</w:t>
            </w:r>
            <w:r w:rsidR="00B15B16">
              <w:rPr>
                <w:rFonts w:asciiTheme="minorHAnsi" w:eastAsiaTheme="minorEastAsia" w:hAnsiTheme="minorHAnsi"/>
                <w:color w:val="auto"/>
                <w:sz w:val="22"/>
              </w:rPr>
              <w:tab/>
            </w:r>
            <w:r w:rsidR="00B15B16" w:rsidRPr="006F5B4A">
              <w:rPr>
                <w:rStyle w:val="Hyperlink"/>
              </w:rPr>
              <w:t>Simplifying the gift provisions</w:t>
            </w:r>
            <w:r w:rsidR="00B15B16">
              <w:rPr>
                <w:webHidden/>
              </w:rPr>
              <w:tab/>
            </w:r>
            <w:r w:rsidR="00B15B16">
              <w:rPr>
                <w:webHidden/>
              </w:rPr>
              <w:fldChar w:fldCharType="begin"/>
            </w:r>
            <w:r w:rsidR="00B15B16">
              <w:rPr>
                <w:webHidden/>
              </w:rPr>
              <w:instrText xml:space="preserve"> PAGEREF _Toc497741847 \h </w:instrText>
            </w:r>
            <w:r w:rsidR="00B15B16">
              <w:rPr>
                <w:webHidden/>
              </w:rPr>
            </w:r>
            <w:r w:rsidR="00B15B16">
              <w:rPr>
                <w:webHidden/>
              </w:rPr>
              <w:fldChar w:fldCharType="separate"/>
            </w:r>
            <w:r w:rsidR="00B15B16">
              <w:rPr>
                <w:webHidden/>
              </w:rPr>
              <w:t>79</w:t>
            </w:r>
            <w:r w:rsidR="00B15B16">
              <w:rPr>
                <w:webHidden/>
              </w:rPr>
              <w:fldChar w:fldCharType="end"/>
            </w:r>
          </w:hyperlink>
        </w:p>
        <w:p w14:paraId="0C05F7F1" w14:textId="77777777" w:rsidR="00B15B16" w:rsidRDefault="00971C75">
          <w:pPr>
            <w:pStyle w:val="TOC3"/>
            <w:rPr>
              <w:rFonts w:asciiTheme="minorHAnsi" w:eastAsiaTheme="minorEastAsia" w:hAnsiTheme="minorHAnsi"/>
              <w:color w:val="auto"/>
              <w:sz w:val="22"/>
            </w:rPr>
          </w:pPr>
          <w:hyperlink w:anchor="_Toc497741848" w:history="1">
            <w:r w:rsidR="00B15B16" w:rsidRPr="006F5B4A">
              <w:rPr>
                <w:rStyle w:val="Hyperlink"/>
              </w:rPr>
              <w:t>Background</w:t>
            </w:r>
            <w:r w:rsidR="00B15B16">
              <w:rPr>
                <w:webHidden/>
              </w:rPr>
              <w:tab/>
            </w:r>
            <w:r w:rsidR="00B15B16">
              <w:rPr>
                <w:webHidden/>
              </w:rPr>
              <w:fldChar w:fldCharType="begin"/>
            </w:r>
            <w:r w:rsidR="00B15B16">
              <w:rPr>
                <w:webHidden/>
              </w:rPr>
              <w:instrText xml:space="preserve"> PAGEREF _Toc497741848 \h </w:instrText>
            </w:r>
            <w:r w:rsidR="00B15B16">
              <w:rPr>
                <w:webHidden/>
              </w:rPr>
            </w:r>
            <w:r w:rsidR="00B15B16">
              <w:rPr>
                <w:webHidden/>
              </w:rPr>
              <w:fldChar w:fldCharType="separate"/>
            </w:r>
            <w:r w:rsidR="00B15B16">
              <w:rPr>
                <w:webHidden/>
              </w:rPr>
              <w:t>79</w:t>
            </w:r>
            <w:r w:rsidR="00B15B16">
              <w:rPr>
                <w:webHidden/>
              </w:rPr>
              <w:fldChar w:fldCharType="end"/>
            </w:r>
          </w:hyperlink>
        </w:p>
        <w:p w14:paraId="5C058941" w14:textId="77777777" w:rsidR="00B15B16" w:rsidRDefault="00971C75">
          <w:pPr>
            <w:pStyle w:val="TOC2"/>
            <w:rPr>
              <w:rFonts w:asciiTheme="minorHAnsi" w:eastAsiaTheme="minorEastAsia" w:hAnsiTheme="minorHAnsi"/>
              <w:color w:val="auto"/>
              <w:sz w:val="22"/>
            </w:rPr>
          </w:pPr>
          <w:hyperlink w:anchor="_Toc497741849"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_Toc497741849 \h </w:instrText>
            </w:r>
            <w:r w:rsidR="00B15B16">
              <w:rPr>
                <w:webHidden/>
              </w:rPr>
            </w:r>
            <w:r w:rsidR="00B15B16">
              <w:rPr>
                <w:webHidden/>
              </w:rPr>
              <w:fldChar w:fldCharType="separate"/>
            </w:r>
            <w:r w:rsidR="00B15B16">
              <w:rPr>
                <w:webHidden/>
              </w:rPr>
              <w:t>80</w:t>
            </w:r>
            <w:r w:rsidR="00B15B16">
              <w:rPr>
                <w:webHidden/>
              </w:rPr>
              <w:fldChar w:fldCharType="end"/>
            </w:r>
          </w:hyperlink>
        </w:p>
        <w:p w14:paraId="5B6F5F00" w14:textId="77777777" w:rsidR="00B15B16" w:rsidRDefault="00971C75">
          <w:pPr>
            <w:pStyle w:val="TOC3"/>
            <w:rPr>
              <w:rFonts w:asciiTheme="minorHAnsi" w:eastAsiaTheme="minorEastAsia" w:hAnsiTheme="minorHAnsi"/>
              <w:color w:val="auto"/>
              <w:sz w:val="22"/>
            </w:rPr>
          </w:pPr>
          <w:hyperlink w:anchor="_Toc497741850" w:history="1">
            <w:r w:rsidR="00B15B16" w:rsidRPr="006F5B4A">
              <w:rPr>
                <w:rStyle w:val="Hyperlink"/>
              </w:rPr>
              <w:t>Current situation</w:t>
            </w:r>
            <w:r w:rsidR="00B15B16">
              <w:rPr>
                <w:webHidden/>
              </w:rPr>
              <w:tab/>
            </w:r>
            <w:r w:rsidR="00B15B16">
              <w:rPr>
                <w:webHidden/>
              </w:rPr>
              <w:fldChar w:fldCharType="begin"/>
            </w:r>
            <w:r w:rsidR="00B15B16">
              <w:rPr>
                <w:webHidden/>
              </w:rPr>
              <w:instrText xml:space="preserve"> PAGEREF _Toc497741850 \h </w:instrText>
            </w:r>
            <w:r w:rsidR="00B15B16">
              <w:rPr>
                <w:webHidden/>
              </w:rPr>
            </w:r>
            <w:r w:rsidR="00B15B16">
              <w:rPr>
                <w:webHidden/>
              </w:rPr>
              <w:fldChar w:fldCharType="separate"/>
            </w:r>
            <w:r w:rsidR="00B15B16">
              <w:rPr>
                <w:webHidden/>
              </w:rPr>
              <w:t>81</w:t>
            </w:r>
            <w:r w:rsidR="00B15B16">
              <w:rPr>
                <w:webHidden/>
              </w:rPr>
              <w:fldChar w:fldCharType="end"/>
            </w:r>
          </w:hyperlink>
        </w:p>
        <w:p w14:paraId="5A9C5B6A" w14:textId="77777777" w:rsidR="00B15B16" w:rsidRDefault="00971C75">
          <w:pPr>
            <w:pStyle w:val="TOC3"/>
            <w:rPr>
              <w:rFonts w:asciiTheme="minorHAnsi" w:eastAsiaTheme="minorEastAsia" w:hAnsiTheme="minorHAnsi"/>
              <w:color w:val="auto"/>
              <w:sz w:val="22"/>
            </w:rPr>
          </w:pPr>
          <w:hyperlink w:anchor="_Toc497741851" w:history="1">
            <w:r w:rsidR="00B15B16" w:rsidRPr="006F5B4A">
              <w:rPr>
                <w:rStyle w:val="Hyperlink"/>
              </w:rPr>
              <w:t>Recommendations of the gifts working group</w:t>
            </w:r>
            <w:r w:rsidR="00B15B16">
              <w:rPr>
                <w:webHidden/>
              </w:rPr>
              <w:tab/>
            </w:r>
            <w:r w:rsidR="00B15B16">
              <w:rPr>
                <w:webHidden/>
              </w:rPr>
              <w:fldChar w:fldCharType="begin"/>
            </w:r>
            <w:r w:rsidR="00B15B16">
              <w:rPr>
                <w:webHidden/>
              </w:rPr>
              <w:instrText xml:space="preserve"> PAGEREF _Toc497741851 \h </w:instrText>
            </w:r>
            <w:r w:rsidR="00B15B16">
              <w:rPr>
                <w:webHidden/>
              </w:rPr>
            </w:r>
            <w:r w:rsidR="00B15B16">
              <w:rPr>
                <w:webHidden/>
              </w:rPr>
              <w:fldChar w:fldCharType="separate"/>
            </w:r>
            <w:r w:rsidR="00B15B16">
              <w:rPr>
                <w:webHidden/>
              </w:rPr>
              <w:t>82</w:t>
            </w:r>
            <w:r w:rsidR="00B15B16">
              <w:rPr>
                <w:webHidden/>
              </w:rPr>
              <w:fldChar w:fldCharType="end"/>
            </w:r>
          </w:hyperlink>
        </w:p>
        <w:p w14:paraId="3B6BD83C" w14:textId="77777777" w:rsidR="00B15B16" w:rsidRDefault="00971C75">
          <w:pPr>
            <w:pStyle w:val="TOC3"/>
            <w:rPr>
              <w:rFonts w:asciiTheme="minorHAnsi" w:eastAsiaTheme="minorEastAsia" w:hAnsiTheme="minorHAnsi"/>
              <w:color w:val="auto"/>
              <w:sz w:val="22"/>
            </w:rPr>
          </w:pPr>
          <w:hyperlink w:anchor="_Toc497741852" w:history="1">
            <w:r w:rsidR="00B15B16" w:rsidRPr="006F5B4A">
              <w:rPr>
                <w:rStyle w:val="Hyperlink"/>
              </w:rPr>
              <w:t>Key elements of the proposed approach</w:t>
            </w:r>
            <w:r w:rsidR="00B15B16">
              <w:rPr>
                <w:webHidden/>
              </w:rPr>
              <w:tab/>
            </w:r>
            <w:r w:rsidR="00B15B16">
              <w:rPr>
                <w:webHidden/>
              </w:rPr>
              <w:fldChar w:fldCharType="begin"/>
            </w:r>
            <w:r w:rsidR="00B15B16">
              <w:rPr>
                <w:webHidden/>
              </w:rPr>
              <w:instrText xml:space="preserve"> PAGEREF _Toc497741852 \h </w:instrText>
            </w:r>
            <w:r w:rsidR="00B15B16">
              <w:rPr>
                <w:webHidden/>
              </w:rPr>
            </w:r>
            <w:r w:rsidR="00B15B16">
              <w:rPr>
                <w:webHidden/>
              </w:rPr>
              <w:fldChar w:fldCharType="separate"/>
            </w:r>
            <w:r w:rsidR="00B15B16">
              <w:rPr>
                <w:webHidden/>
              </w:rPr>
              <w:t>83</w:t>
            </w:r>
            <w:r w:rsidR="00B15B16">
              <w:rPr>
                <w:webHidden/>
              </w:rPr>
              <w:fldChar w:fldCharType="end"/>
            </w:r>
          </w:hyperlink>
        </w:p>
        <w:p w14:paraId="335350C3" w14:textId="77777777" w:rsidR="00B15B16" w:rsidRDefault="00971C75">
          <w:pPr>
            <w:pStyle w:val="TOC3"/>
            <w:rPr>
              <w:rFonts w:asciiTheme="minorHAnsi" w:eastAsiaTheme="minorEastAsia" w:hAnsiTheme="minorHAnsi"/>
              <w:color w:val="auto"/>
              <w:sz w:val="22"/>
            </w:rPr>
          </w:pPr>
          <w:hyperlink w:anchor="_Toc497741853" w:history="1">
            <w:r w:rsidR="00B15B16" w:rsidRPr="006F5B4A">
              <w:rPr>
                <w:rStyle w:val="Hyperlink"/>
              </w:rPr>
              <w:t>Excluding gifts in a genuine personal capacity</w:t>
            </w:r>
            <w:r w:rsidR="00B15B16">
              <w:rPr>
                <w:webHidden/>
              </w:rPr>
              <w:tab/>
            </w:r>
            <w:r w:rsidR="00B15B16">
              <w:rPr>
                <w:webHidden/>
              </w:rPr>
              <w:fldChar w:fldCharType="begin"/>
            </w:r>
            <w:r w:rsidR="00B15B16">
              <w:rPr>
                <w:webHidden/>
              </w:rPr>
              <w:instrText xml:space="preserve"> PAGEREF _Toc497741853 \h </w:instrText>
            </w:r>
            <w:r w:rsidR="00B15B16">
              <w:rPr>
                <w:webHidden/>
              </w:rPr>
            </w:r>
            <w:r w:rsidR="00B15B16">
              <w:rPr>
                <w:webHidden/>
              </w:rPr>
              <w:fldChar w:fldCharType="separate"/>
            </w:r>
            <w:r w:rsidR="00B15B16">
              <w:rPr>
                <w:webHidden/>
              </w:rPr>
              <w:t>87</w:t>
            </w:r>
            <w:r w:rsidR="00B15B16">
              <w:rPr>
                <w:webHidden/>
              </w:rPr>
              <w:fldChar w:fldCharType="end"/>
            </w:r>
          </w:hyperlink>
        </w:p>
        <w:p w14:paraId="1E4E0FF3" w14:textId="77777777" w:rsidR="00B15B16" w:rsidRDefault="00971C75">
          <w:pPr>
            <w:pStyle w:val="TOC1"/>
            <w:rPr>
              <w:rFonts w:asciiTheme="minorHAnsi" w:eastAsiaTheme="minorEastAsia" w:hAnsiTheme="minorHAnsi"/>
              <w:b w:val="0"/>
              <w:color w:val="auto"/>
              <w:sz w:val="22"/>
              <w:lang w:eastAsia="en-AU"/>
            </w:rPr>
          </w:pPr>
          <w:hyperlink w:anchor="_Toc497741854" w:history="1">
            <w:r w:rsidR="00B15B16" w:rsidRPr="006F5B4A">
              <w:rPr>
                <w:rStyle w:val="Hyperlink"/>
              </w:rPr>
              <w:t>Transparency</w:t>
            </w:r>
            <w:r w:rsidR="00B15B16">
              <w:rPr>
                <w:webHidden/>
              </w:rPr>
              <w:tab/>
            </w:r>
            <w:r w:rsidR="00B15B16">
              <w:rPr>
                <w:webHidden/>
              </w:rPr>
              <w:fldChar w:fldCharType="begin"/>
            </w:r>
            <w:r w:rsidR="00B15B16">
              <w:rPr>
                <w:webHidden/>
              </w:rPr>
              <w:instrText xml:space="preserve"> PAGEREF _Toc497741854 \h </w:instrText>
            </w:r>
            <w:r w:rsidR="00B15B16">
              <w:rPr>
                <w:webHidden/>
              </w:rPr>
            </w:r>
            <w:r w:rsidR="00B15B16">
              <w:rPr>
                <w:webHidden/>
              </w:rPr>
              <w:fldChar w:fldCharType="separate"/>
            </w:r>
            <w:r w:rsidR="00B15B16">
              <w:rPr>
                <w:webHidden/>
              </w:rPr>
              <w:t>89</w:t>
            </w:r>
            <w:r w:rsidR="00B15B16">
              <w:rPr>
                <w:webHidden/>
              </w:rPr>
              <w:fldChar w:fldCharType="end"/>
            </w:r>
          </w:hyperlink>
        </w:p>
        <w:p w14:paraId="33C69F37"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855" w:history="1">
            <w:r w:rsidR="00B15B16" w:rsidRPr="006F5B4A">
              <w:rPr>
                <w:rStyle w:val="Hyperlink"/>
              </w:rPr>
              <w:t>8.</w:t>
            </w:r>
            <w:r w:rsidR="00B15B16">
              <w:rPr>
                <w:rFonts w:asciiTheme="minorHAnsi" w:eastAsiaTheme="minorEastAsia" w:hAnsiTheme="minorHAnsi"/>
                <w:b w:val="0"/>
                <w:color w:val="auto"/>
                <w:sz w:val="22"/>
                <w:lang w:eastAsia="en-AU"/>
              </w:rPr>
              <w:tab/>
            </w:r>
            <w:r w:rsidR="00B15B16" w:rsidRPr="006F5B4A">
              <w:rPr>
                <w:rStyle w:val="Hyperlink"/>
              </w:rPr>
              <w:t>Access to information</w:t>
            </w:r>
            <w:r w:rsidR="00B15B16">
              <w:rPr>
                <w:webHidden/>
              </w:rPr>
              <w:tab/>
            </w:r>
            <w:r w:rsidR="00B15B16">
              <w:rPr>
                <w:webHidden/>
              </w:rPr>
              <w:fldChar w:fldCharType="begin"/>
            </w:r>
            <w:r w:rsidR="00B15B16">
              <w:rPr>
                <w:webHidden/>
              </w:rPr>
              <w:instrText xml:space="preserve"> PAGEREF _Toc497741855 \h </w:instrText>
            </w:r>
            <w:r w:rsidR="00B15B16">
              <w:rPr>
                <w:webHidden/>
              </w:rPr>
            </w:r>
            <w:r w:rsidR="00B15B16">
              <w:rPr>
                <w:webHidden/>
              </w:rPr>
              <w:fldChar w:fldCharType="separate"/>
            </w:r>
            <w:r w:rsidR="00B15B16">
              <w:rPr>
                <w:webHidden/>
              </w:rPr>
              <w:t>90</w:t>
            </w:r>
            <w:r w:rsidR="00B15B16">
              <w:rPr>
                <w:webHidden/>
              </w:rPr>
              <w:fldChar w:fldCharType="end"/>
            </w:r>
          </w:hyperlink>
        </w:p>
        <w:p w14:paraId="65D6D4D3" w14:textId="77777777" w:rsidR="00B15B16" w:rsidRDefault="00971C75">
          <w:pPr>
            <w:pStyle w:val="TOC2"/>
            <w:tabs>
              <w:tab w:val="left" w:pos="880"/>
            </w:tabs>
            <w:rPr>
              <w:rFonts w:asciiTheme="minorHAnsi" w:eastAsiaTheme="minorEastAsia" w:hAnsiTheme="minorHAnsi"/>
              <w:color w:val="auto"/>
              <w:sz w:val="22"/>
            </w:rPr>
          </w:pPr>
          <w:hyperlink w:anchor="_Toc497741856" w:history="1">
            <w:r w:rsidR="00B15B16" w:rsidRPr="006F5B4A">
              <w:rPr>
                <w:rStyle w:val="Hyperlink"/>
              </w:rPr>
              <w:t>8.1</w:t>
            </w:r>
            <w:r w:rsidR="00B15B16">
              <w:rPr>
                <w:rFonts w:asciiTheme="minorHAnsi" w:eastAsiaTheme="minorEastAsia" w:hAnsiTheme="minorHAnsi"/>
                <w:color w:val="auto"/>
                <w:sz w:val="22"/>
              </w:rPr>
              <w:tab/>
            </w:r>
            <w:r w:rsidR="00B15B16" w:rsidRPr="006F5B4A">
              <w:rPr>
                <w:rStyle w:val="Hyperlink"/>
              </w:rPr>
              <w:t>Public notices</w:t>
            </w:r>
            <w:r w:rsidR="00B15B16">
              <w:rPr>
                <w:webHidden/>
              </w:rPr>
              <w:tab/>
            </w:r>
            <w:r w:rsidR="00B15B16">
              <w:rPr>
                <w:webHidden/>
              </w:rPr>
              <w:fldChar w:fldCharType="begin"/>
            </w:r>
            <w:r w:rsidR="00B15B16">
              <w:rPr>
                <w:webHidden/>
              </w:rPr>
              <w:instrText xml:space="preserve"> PAGEREF _Toc497741856 \h </w:instrText>
            </w:r>
            <w:r w:rsidR="00B15B16">
              <w:rPr>
                <w:webHidden/>
              </w:rPr>
            </w:r>
            <w:r w:rsidR="00B15B16">
              <w:rPr>
                <w:webHidden/>
              </w:rPr>
              <w:fldChar w:fldCharType="separate"/>
            </w:r>
            <w:r w:rsidR="00B15B16">
              <w:rPr>
                <w:webHidden/>
              </w:rPr>
              <w:t>91</w:t>
            </w:r>
            <w:r w:rsidR="00B15B16">
              <w:rPr>
                <w:webHidden/>
              </w:rPr>
              <w:fldChar w:fldCharType="end"/>
            </w:r>
          </w:hyperlink>
        </w:p>
        <w:p w14:paraId="7DAF864E" w14:textId="77777777" w:rsidR="00B15B16" w:rsidRDefault="00971C75">
          <w:pPr>
            <w:pStyle w:val="TOC2"/>
            <w:rPr>
              <w:rFonts w:asciiTheme="minorHAnsi" w:eastAsiaTheme="minorEastAsia" w:hAnsiTheme="minorHAnsi"/>
              <w:color w:val="auto"/>
              <w:sz w:val="22"/>
            </w:rPr>
          </w:pPr>
          <w:hyperlink w:anchor="_Toc497741857"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_Toc497741857 \h </w:instrText>
            </w:r>
            <w:r w:rsidR="00B15B16">
              <w:rPr>
                <w:webHidden/>
              </w:rPr>
            </w:r>
            <w:r w:rsidR="00B15B16">
              <w:rPr>
                <w:webHidden/>
              </w:rPr>
              <w:fldChar w:fldCharType="separate"/>
            </w:r>
            <w:r w:rsidR="00B15B16">
              <w:rPr>
                <w:webHidden/>
              </w:rPr>
              <w:t>92</w:t>
            </w:r>
            <w:r w:rsidR="00B15B16">
              <w:rPr>
                <w:webHidden/>
              </w:rPr>
              <w:fldChar w:fldCharType="end"/>
            </w:r>
          </w:hyperlink>
        </w:p>
        <w:p w14:paraId="51C04E81" w14:textId="77777777" w:rsidR="00B15B16" w:rsidRDefault="00971C75">
          <w:pPr>
            <w:pStyle w:val="TOC3"/>
            <w:rPr>
              <w:rFonts w:asciiTheme="minorHAnsi" w:eastAsiaTheme="minorEastAsia" w:hAnsiTheme="minorHAnsi"/>
              <w:color w:val="auto"/>
              <w:sz w:val="22"/>
            </w:rPr>
          </w:pPr>
          <w:hyperlink w:anchor="_Toc497741858" w:history="1">
            <w:r w:rsidR="00B15B16" w:rsidRPr="006F5B4A">
              <w:rPr>
                <w:rStyle w:val="Hyperlink"/>
              </w:rPr>
              <w:t>General options</w:t>
            </w:r>
            <w:r w:rsidR="00B15B16">
              <w:rPr>
                <w:webHidden/>
              </w:rPr>
              <w:tab/>
            </w:r>
            <w:r w:rsidR="00B15B16">
              <w:rPr>
                <w:webHidden/>
              </w:rPr>
              <w:fldChar w:fldCharType="begin"/>
            </w:r>
            <w:r w:rsidR="00B15B16">
              <w:rPr>
                <w:webHidden/>
              </w:rPr>
              <w:instrText xml:space="preserve"> PAGEREF _Toc497741858 \h </w:instrText>
            </w:r>
            <w:r w:rsidR="00B15B16">
              <w:rPr>
                <w:webHidden/>
              </w:rPr>
            </w:r>
            <w:r w:rsidR="00B15B16">
              <w:rPr>
                <w:webHidden/>
              </w:rPr>
              <w:fldChar w:fldCharType="separate"/>
            </w:r>
            <w:r w:rsidR="00B15B16">
              <w:rPr>
                <w:webHidden/>
              </w:rPr>
              <w:t>92</w:t>
            </w:r>
            <w:r w:rsidR="00B15B16">
              <w:rPr>
                <w:webHidden/>
              </w:rPr>
              <w:fldChar w:fldCharType="end"/>
            </w:r>
          </w:hyperlink>
        </w:p>
        <w:p w14:paraId="5990818E" w14:textId="77777777" w:rsidR="00B15B16" w:rsidRDefault="00971C75">
          <w:pPr>
            <w:pStyle w:val="TOC3"/>
            <w:rPr>
              <w:rFonts w:asciiTheme="minorHAnsi" w:eastAsiaTheme="minorEastAsia" w:hAnsiTheme="minorHAnsi"/>
              <w:color w:val="auto"/>
              <w:sz w:val="22"/>
            </w:rPr>
          </w:pPr>
          <w:hyperlink w:anchor="_Toc497741859" w:history="1">
            <w:r w:rsidR="00B15B16" w:rsidRPr="006F5B4A">
              <w:rPr>
                <w:rStyle w:val="Hyperlink"/>
              </w:rPr>
              <w:t>Specific options</w:t>
            </w:r>
            <w:r w:rsidR="00B15B16">
              <w:rPr>
                <w:webHidden/>
              </w:rPr>
              <w:tab/>
            </w:r>
            <w:r w:rsidR="00B15B16">
              <w:rPr>
                <w:webHidden/>
              </w:rPr>
              <w:fldChar w:fldCharType="begin"/>
            </w:r>
            <w:r w:rsidR="00B15B16">
              <w:rPr>
                <w:webHidden/>
              </w:rPr>
              <w:instrText xml:space="preserve"> PAGEREF _Toc497741859 \h </w:instrText>
            </w:r>
            <w:r w:rsidR="00B15B16">
              <w:rPr>
                <w:webHidden/>
              </w:rPr>
            </w:r>
            <w:r w:rsidR="00B15B16">
              <w:rPr>
                <w:webHidden/>
              </w:rPr>
              <w:fldChar w:fldCharType="separate"/>
            </w:r>
            <w:r w:rsidR="00B15B16">
              <w:rPr>
                <w:webHidden/>
              </w:rPr>
              <w:t>93</w:t>
            </w:r>
            <w:r w:rsidR="00B15B16">
              <w:rPr>
                <w:webHidden/>
              </w:rPr>
              <w:fldChar w:fldCharType="end"/>
            </w:r>
          </w:hyperlink>
        </w:p>
        <w:p w14:paraId="17C7047F" w14:textId="77777777" w:rsidR="00B15B16" w:rsidRDefault="00971C75">
          <w:pPr>
            <w:pStyle w:val="TOC2"/>
            <w:tabs>
              <w:tab w:val="left" w:pos="880"/>
            </w:tabs>
            <w:rPr>
              <w:rFonts w:asciiTheme="minorHAnsi" w:eastAsiaTheme="minorEastAsia" w:hAnsiTheme="minorHAnsi"/>
              <w:color w:val="auto"/>
              <w:sz w:val="22"/>
            </w:rPr>
          </w:pPr>
          <w:hyperlink w:anchor="_Toc497741860" w:history="1">
            <w:r w:rsidR="00B15B16" w:rsidRPr="006F5B4A">
              <w:rPr>
                <w:rStyle w:val="Hyperlink"/>
              </w:rPr>
              <w:t>8.2</w:t>
            </w:r>
            <w:r w:rsidR="00B15B16">
              <w:rPr>
                <w:rFonts w:asciiTheme="minorHAnsi" w:eastAsiaTheme="minorEastAsia" w:hAnsiTheme="minorHAnsi"/>
                <w:color w:val="auto"/>
                <w:sz w:val="22"/>
              </w:rPr>
              <w:tab/>
            </w:r>
            <w:r w:rsidR="00B15B16" w:rsidRPr="006F5B4A">
              <w:rPr>
                <w:rStyle w:val="Hyperlink"/>
              </w:rPr>
              <w:t>Information available for public inspection</w:t>
            </w:r>
            <w:r w:rsidR="00B15B16">
              <w:rPr>
                <w:webHidden/>
              </w:rPr>
              <w:tab/>
            </w:r>
            <w:r w:rsidR="00B15B16">
              <w:rPr>
                <w:webHidden/>
              </w:rPr>
              <w:fldChar w:fldCharType="begin"/>
            </w:r>
            <w:r w:rsidR="00B15B16">
              <w:rPr>
                <w:webHidden/>
              </w:rPr>
              <w:instrText xml:space="preserve"> PAGEREF _Toc497741860 \h </w:instrText>
            </w:r>
            <w:r w:rsidR="00B15B16">
              <w:rPr>
                <w:webHidden/>
              </w:rPr>
            </w:r>
            <w:r w:rsidR="00B15B16">
              <w:rPr>
                <w:webHidden/>
              </w:rPr>
              <w:fldChar w:fldCharType="separate"/>
            </w:r>
            <w:r w:rsidR="00B15B16">
              <w:rPr>
                <w:webHidden/>
              </w:rPr>
              <w:t>94</w:t>
            </w:r>
            <w:r w:rsidR="00B15B16">
              <w:rPr>
                <w:webHidden/>
              </w:rPr>
              <w:fldChar w:fldCharType="end"/>
            </w:r>
          </w:hyperlink>
        </w:p>
        <w:p w14:paraId="490442CB" w14:textId="77777777" w:rsidR="00B15B16" w:rsidRDefault="00971C75">
          <w:pPr>
            <w:pStyle w:val="TOC2"/>
            <w:rPr>
              <w:rFonts w:asciiTheme="minorHAnsi" w:eastAsiaTheme="minorEastAsia" w:hAnsiTheme="minorHAnsi"/>
              <w:color w:val="auto"/>
              <w:sz w:val="22"/>
            </w:rPr>
          </w:pPr>
          <w:hyperlink w:anchor="_Toc497741861"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_Toc497741861 \h </w:instrText>
            </w:r>
            <w:r w:rsidR="00B15B16">
              <w:rPr>
                <w:webHidden/>
              </w:rPr>
            </w:r>
            <w:r w:rsidR="00B15B16">
              <w:rPr>
                <w:webHidden/>
              </w:rPr>
              <w:fldChar w:fldCharType="separate"/>
            </w:r>
            <w:r w:rsidR="00B15B16">
              <w:rPr>
                <w:webHidden/>
              </w:rPr>
              <w:t>95</w:t>
            </w:r>
            <w:r w:rsidR="00B15B16">
              <w:rPr>
                <w:webHidden/>
              </w:rPr>
              <w:fldChar w:fldCharType="end"/>
            </w:r>
          </w:hyperlink>
        </w:p>
        <w:p w14:paraId="43834A9A" w14:textId="77777777" w:rsidR="00B15B16" w:rsidRDefault="00971C75">
          <w:pPr>
            <w:pStyle w:val="TOC3"/>
            <w:rPr>
              <w:rFonts w:asciiTheme="minorHAnsi" w:eastAsiaTheme="minorEastAsia" w:hAnsiTheme="minorHAnsi"/>
              <w:color w:val="auto"/>
              <w:sz w:val="22"/>
            </w:rPr>
          </w:pPr>
          <w:hyperlink w:anchor="_Toc497741862" w:history="1">
            <w:r w:rsidR="00B15B16" w:rsidRPr="006F5B4A">
              <w:rPr>
                <w:rStyle w:val="Hyperlink"/>
              </w:rPr>
              <w:t>General options</w:t>
            </w:r>
            <w:r w:rsidR="00B15B16">
              <w:rPr>
                <w:webHidden/>
              </w:rPr>
              <w:tab/>
            </w:r>
            <w:r w:rsidR="00B15B16">
              <w:rPr>
                <w:webHidden/>
              </w:rPr>
              <w:fldChar w:fldCharType="begin"/>
            </w:r>
            <w:r w:rsidR="00B15B16">
              <w:rPr>
                <w:webHidden/>
              </w:rPr>
              <w:instrText xml:space="preserve"> PAGEREF _Toc497741862 \h </w:instrText>
            </w:r>
            <w:r w:rsidR="00B15B16">
              <w:rPr>
                <w:webHidden/>
              </w:rPr>
            </w:r>
            <w:r w:rsidR="00B15B16">
              <w:rPr>
                <w:webHidden/>
              </w:rPr>
              <w:fldChar w:fldCharType="separate"/>
            </w:r>
            <w:r w:rsidR="00B15B16">
              <w:rPr>
                <w:webHidden/>
              </w:rPr>
              <w:t>96</w:t>
            </w:r>
            <w:r w:rsidR="00B15B16">
              <w:rPr>
                <w:webHidden/>
              </w:rPr>
              <w:fldChar w:fldCharType="end"/>
            </w:r>
          </w:hyperlink>
        </w:p>
        <w:p w14:paraId="1ED1BC28" w14:textId="77777777" w:rsidR="00B15B16" w:rsidRDefault="00971C75">
          <w:pPr>
            <w:pStyle w:val="TOC1"/>
            <w:tabs>
              <w:tab w:val="left" w:pos="480"/>
            </w:tabs>
            <w:rPr>
              <w:rFonts w:asciiTheme="minorHAnsi" w:eastAsiaTheme="minorEastAsia" w:hAnsiTheme="minorHAnsi"/>
              <w:b w:val="0"/>
              <w:color w:val="auto"/>
              <w:sz w:val="22"/>
              <w:lang w:eastAsia="en-AU"/>
            </w:rPr>
          </w:pPr>
          <w:hyperlink w:anchor="_Toc497741863" w:history="1">
            <w:r w:rsidR="00B15B16" w:rsidRPr="006F5B4A">
              <w:rPr>
                <w:rStyle w:val="Hyperlink"/>
              </w:rPr>
              <w:t>9.</w:t>
            </w:r>
            <w:r w:rsidR="00B15B16">
              <w:rPr>
                <w:rFonts w:asciiTheme="minorHAnsi" w:eastAsiaTheme="minorEastAsia" w:hAnsiTheme="minorHAnsi"/>
                <w:b w:val="0"/>
                <w:color w:val="auto"/>
                <w:sz w:val="22"/>
                <w:lang w:eastAsia="en-AU"/>
              </w:rPr>
              <w:tab/>
            </w:r>
            <w:r w:rsidR="00B15B16" w:rsidRPr="006F5B4A">
              <w:rPr>
                <w:rStyle w:val="Hyperlink"/>
              </w:rPr>
              <w:t>Available information</w:t>
            </w:r>
            <w:r w:rsidR="00B15B16">
              <w:rPr>
                <w:webHidden/>
              </w:rPr>
              <w:tab/>
            </w:r>
            <w:r w:rsidR="00B15B16">
              <w:rPr>
                <w:webHidden/>
              </w:rPr>
              <w:fldChar w:fldCharType="begin"/>
            </w:r>
            <w:r w:rsidR="00B15B16">
              <w:rPr>
                <w:webHidden/>
              </w:rPr>
              <w:instrText xml:space="preserve"> PAGEREF _Toc497741863 \h </w:instrText>
            </w:r>
            <w:r w:rsidR="00B15B16">
              <w:rPr>
                <w:webHidden/>
              </w:rPr>
            </w:r>
            <w:r w:rsidR="00B15B16">
              <w:rPr>
                <w:webHidden/>
              </w:rPr>
              <w:fldChar w:fldCharType="separate"/>
            </w:r>
            <w:r w:rsidR="00B15B16">
              <w:rPr>
                <w:webHidden/>
              </w:rPr>
              <w:t>100</w:t>
            </w:r>
            <w:r w:rsidR="00B15B16">
              <w:rPr>
                <w:webHidden/>
              </w:rPr>
              <w:fldChar w:fldCharType="end"/>
            </w:r>
          </w:hyperlink>
        </w:p>
        <w:p w14:paraId="6F2C0592" w14:textId="77777777" w:rsidR="00B15B16" w:rsidRDefault="00971C75">
          <w:pPr>
            <w:pStyle w:val="TOC2"/>
            <w:tabs>
              <w:tab w:val="left" w:pos="880"/>
            </w:tabs>
            <w:rPr>
              <w:rFonts w:asciiTheme="minorHAnsi" w:eastAsiaTheme="minorEastAsia" w:hAnsiTheme="minorHAnsi"/>
              <w:color w:val="auto"/>
              <w:sz w:val="22"/>
            </w:rPr>
          </w:pPr>
          <w:hyperlink w:anchor="_Toc497741864" w:history="1">
            <w:r w:rsidR="00B15B16" w:rsidRPr="006F5B4A">
              <w:rPr>
                <w:rStyle w:val="Hyperlink"/>
              </w:rPr>
              <w:t>9.1</w:t>
            </w:r>
            <w:r w:rsidR="00B15B16">
              <w:rPr>
                <w:rFonts w:asciiTheme="minorHAnsi" w:eastAsiaTheme="minorEastAsia" w:hAnsiTheme="minorHAnsi"/>
                <w:color w:val="auto"/>
                <w:sz w:val="22"/>
              </w:rPr>
              <w:tab/>
            </w:r>
            <w:r w:rsidR="00B15B16" w:rsidRPr="006F5B4A">
              <w:rPr>
                <w:rStyle w:val="Hyperlink"/>
              </w:rPr>
              <w:t>Expanding the information provided to the public</w:t>
            </w:r>
            <w:r w:rsidR="00B15B16">
              <w:rPr>
                <w:webHidden/>
              </w:rPr>
              <w:tab/>
            </w:r>
            <w:r w:rsidR="00B15B16">
              <w:rPr>
                <w:webHidden/>
              </w:rPr>
              <w:fldChar w:fldCharType="begin"/>
            </w:r>
            <w:r w:rsidR="00B15B16">
              <w:rPr>
                <w:webHidden/>
              </w:rPr>
              <w:instrText xml:space="preserve"> PAGEREF _Toc497741864 \h </w:instrText>
            </w:r>
            <w:r w:rsidR="00B15B16">
              <w:rPr>
                <w:webHidden/>
              </w:rPr>
            </w:r>
            <w:r w:rsidR="00B15B16">
              <w:rPr>
                <w:webHidden/>
              </w:rPr>
              <w:fldChar w:fldCharType="separate"/>
            </w:r>
            <w:r w:rsidR="00B15B16">
              <w:rPr>
                <w:webHidden/>
              </w:rPr>
              <w:t>100</w:t>
            </w:r>
            <w:r w:rsidR="00B15B16">
              <w:rPr>
                <w:webHidden/>
              </w:rPr>
              <w:fldChar w:fldCharType="end"/>
            </w:r>
          </w:hyperlink>
        </w:p>
        <w:p w14:paraId="06DEB757" w14:textId="77777777" w:rsidR="00B15B16" w:rsidRDefault="00971C75">
          <w:pPr>
            <w:pStyle w:val="TOC3"/>
            <w:rPr>
              <w:rFonts w:asciiTheme="minorHAnsi" w:eastAsiaTheme="minorEastAsia" w:hAnsiTheme="minorHAnsi"/>
              <w:color w:val="auto"/>
              <w:sz w:val="22"/>
            </w:rPr>
          </w:pPr>
          <w:hyperlink w:anchor="_Toc497741865" w:history="1">
            <w:r w:rsidR="00B15B16" w:rsidRPr="006F5B4A">
              <w:rPr>
                <w:rStyle w:val="Hyperlink"/>
              </w:rPr>
              <w:t>Option 1:  Status Quo</w:t>
            </w:r>
            <w:r w:rsidR="00B15B16">
              <w:rPr>
                <w:webHidden/>
              </w:rPr>
              <w:tab/>
            </w:r>
            <w:r w:rsidR="00B15B16">
              <w:rPr>
                <w:webHidden/>
              </w:rPr>
              <w:fldChar w:fldCharType="begin"/>
            </w:r>
            <w:r w:rsidR="00B15B16">
              <w:rPr>
                <w:webHidden/>
              </w:rPr>
              <w:instrText xml:space="preserve"> PAGEREF _Toc497741865 \h </w:instrText>
            </w:r>
            <w:r w:rsidR="00B15B16">
              <w:rPr>
                <w:webHidden/>
              </w:rPr>
            </w:r>
            <w:r w:rsidR="00B15B16">
              <w:rPr>
                <w:webHidden/>
              </w:rPr>
              <w:fldChar w:fldCharType="separate"/>
            </w:r>
            <w:r w:rsidR="00B15B16">
              <w:rPr>
                <w:webHidden/>
              </w:rPr>
              <w:t>102</w:t>
            </w:r>
            <w:r w:rsidR="00B15B16">
              <w:rPr>
                <w:webHidden/>
              </w:rPr>
              <w:fldChar w:fldCharType="end"/>
            </w:r>
          </w:hyperlink>
        </w:p>
        <w:p w14:paraId="292C3D7A" w14:textId="77777777" w:rsidR="00B15B16" w:rsidRDefault="00971C75">
          <w:pPr>
            <w:pStyle w:val="TOC3"/>
            <w:rPr>
              <w:rFonts w:asciiTheme="minorHAnsi" w:eastAsiaTheme="minorEastAsia" w:hAnsiTheme="minorHAnsi"/>
              <w:color w:val="auto"/>
              <w:sz w:val="22"/>
            </w:rPr>
          </w:pPr>
          <w:hyperlink w:anchor="_Toc497741866" w:history="1">
            <w:r w:rsidR="00B15B16" w:rsidRPr="006F5B4A">
              <w:rPr>
                <w:rStyle w:val="Hyperlink"/>
              </w:rPr>
              <w:t>Option 2:  Additional reporting requirement</w:t>
            </w:r>
            <w:r w:rsidR="00B15B16">
              <w:rPr>
                <w:webHidden/>
              </w:rPr>
              <w:tab/>
            </w:r>
            <w:r w:rsidR="00B15B16">
              <w:rPr>
                <w:webHidden/>
              </w:rPr>
              <w:fldChar w:fldCharType="begin"/>
            </w:r>
            <w:r w:rsidR="00B15B16">
              <w:rPr>
                <w:webHidden/>
              </w:rPr>
              <w:instrText xml:space="preserve"> PAGEREF _Toc497741866 \h </w:instrText>
            </w:r>
            <w:r w:rsidR="00B15B16">
              <w:rPr>
                <w:webHidden/>
              </w:rPr>
            </w:r>
            <w:r w:rsidR="00B15B16">
              <w:rPr>
                <w:webHidden/>
              </w:rPr>
              <w:fldChar w:fldCharType="separate"/>
            </w:r>
            <w:r w:rsidR="00B15B16">
              <w:rPr>
                <w:webHidden/>
              </w:rPr>
              <w:t>102</w:t>
            </w:r>
            <w:r w:rsidR="00B15B16">
              <w:rPr>
                <w:webHidden/>
              </w:rPr>
              <w:fldChar w:fldCharType="end"/>
            </w:r>
          </w:hyperlink>
        </w:p>
        <w:p w14:paraId="213F45FE" w14:textId="77777777" w:rsidR="00B15B16" w:rsidRDefault="00971C75">
          <w:pPr>
            <w:pStyle w:val="TOC3"/>
            <w:rPr>
              <w:rFonts w:asciiTheme="minorHAnsi" w:eastAsiaTheme="minorEastAsia" w:hAnsiTheme="minorHAnsi"/>
              <w:color w:val="auto"/>
              <w:sz w:val="22"/>
            </w:rPr>
          </w:pPr>
          <w:hyperlink w:anchor="_Toc497741867" w:history="1">
            <w:r w:rsidR="00B15B16" w:rsidRPr="006F5B4A">
              <w:rPr>
                <w:rStyle w:val="Hyperlink"/>
              </w:rPr>
              <w:t>Option 3:  Policy requirement</w:t>
            </w:r>
            <w:r w:rsidR="00B15B16">
              <w:rPr>
                <w:webHidden/>
              </w:rPr>
              <w:tab/>
            </w:r>
            <w:r w:rsidR="00B15B16">
              <w:rPr>
                <w:webHidden/>
              </w:rPr>
              <w:fldChar w:fldCharType="begin"/>
            </w:r>
            <w:r w:rsidR="00B15B16">
              <w:rPr>
                <w:webHidden/>
              </w:rPr>
              <w:instrText xml:space="preserve"> PAGEREF _Toc497741867 \h </w:instrText>
            </w:r>
            <w:r w:rsidR="00B15B16">
              <w:rPr>
                <w:webHidden/>
              </w:rPr>
            </w:r>
            <w:r w:rsidR="00B15B16">
              <w:rPr>
                <w:webHidden/>
              </w:rPr>
              <w:fldChar w:fldCharType="separate"/>
            </w:r>
            <w:r w:rsidR="00B15B16">
              <w:rPr>
                <w:webHidden/>
              </w:rPr>
              <w:t>102</w:t>
            </w:r>
            <w:r w:rsidR="00B15B16">
              <w:rPr>
                <w:webHidden/>
              </w:rPr>
              <w:fldChar w:fldCharType="end"/>
            </w:r>
          </w:hyperlink>
        </w:p>
        <w:p w14:paraId="136CDE7E" w14:textId="77777777" w:rsidR="00B15B16" w:rsidRDefault="00971C75">
          <w:pPr>
            <w:pStyle w:val="TOC1"/>
            <w:rPr>
              <w:rFonts w:asciiTheme="minorHAnsi" w:eastAsiaTheme="minorEastAsia" w:hAnsiTheme="minorHAnsi"/>
              <w:b w:val="0"/>
              <w:color w:val="auto"/>
              <w:sz w:val="22"/>
              <w:lang w:eastAsia="en-AU"/>
            </w:rPr>
          </w:pPr>
          <w:hyperlink w:anchor="_Toc497741868" w:history="1">
            <w:r w:rsidR="00B15B16" w:rsidRPr="006F5B4A">
              <w:rPr>
                <w:rStyle w:val="Hyperlink"/>
              </w:rPr>
              <w:t>Red Tape Reduction</w:t>
            </w:r>
            <w:r w:rsidR="00B15B16">
              <w:rPr>
                <w:webHidden/>
              </w:rPr>
              <w:tab/>
            </w:r>
            <w:r w:rsidR="00B15B16">
              <w:rPr>
                <w:webHidden/>
              </w:rPr>
              <w:fldChar w:fldCharType="begin"/>
            </w:r>
            <w:r w:rsidR="00B15B16">
              <w:rPr>
                <w:webHidden/>
              </w:rPr>
              <w:instrText xml:space="preserve"> PAGEREF _Toc497741868 \h </w:instrText>
            </w:r>
            <w:r w:rsidR="00B15B16">
              <w:rPr>
                <w:webHidden/>
              </w:rPr>
            </w:r>
            <w:r w:rsidR="00B15B16">
              <w:rPr>
                <w:webHidden/>
              </w:rPr>
              <w:fldChar w:fldCharType="separate"/>
            </w:r>
            <w:r w:rsidR="00B15B16">
              <w:rPr>
                <w:webHidden/>
              </w:rPr>
              <w:t>105</w:t>
            </w:r>
            <w:r w:rsidR="00B15B16">
              <w:rPr>
                <w:webHidden/>
              </w:rPr>
              <w:fldChar w:fldCharType="end"/>
            </w:r>
          </w:hyperlink>
        </w:p>
        <w:p w14:paraId="52A04A9C" w14:textId="77777777" w:rsidR="00B15B16" w:rsidRDefault="00971C75">
          <w:pPr>
            <w:pStyle w:val="TOC1"/>
            <w:tabs>
              <w:tab w:val="left" w:pos="660"/>
            </w:tabs>
            <w:rPr>
              <w:rFonts w:asciiTheme="minorHAnsi" w:eastAsiaTheme="minorEastAsia" w:hAnsiTheme="minorHAnsi"/>
              <w:b w:val="0"/>
              <w:color w:val="auto"/>
              <w:sz w:val="22"/>
              <w:lang w:eastAsia="en-AU"/>
            </w:rPr>
          </w:pPr>
          <w:hyperlink w:anchor="_Toc497741869" w:history="1">
            <w:r w:rsidR="00B15B16" w:rsidRPr="006F5B4A">
              <w:rPr>
                <w:rStyle w:val="Hyperlink"/>
              </w:rPr>
              <w:t>10.</w:t>
            </w:r>
            <w:r w:rsidR="00B15B16">
              <w:rPr>
                <w:rFonts w:asciiTheme="minorHAnsi" w:eastAsiaTheme="minorEastAsia" w:hAnsiTheme="minorHAnsi"/>
                <w:b w:val="0"/>
                <w:color w:val="auto"/>
                <w:sz w:val="22"/>
                <w:lang w:eastAsia="en-AU"/>
              </w:rPr>
              <w:tab/>
            </w:r>
            <w:r w:rsidR="00B15B16" w:rsidRPr="006F5B4A">
              <w:rPr>
                <w:rStyle w:val="Hyperlink"/>
              </w:rPr>
              <w:t>Reducing red tape</w:t>
            </w:r>
            <w:r w:rsidR="00B15B16">
              <w:rPr>
                <w:webHidden/>
              </w:rPr>
              <w:tab/>
            </w:r>
            <w:r w:rsidR="00B15B16">
              <w:rPr>
                <w:webHidden/>
              </w:rPr>
              <w:fldChar w:fldCharType="begin"/>
            </w:r>
            <w:r w:rsidR="00B15B16">
              <w:rPr>
                <w:webHidden/>
              </w:rPr>
              <w:instrText xml:space="preserve"> PAGEREF _Toc497741869 \h </w:instrText>
            </w:r>
            <w:r w:rsidR="00B15B16">
              <w:rPr>
                <w:webHidden/>
              </w:rPr>
            </w:r>
            <w:r w:rsidR="00B15B16">
              <w:rPr>
                <w:webHidden/>
              </w:rPr>
              <w:fldChar w:fldCharType="separate"/>
            </w:r>
            <w:r w:rsidR="00B15B16">
              <w:rPr>
                <w:webHidden/>
              </w:rPr>
              <w:t>106</w:t>
            </w:r>
            <w:r w:rsidR="00B15B16">
              <w:rPr>
                <w:webHidden/>
              </w:rPr>
              <w:fldChar w:fldCharType="end"/>
            </w:r>
          </w:hyperlink>
        </w:p>
        <w:p w14:paraId="6A5B1D68" w14:textId="77777777" w:rsidR="00B15B16" w:rsidRDefault="00971C75">
          <w:pPr>
            <w:pStyle w:val="TOC2"/>
            <w:tabs>
              <w:tab w:val="left" w:pos="1100"/>
            </w:tabs>
            <w:rPr>
              <w:rFonts w:asciiTheme="minorHAnsi" w:eastAsiaTheme="minorEastAsia" w:hAnsiTheme="minorHAnsi"/>
              <w:color w:val="auto"/>
              <w:sz w:val="22"/>
            </w:rPr>
          </w:pPr>
          <w:hyperlink w:anchor="_Toc497741870" w:history="1">
            <w:r w:rsidR="00B15B16" w:rsidRPr="006F5B4A">
              <w:rPr>
                <w:rStyle w:val="Hyperlink"/>
              </w:rPr>
              <w:t>10.1</w:t>
            </w:r>
            <w:r w:rsidR="00B15B16">
              <w:rPr>
                <w:rFonts w:asciiTheme="minorHAnsi" w:eastAsiaTheme="minorEastAsia" w:hAnsiTheme="minorHAnsi"/>
                <w:color w:val="auto"/>
                <w:sz w:val="22"/>
              </w:rPr>
              <w:tab/>
            </w:r>
            <w:r w:rsidR="00B15B16" w:rsidRPr="006F5B4A">
              <w:rPr>
                <w:rStyle w:val="Hyperlink"/>
              </w:rPr>
              <w:t>Defining red tape</w:t>
            </w:r>
            <w:r w:rsidR="00B15B16">
              <w:rPr>
                <w:webHidden/>
              </w:rPr>
              <w:tab/>
            </w:r>
            <w:r w:rsidR="00B15B16">
              <w:rPr>
                <w:webHidden/>
              </w:rPr>
              <w:fldChar w:fldCharType="begin"/>
            </w:r>
            <w:r w:rsidR="00B15B16">
              <w:rPr>
                <w:webHidden/>
              </w:rPr>
              <w:instrText xml:space="preserve"> PAGEREF _Toc497741870 \h </w:instrText>
            </w:r>
            <w:r w:rsidR="00B15B16">
              <w:rPr>
                <w:webHidden/>
              </w:rPr>
            </w:r>
            <w:r w:rsidR="00B15B16">
              <w:rPr>
                <w:webHidden/>
              </w:rPr>
              <w:fldChar w:fldCharType="separate"/>
            </w:r>
            <w:r w:rsidR="00B15B16">
              <w:rPr>
                <w:webHidden/>
              </w:rPr>
              <w:t>106</w:t>
            </w:r>
            <w:r w:rsidR="00B15B16">
              <w:rPr>
                <w:webHidden/>
              </w:rPr>
              <w:fldChar w:fldCharType="end"/>
            </w:r>
          </w:hyperlink>
        </w:p>
        <w:p w14:paraId="44841DB6" w14:textId="77777777" w:rsidR="00B15B16" w:rsidRDefault="00971C75">
          <w:pPr>
            <w:pStyle w:val="TOC3"/>
            <w:rPr>
              <w:rFonts w:asciiTheme="minorHAnsi" w:eastAsiaTheme="minorEastAsia" w:hAnsiTheme="minorHAnsi"/>
              <w:color w:val="auto"/>
              <w:sz w:val="22"/>
            </w:rPr>
          </w:pPr>
          <w:hyperlink w:anchor="_Toc497741871" w:history="1">
            <w:r w:rsidR="00B15B16" w:rsidRPr="006F5B4A">
              <w:rPr>
                <w:rStyle w:val="Hyperlink"/>
              </w:rPr>
              <w:t>Red Tape Rapid Assessment Tool</w:t>
            </w:r>
            <w:r w:rsidR="00B15B16">
              <w:rPr>
                <w:webHidden/>
              </w:rPr>
              <w:tab/>
            </w:r>
            <w:r w:rsidR="00B15B16">
              <w:rPr>
                <w:webHidden/>
              </w:rPr>
              <w:fldChar w:fldCharType="begin"/>
            </w:r>
            <w:r w:rsidR="00B15B16">
              <w:rPr>
                <w:webHidden/>
              </w:rPr>
              <w:instrText xml:space="preserve"> PAGEREF _Toc497741871 \h </w:instrText>
            </w:r>
            <w:r w:rsidR="00B15B16">
              <w:rPr>
                <w:webHidden/>
              </w:rPr>
            </w:r>
            <w:r w:rsidR="00B15B16">
              <w:rPr>
                <w:webHidden/>
              </w:rPr>
              <w:fldChar w:fldCharType="separate"/>
            </w:r>
            <w:r w:rsidR="00B15B16">
              <w:rPr>
                <w:webHidden/>
              </w:rPr>
              <w:t>107</w:t>
            </w:r>
            <w:r w:rsidR="00B15B16">
              <w:rPr>
                <w:webHidden/>
              </w:rPr>
              <w:fldChar w:fldCharType="end"/>
            </w:r>
          </w:hyperlink>
        </w:p>
        <w:p w14:paraId="1B749D6B" w14:textId="77777777" w:rsidR="00B15B16" w:rsidRDefault="00971C75">
          <w:pPr>
            <w:pStyle w:val="TOC3"/>
            <w:rPr>
              <w:rFonts w:asciiTheme="minorHAnsi" w:eastAsiaTheme="minorEastAsia" w:hAnsiTheme="minorHAnsi"/>
              <w:color w:val="auto"/>
              <w:sz w:val="22"/>
            </w:rPr>
          </w:pPr>
          <w:hyperlink w:anchor="_Toc497741872" w:history="1">
            <w:r w:rsidR="00B15B16" w:rsidRPr="006F5B4A">
              <w:rPr>
                <w:rStyle w:val="Hyperlink"/>
              </w:rPr>
              <w:t>Regulatory Burden Measure</w:t>
            </w:r>
            <w:r w:rsidR="00B15B16">
              <w:rPr>
                <w:webHidden/>
              </w:rPr>
              <w:tab/>
            </w:r>
            <w:r w:rsidR="00B15B16">
              <w:rPr>
                <w:webHidden/>
              </w:rPr>
              <w:fldChar w:fldCharType="begin"/>
            </w:r>
            <w:r w:rsidR="00B15B16">
              <w:rPr>
                <w:webHidden/>
              </w:rPr>
              <w:instrText xml:space="preserve"> PAGEREF _Toc497741872 \h </w:instrText>
            </w:r>
            <w:r w:rsidR="00B15B16">
              <w:rPr>
                <w:webHidden/>
              </w:rPr>
            </w:r>
            <w:r w:rsidR="00B15B16">
              <w:rPr>
                <w:webHidden/>
              </w:rPr>
              <w:fldChar w:fldCharType="separate"/>
            </w:r>
            <w:r w:rsidR="00B15B16">
              <w:rPr>
                <w:webHidden/>
              </w:rPr>
              <w:t>107</w:t>
            </w:r>
            <w:r w:rsidR="00B15B16">
              <w:rPr>
                <w:webHidden/>
              </w:rPr>
              <w:fldChar w:fldCharType="end"/>
            </w:r>
          </w:hyperlink>
        </w:p>
        <w:p w14:paraId="63C7E497" w14:textId="77777777" w:rsidR="00B15B16" w:rsidRDefault="00971C75">
          <w:pPr>
            <w:pStyle w:val="TOC2"/>
            <w:tabs>
              <w:tab w:val="left" w:pos="1100"/>
            </w:tabs>
            <w:rPr>
              <w:rFonts w:asciiTheme="minorHAnsi" w:eastAsiaTheme="minorEastAsia" w:hAnsiTheme="minorHAnsi"/>
              <w:color w:val="auto"/>
              <w:sz w:val="22"/>
            </w:rPr>
          </w:pPr>
          <w:hyperlink w:anchor="_Toc497741873" w:history="1">
            <w:r w:rsidR="00B15B16" w:rsidRPr="006F5B4A">
              <w:rPr>
                <w:rStyle w:val="Hyperlink"/>
              </w:rPr>
              <w:t>10.2</w:t>
            </w:r>
            <w:r w:rsidR="00B15B16">
              <w:rPr>
                <w:rFonts w:asciiTheme="minorHAnsi" w:eastAsiaTheme="minorEastAsia" w:hAnsiTheme="minorHAnsi"/>
                <w:color w:val="auto"/>
                <w:sz w:val="22"/>
              </w:rPr>
              <w:tab/>
            </w:r>
            <w:r w:rsidR="00B15B16" w:rsidRPr="006F5B4A">
              <w:rPr>
                <w:rStyle w:val="Hyperlink"/>
              </w:rPr>
              <w:t>Potential red tape reductions</w:t>
            </w:r>
            <w:r w:rsidR="00B15B16">
              <w:rPr>
                <w:webHidden/>
              </w:rPr>
              <w:tab/>
            </w:r>
            <w:r w:rsidR="00B15B16">
              <w:rPr>
                <w:webHidden/>
              </w:rPr>
              <w:fldChar w:fldCharType="begin"/>
            </w:r>
            <w:r w:rsidR="00B15B16">
              <w:rPr>
                <w:webHidden/>
              </w:rPr>
              <w:instrText xml:space="preserve"> PAGEREF _Toc497741873 \h </w:instrText>
            </w:r>
            <w:r w:rsidR="00B15B16">
              <w:rPr>
                <w:webHidden/>
              </w:rPr>
            </w:r>
            <w:r w:rsidR="00B15B16">
              <w:rPr>
                <w:webHidden/>
              </w:rPr>
              <w:fldChar w:fldCharType="separate"/>
            </w:r>
            <w:r w:rsidR="00B15B16">
              <w:rPr>
                <w:webHidden/>
              </w:rPr>
              <w:t>108</w:t>
            </w:r>
            <w:r w:rsidR="00B15B16">
              <w:rPr>
                <w:webHidden/>
              </w:rPr>
              <w:fldChar w:fldCharType="end"/>
            </w:r>
          </w:hyperlink>
        </w:p>
        <w:p w14:paraId="06996314" w14:textId="77777777" w:rsidR="00B15B16" w:rsidRDefault="00971C75">
          <w:pPr>
            <w:pStyle w:val="TOC3"/>
            <w:rPr>
              <w:rFonts w:asciiTheme="minorHAnsi" w:eastAsiaTheme="minorEastAsia" w:hAnsiTheme="minorHAnsi"/>
              <w:color w:val="auto"/>
              <w:sz w:val="22"/>
            </w:rPr>
          </w:pPr>
          <w:hyperlink w:anchor="_Toc497741874" w:history="1">
            <w:r w:rsidR="00B15B16" w:rsidRPr="006F5B4A">
              <w:rPr>
                <w:rStyle w:val="Hyperlink"/>
              </w:rPr>
              <w:t>Special Majority</w:t>
            </w:r>
            <w:r w:rsidR="00B15B16">
              <w:rPr>
                <w:webHidden/>
              </w:rPr>
              <w:tab/>
            </w:r>
            <w:r w:rsidR="00B15B16">
              <w:rPr>
                <w:webHidden/>
              </w:rPr>
              <w:fldChar w:fldCharType="begin"/>
            </w:r>
            <w:r w:rsidR="00B15B16">
              <w:rPr>
                <w:webHidden/>
              </w:rPr>
              <w:instrText xml:space="preserve"> PAGEREF _Toc497741874 \h </w:instrText>
            </w:r>
            <w:r w:rsidR="00B15B16">
              <w:rPr>
                <w:webHidden/>
              </w:rPr>
            </w:r>
            <w:r w:rsidR="00B15B16">
              <w:rPr>
                <w:webHidden/>
              </w:rPr>
              <w:fldChar w:fldCharType="separate"/>
            </w:r>
            <w:r w:rsidR="00B15B16">
              <w:rPr>
                <w:webHidden/>
              </w:rPr>
              <w:t>108</w:t>
            </w:r>
            <w:r w:rsidR="00B15B16">
              <w:rPr>
                <w:webHidden/>
              </w:rPr>
              <w:fldChar w:fldCharType="end"/>
            </w:r>
          </w:hyperlink>
        </w:p>
        <w:p w14:paraId="457AB129" w14:textId="77777777" w:rsidR="00B15B16" w:rsidRDefault="00971C75">
          <w:pPr>
            <w:pStyle w:val="TOC3"/>
            <w:rPr>
              <w:rFonts w:asciiTheme="minorHAnsi" w:eastAsiaTheme="minorEastAsia" w:hAnsiTheme="minorHAnsi"/>
              <w:color w:val="auto"/>
              <w:sz w:val="22"/>
            </w:rPr>
          </w:pPr>
          <w:hyperlink w:anchor="_Toc497741875" w:history="1">
            <w:r w:rsidR="00B15B16" w:rsidRPr="006F5B4A">
              <w:rPr>
                <w:rStyle w:val="Hyperlink"/>
              </w:rPr>
              <w:t>Senior employees</w:t>
            </w:r>
            <w:r w:rsidR="00B15B16">
              <w:rPr>
                <w:webHidden/>
              </w:rPr>
              <w:tab/>
            </w:r>
            <w:r w:rsidR="00B15B16">
              <w:rPr>
                <w:webHidden/>
              </w:rPr>
              <w:fldChar w:fldCharType="begin"/>
            </w:r>
            <w:r w:rsidR="00B15B16">
              <w:rPr>
                <w:webHidden/>
              </w:rPr>
              <w:instrText xml:space="preserve"> PAGEREF _Toc497741875 \h </w:instrText>
            </w:r>
            <w:r w:rsidR="00B15B16">
              <w:rPr>
                <w:webHidden/>
              </w:rPr>
            </w:r>
            <w:r w:rsidR="00B15B16">
              <w:rPr>
                <w:webHidden/>
              </w:rPr>
              <w:fldChar w:fldCharType="separate"/>
            </w:r>
            <w:r w:rsidR="00B15B16">
              <w:rPr>
                <w:webHidden/>
              </w:rPr>
              <w:t>108</w:t>
            </w:r>
            <w:r w:rsidR="00B15B16">
              <w:rPr>
                <w:webHidden/>
              </w:rPr>
              <w:fldChar w:fldCharType="end"/>
            </w:r>
          </w:hyperlink>
        </w:p>
        <w:p w14:paraId="0EEB42E5" w14:textId="77777777" w:rsidR="00B15B16" w:rsidRDefault="00971C75">
          <w:pPr>
            <w:pStyle w:val="TOC2"/>
            <w:rPr>
              <w:rFonts w:asciiTheme="minorHAnsi" w:eastAsiaTheme="minorEastAsia" w:hAnsiTheme="minorHAnsi"/>
              <w:color w:val="auto"/>
              <w:sz w:val="22"/>
            </w:rPr>
          </w:pPr>
          <w:hyperlink w:anchor="_Toc497741876"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_Toc497741876 \h </w:instrText>
            </w:r>
            <w:r w:rsidR="00B15B16">
              <w:rPr>
                <w:webHidden/>
              </w:rPr>
            </w:r>
            <w:r w:rsidR="00B15B16">
              <w:rPr>
                <w:webHidden/>
              </w:rPr>
              <w:fldChar w:fldCharType="separate"/>
            </w:r>
            <w:r w:rsidR="00B15B16">
              <w:rPr>
                <w:webHidden/>
              </w:rPr>
              <w:t>109</w:t>
            </w:r>
            <w:r w:rsidR="00B15B16">
              <w:rPr>
                <w:webHidden/>
              </w:rPr>
              <w:fldChar w:fldCharType="end"/>
            </w:r>
          </w:hyperlink>
        </w:p>
        <w:p w14:paraId="72720C3A" w14:textId="77777777" w:rsidR="00B15B16" w:rsidRDefault="00971C75">
          <w:pPr>
            <w:pStyle w:val="TOC3"/>
            <w:rPr>
              <w:rFonts w:asciiTheme="minorHAnsi" w:eastAsiaTheme="minorEastAsia" w:hAnsiTheme="minorHAnsi"/>
              <w:color w:val="auto"/>
              <w:sz w:val="22"/>
            </w:rPr>
          </w:pPr>
          <w:hyperlink w:anchor="_Toc497741877" w:history="1">
            <w:r w:rsidR="00B15B16" w:rsidRPr="006F5B4A">
              <w:rPr>
                <w:rStyle w:val="Hyperlink"/>
              </w:rPr>
              <w:t>Exemption from Accounting Standard AASB124 — Related Party Disclosures</w:t>
            </w:r>
            <w:r w:rsidR="00B15B16">
              <w:rPr>
                <w:webHidden/>
              </w:rPr>
              <w:tab/>
            </w:r>
            <w:r w:rsidR="00B15B16">
              <w:rPr>
                <w:webHidden/>
              </w:rPr>
              <w:fldChar w:fldCharType="begin"/>
            </w:r>
            <w:r w:rsidR="00B15B16">
              <w:rPr>
                <w:webHidden/>
              </w:rPr>
              <w:instrText xml:space="preserve"> PAGEREF _Toc497741877 \h </w:instrText>
            </w:r>
            <w:r w:rsidR="00B15B16">
              <w:rPr>
                <w:webHidden/>
              </w:rPr>
            </w:r>
            <w:r w:rsidR="00B15B16">
              <w:rPr>
                <w:webHidden/>
              </w:rPr>
              <w:fldChar w:fldCharType="separate"/>
            </w:r>
            <w:r w:rsidR="00B15B16">
              <w:rPr>
                <w:webHidden/>
              </w:rPr>
              <w:t>110</w:t>
            </w:r>
            <w:r w:rsidR="00B15B16">
              <w:rPr>
                <w:webHidden/>
              </w:rPr>
              <w:fldChar w:fldCharType="end"/>
            </w:r>
          </w:hyperlink>
        </w:p>
        <w:p w14:paraId="1C4C0063" w14:textId="77777777" w:rsidR="00B15B16" w:rsidRDefault="00971C75">
          <w:pPr>
            <w:pStyle w:val="TOC3"/>
            <w:rPr>
              <w:rFonts w:asciiTheme="minorHAnsi" w:eastAsiaTheme="minorEastAsia" w:hAnsiTheme="minorHAnsi"/>
              <w:color w:val="auto"/>
              <w:sz w:val="22"/>
            </w:rPr>
          </w:pPr>
          <w:hyperlink w:anchor="_Toc497741878" w:history="1">
            <w:r w:rsidR="00B15B16" w:rsidRPr="006F5B4A">
              <w:rPr>
                <w:rStyle w:val="Hyperlink"/>
              </w:rPr>
              <w:t>Disposal of Property</w:t>
            </w:r>
            <w:r w:rsidR="00B15B16">
              <w:rPr>
                <w:webHidden/>
              </w:rPr>
              <w:tab/>
            </w:r>
            <w:r w:rsidR="00B15B16">
              <w:rPr>
                <w:webHidden/>
              </w:rPr>
              <w:fldChar w:fldCharType="begin"/>
            </w:r>
            <w:r w:rsidR="00B15B16">
              <w:rPr>
                <w:webHidden/>
              </w:rPr>
              <w:instrText xml:space="preserve"> PAGEREF _Toc497741878 \h </w:instrText>
            </w:r>
            <w:r w:rsidR="00B15B16">
              <w:rPr>
                <w:webHidden/>
              </w:rPr>
            </w:r>
            <w:r w:rsidR="00B15B16">
              <w:rPr>
                <w:webHidden/>
              </w:rPr>
              <w:fldChar w:fldCharType="separate"/>
            </w:r>
            <w:r w:rsidR="00B15B16">
              <w:rPr>
                <w:webHidden/>
              </w:rPr>
              <w:t>111</w:t>
            </w:r>
            <w:r w:rsidR="00B15B16">
              <w:rPr>
                <w:webHidden/>
              </w:rPr>
              <w:fldChar w:fldCharType="end"/>
            </w:r>
          </w:hyperlink>
        </w:p>
        <w:p w14:paraId="2AB79E6C" w14:textId="77777777" w:rsidR="00B15B16" w:rsidRDefault="00971C75">
          <w:pPr>
            <w:pStyle w:val="TOC1"/>
            <w:rPr>
              <w:rFonts w:asciiTheme="minorHAnsi" w:eastAsiaTheme="minorEastAsia" w:hAnsiTheme="minorHAnsi"/>
              <w:b w:val="0"/>
              <w:color w:val="auto"/>
              <w:sz w:val="22"/>
              <w:lang w:eastAsia="en-AU"/>
            </w:rPr>
          </w:pPr>
          <w:hyperlink w:anchor="_Toc497741879" w:history="1">
            <w:r w:rsidR="00B15B16" w:rsidRPr="006F5B4A">
              <w:rPr>
                <w:rStyle w:val="Hyperlink"/>
              </w:rPr>
              <w:t>Regional Subsidiaries</w:t>
            </w:r>
            <w:r w:rsidR="00B15B16">
              <w:rPr>
                <w:webHidden/>
              </w:rPr>
              <w:tab/>
            </w:r>
            <w:r w:rsidR="00B15B16">
              <w:rPr>
                <w:webHidden/>
              </w:rPr>
              <w:fldChar w:fldCharType="begin"/>
            </w:r>
            <w:r w:rsidR="00B15B16">
              <w:rPr>
                <w:webHidden/>
              </w:rPr>
              <w:instrText xml:space="preserve"> PAGEREF _Toc497741879 \h </w:instrText>
            </w:r>
            <w:r w:rsidR="00B15B16">
              <w:rPr>
                <w:webHidden/>
              </w:rPr>
            </w:r>
            <w:r w:rsidR="00B15B16">
              <w:rPr>
                <w:webHidden/>
              </w:rPr>
              <w:fldChar w:fldCharType="separate"/>
            </w:r>
            <w:r w:rsidR="00B15B16">
              <w:rPr>
                <w:webHidden/>
              </w:rPr>
              <w:t>113</w:t>
            </w:r>
            <w:r w:rsidR="00B15B16">
              <w:rPr>
                <w:webHidden/>
              </w:rPr>
              <w:fldChar w:fldCharType="end"/>
            </w:r>
          </w:hyperlink>
        </w:p>
        <w:p w14:paraId="61456182" w14:textId="77777777" w:rsidR="00B15B16" w:rsidRDefault="00971C75">
          <w:pPr>
            <w:pStyle w:val="TOC1"/>
            <w:tabs>
              <w:tab w:val="left" w:pos="660"/>
            </w:tabs>
            <w:rPr>
              <w:rFonts w:asciiTheme="minorHAnsi" w:eastAsiaTheme="minorEastAsia" w:hAnsiTheme="minorHAnsi"/>
              <w:b w:val="0"/>
              <w:color w:val="auto"/>
              <w:sz w:val="22"/>
              <w:lang w:eastAsia="en-AU"/>
            </w:rPr>
          </w:pPr>
          <w:hyperlink w:anchor="_Toc497741880" w:history="1">
            <w:r w:rsidR="00B15B16" w:rsidRPr="006F5B4A">
              <w:rPr>
                <w:rStyle w:val="Hyperlink"/>
                <w:rFonts w:eastAsiaTheme="majorEastAsia" w:cs="Arial"/>
                <w:bCs/>
              </w:rPr>
              <w:t>11.</w:t>
            </w:r>
            <w:r w:rsidR="00B15B16">
              <w:rPr>
                <w:rFonts w:asciiTheme="minorHAnsi" w:eastAsiaTheme="minorEastAsia" w:hAnsiTheme="minorHAnsi"/>
                <w:b w:val="0"/>
                <w:color w:val="auto"/>
                <w:sz w:val="22"/>
                <w:lang w:eastAsia="en-AU"/>
              </w:rPr>
              <w:tab/>
            </w:r>
            <w:r w:rsidR="00B15B16" w:rsidRPr="006F5B4A">
              <w:rPr>
                <w:rStyle w:val="Hyperlink"/>
                <w:rFonts w:eastAsiaTheme="majorEastAsia" w:cs="Arial"/>
                <w:bCs/>
              </w:rPr>
              <w:t>Regional Subsidiaries</w:t>
            </w:r>
            <w:r w:rsidR="00B15B16">
              <w:rPr>
                <w:webHidden/>
              </w:rPr>
              <w:tab/>
            </w:r>
            <w:r w:rsidR="00B15B16">
              <w:rPr>
                <w:webHidden/>
              </w:rPr>
              <w:fldChar w:fldCharType="begin"/>
            </w:r>
            <w:r w:rsidR="00B15B16">
              <w:rPr>
                <w:webHidden/>
              </w:rPr>
              <w:instrText xml:space="preserve"> PAGEREF _Toc497741880 \h </w:instrText>
            </w:r>
            <w:r w:rsidR="00B15B16">
              <w:rPr>
                <w:webHidden/>
              </w:rPr>
            </w:r>
            <w:r w:rsidR="00B15B16">
              <w:rPr>
                <w:webHidden/>
              </w:rPr>
              <w:fldChar w:fldCharType="separate"/>
            </w:r>
            <w:r w:rsidR="00B15B16">
              <w:rPr>
                <w:webHidden/>
              </w:rPr>
              <w:t>114</w:t>
            </w:r>
            <w:r w:rsidR="00B15B16">
              <w:rPr>
                <w:webHidden/>
              </w:rPr>
              <w:fldChar w:fldCharType="end"/>
            </w:r>
          </w:hyperlink>
        </w:p>
        <w:p w14:paraId="3DBAB4FC" w14:textId="77777777" w:rsidR="00B15B16" w:rsidRDefault="00971C75">
          <w:pPr>
            <w:pStyle w:val="TOC2"/>
            <w:tabs>
              <w:tab w:val="left" w:pos="1100"/>
            </w:tabs>
            <w:rPr>
              <w:rFonts w:asciiTheme="minorHAnsi" w:eastAsiaTheme="minorEastAsia" w:hAnsiTheme="minorHAnsi"/>
              <w:color w:val="auto"/>
              <w:sz w:val="22"/>
            </w:rPr>
          </w:pPr>
          <w:hyperlink w:anchor="_Toc497741881" w:history="1">
            <w:r w:rsidR="00B15B16" w:rsidRPr="006F5B4A">
              <w:rPr>
                <w:rStyle w:val="Hyperlink"/>
                <w:rFonts w:eastAsiaTheme="majorEastAsia" w:cs="Arial"/>
                <w:bCs/>
              </w:rPr>
              <w:t>11.1</w:t>
            </w:r>
            <w:r w:rsidR="00B15B16">
              <w:rPr>
                <w:rFonts w:asciiTheme="minorHAnsi" w:eastAsiaTheme="minorEastAsia" w:hAnsiTheme="minorHAnsi"/>
                <w:color w:val="auto"/>
                <w:sz w:val="22"/>
              </w:rPr>
              <w:tab/>
            </w:r>
            <w:r w:rsidR="00B15B16" w:rsidRPr="006F5B4A">
              <w:rPr>
                <w:rStyle w:val="Hyperlink"/>
                <w:rFonts w:eastAsiaTheme="majorEastAsia" w:cs="Arial"/>
                <w:bCs/>
              </w:rPr>
              <w:t>Risks and benefits of borrowing</w:t>
            </w:r>
            <w:r w:rsidR="00B15B16">
              <w:rPr>
                <w:webHidden/>
              </w:rPr>
              <w:tab/>
            </w:r>
            <w:r w:rsidR="00B15B16">
              <w:rPr>
                <w:webHidden/>
              </w:rPr>
              <w:fldChar w:fldCharType="begin"/>
            </w:r>
            <w:r w:rsidR="00B15B16">
              <w:rPr>
                <w:webHidden/>
              </w:rPr>
              <w:instrText xml:space="preserve"> PAGEREF _Toc497741881 \h </w:instrText>
            </w:r>
            <w:r w:rsidR="00B15B16">
              <w:rPr>
                <w:webHidden/>
              </w:rPr>
            </w:r>
            <w:r w:rsidR="00B15B16">
              <w:rPr>
                <w:webHidden/>
              </w:rPr>
              <w:fldChar w:fldCharType="separate"/>
            </w:r>
            <w:r w:rsidR="00B15B16">
              <w:rPr>
                <w:webHidden/>
              </w:rPr>
              <w:t>115</w:t>
            </w:r>
            <w:r w:rsidR="00B15B16">
              <w:rPr>
                <w:webHidden/>
              </w:rPr>
              <w:fldChar w:fldCharType="end"/>
            </w:r>
          </w:hyperlink>
        </w:p>
        <w:p w14:paraId="3EBDEB95" w14:textId="77777777" w:rsidR="00B15B16" w:rsidRDefault="00971C75">
          <w:pPr>
            <w:pStyle w:val="TOC2"/>
            <w:rPr>
              <w:rFonts w:asciiTheme="minorHAnsi" w:eastAsiaTheme="minorEastAsia" w:hAnsiTheme="minorHAnsi"/>
              <w:color w:val="auto"/>
              <w:sz w:val="22"/>
            </w:rPr>
          </w:pPr>
          <w:hyperlink w:anchor="_Toc497741882" w:history="1">
            <w:r w:rsidR="00B15B16" w:rsidRPr="006F5B4A">
              <w:rPr>
                <w:rStyle w:val="Hyperlink"/>
              </w:rPr>
              <w:t>Across Australia</w:t>
            </w:r>
            <w:r w:rsidR="00B15B16">
              <w:rPr>
                <w:webHidden/>
              </w:rPr>
              <w:tab/>
            </w:r>
            <w:r w:rsidR="00B15B16">
              <w:rPr>
                <w:webHidden/>
              </w:rPr>
              <w:fldChar w:fldCharType="begin"/>
            </w:r>
            <w:r w:rsidR="00B15B16">
              <w:rPr>
                <w:webHidden/>
              </w:rPr>
              <w:instrText xml:space="preserve"> PAGEREF _Toc497741882 \h </w:instrText>
            </w:r>
            <w:r w:rsidR="00B15B16">
              <w:rPr>
                <w:webHidden/>
              </w:rPr>
            </w:r>
            <w:r w:rsidR="00B15B16">
              <w:rPr>
                <w:webHidden/>
              </w:rPr>
              <w:fldChar w:fldCharType="separate"/>
            </w:r>
            <w:r w:rsidR="00B15B16">
              <w:rPr>
                <w:webHidden/>
              </w:rPr>
              <w:t>117</w:t>
            </w:r>
            <w:r w:rsidR="00B15B16">
              <w:rPr>
                <w:webHidden/>
              </w:rPr>
              <w:fldChar w:fldCharType="end"/>
            </w:r>
          </w:hyperlink>
        </w:p>
        <w:p w14:paraId="17038A46" w14:textId="77777777" w:rsidR="00B15B16" w:rsidRDefault="00971C75">
          <w:pPr>
            <w:pStyle w:val="TOC2"/>
            <w:tabs>
              <w:tab w:val="left" w:pos="1100"/>
            </w:tabs>
            <w:rPr>
              <w:rFonts w:asciiTheme="minorHAnsi" w:eastAsiaTheme="minorEastAsia" w:hAnsiTheme="minorHAnsi"/>
              <w:color w:val="auto"/>
              <w:sz w:val="22"/>
            </w:rPr>
          </w:pPr>
          <w:hyperlink w:anchor="_Toc497741883" w:history="1">
            <w:r w:rsidR="00B15B16" w:rsidRPr="006F5B4A">
              <w:rPr>
                <w:rStyle w:val="Hyperlink"/>
                <w:rFonts w:eastAsiaTheme="majorEastAsia" w:cs="Arial"/>
                <w:bCs/>
              </w:rPr>
              <w:t>11.2</w:t>
            </w:r>
            <w:r w:rsidR="00B15B16">
              <w:rPr>
                <w:rFonts w:asciiTheme="minorHAnsi" w:eastAsiaTheme="minorEastAsia" w:hAnsiTheme="minorHAnsi"/>
                <w:color w:val="auto"/>
                <w:sz w:val="22"/>
              </w:rPr>
              <w:tab/>
            </w:r>
            <w:r w:rsidR="00B15B16" w:rsidRPr="006F5B4A">
              <w:rPr>
                <w:rStyle w:val="Hyperlink"/>
                <w:rFonts w:eastAsiaTheme="majorEastAsia" w:cs="Arial"/>
                <w:bCs/>
              </w:rPr>
              <w:t>Options:</w:t>
            </w:r>
            <w:r w:rsidR="00B15B16">
              <w:rPr>
                <w:webHidden/>
              </w:rPr>
              <w:tab/>
            </w:r>
            <w:r w:rsidR="00B15B16">
              <w:rPr>
                <w:webHidden/>
              </w:rPr>
              <w:fldChar w:fldCharType="begin"/>
            </w:r>
            <w:r w:rsidR="00B15B16">
              <w:rPr>
                <w:webHidden/>
              </w:rPr>
              <w:instrText xml:space="preserve"> PAGEREF _Toc497741883 \h </w:instrText>
            </w:r>
            <w:r w:rsidR="00B15B16">
              <w:rPr>
                <w:webHidden/>
              </w:rPr>
            </w:r>
            <w:r w:rsidR="00B15B16">
              <w:rPr>
                <w:webHidden/>
              </w:rPr>
              <w:fldChar w:fldCharType="separate"/>
            </w:r>
            <w:r w:rsidR="00B15B16">
              <w:rPr>
                <w:webHidden/>
              </w:rPr>
              <w:t>118</w:t>
            </w:r>
            <w:r w:rsidR="00B15B16">
              <w:rPr>
                <w:webHidden/>
              </w:rPr>
              <w:fldChar w:fldCharType="end"/>
            </w:r>
          </w:hyperlink>
        </w:p>
        <w:p w14:paraId="7DDC5C6B" w14:textId="77777777" w:rsidR="00B15B16" w:rsidRDefault="00971C75">
          <w:pPr>
            <w:pStyle w:val="TOC3"/>
            <w:rPr>
              <w:rFonts w:asciiTheme="minorHAnsi" w:eastAsiaTheme="minorEastAsia" w:hAnsiTheme="minorHAnsi"/>
              <w:color w:val="auto"/>
              <w:sz w:val="22"/>
            </w:rPr>
          </w:pPr>
          <w:hyperlink w:anchor="_Toc497741884" w:history="1">
            <w:r w:rsidR="00B15B16" w:rsidRPr="006F5B4A">
              <w:rPr>
                <w:rStyle w:val="Hyperlink"/>
              </w:rPr>
              <w:t>Option 1: Status quo</w:t>
            </w:r>
            <w:r w:rsidR="00B15B16">
              <w:rPr>
                <w:webHidden/>
              </w:rPr>
              <w:tab/>
            </w:r>
            <w:r w:rsidR="00B15B16">
              <w:rPr>
                <w:webHidden/>
              </w:rPr>
              <w:fldChar w:fldCharType="begin"/>
            </w:r>
            <w:r w:rsidR="00B15B16">
              <w:rPr>
                <w:webHidden/>
              </w:rPr>
              <w:instrText xml:space="preserve"> PAGEREF _Toc497741884 \h </w:instrText>
            </w:r>
            <w:r w:rsidR="00B15B16">
              <w:rPr>
                <w:webHidden/>
              </w:rPr>
            </w:r>
            <w:r w:rsidR="00B15B16">
              <w:rPr>
                <w:webHidden/>
              </w:rPr>
              <w:fldChar w:fldCharType="separate"/>
            </w:r>
            <w:r w:rsidR="00B15B16">
              <w:rPr>
                <w:webHidden/>
              </w:rPr>
              <w:t>118</w:t>
            </w:r>
            <w:r w:rsidR="00B15B16">
              <w:rPr>
                <w:webHidden/>
              </w:rPr>
              <w:fldChar w:fldCharType="end"/>
            </w:r>
          </w:hyperlink>
        </w:p>
        <w:p w14:paraId="09D26F88" w14:textId="77777777" w:rsidR="00B15B16" w:rsidRDefault="00971C75">
          <w:pPr>
            <w:pStyle w:val="TOC3"/>
            <w:rPr>
              <w:rFonts w:asciiTheme="minorHAnsi" w:eastAsiaTheme="minorEastAsia" w:hAnsiTheme="minorHAnsi"/>
              <w:color w:val="auto"/>
              <w:sz w:val="22"/>
            </w:rPr>
          </w:pPr>
          <w:hyperlink w:anchor="_Toc497741885" w:history="1">
            <w:r w:rsidR="00B15B16" w:rsidRPr="006F5B4A">
              <w:rPr>
                <w:rStyle w:val="Hyperlink"/>
              </w:rPr>
              <w:t>Option 2: Regional subsidiaries are permitted to borrow from Treasury Corporation.</w:t>
            </w:r>
            <w:r w:rsidR="00B15B16">
              <w:rPr>
                <w:webHidden/>
              </w:rPr>
              <w:tab/>
            </w:r>
            <w:r w:rsidR="00B15B16">
              <w:rPr>
                <w:webHidden/>
              </w:rPr>
              <w:fldChar w:fldCharType="begin"/>
            </w:r>
            <w:r w:rsidR="00B15B16">
              <w:rPr>
                <w:webHidden/>
              </w:rPr>
              <w:instrText xml:space="preserve"> PAGEREF _Toc497741885 \h </w:instrText>
            </w:r>
            <w:r w:rsidR="00B15B16">
              <w:rPr>
                <w:webHidden/>
              </w:rPr>
            </w:r>
            <w:r w:rsidR="00B15B16">
              <w:rPr>
                <w:webHidden/>
              </w:rPr>
              <w:fldChar w:fldCharType="separate"/>
            </w:r>
            <w:r w:rsidR="00B15B16">
              <w:rPr>
                <w:webHidden/>
              </w:rPr>
              <w:t>118</w:t>
            </w:r>
            <w:r w:rsidR="00B15B16">
              <w:rPr>
                <w:webHidden/>
              </w:rPr>
              <w:fldChar w:fldCharType="end"/>
            </w:r>
          </w:hyperlink>
        </w:p>
        <w:p w14:paraId="690D7538" w14:textId="77777777" w:rsidR="00B15B16" w:rsidRDefault="00971C75">
          <w:pPr>
            <w:pStyle w:val="TOC3"/>
            <w:rPr>
              <w:rFonts w:asciiTheme="minorHAnsi" w:eastAsiaTheme="minorEastAsia" w:hAnsiTheme="minorHAnsi"/>
              <w:color w:val="auto"/>
              <w:sz w:val="22"/>
            </w:rPr>
          </w:pPr>
          <w:hyperlink w:anchor="_Toc497741886" w:history="1">
            <w:r w:rsidR="00B15B16" w:rsidRPr="006F5B4A">
              <w:rPr>
                <w:rStyle w:val="Hyperlink"/>
              </w:rPr>
              <w:t>Option 3: Regional subsidiaries are permitted to borrow from financial institutions</w:t>
            </w:r>
            <w:r w:rsidR="00B15B16">
              <w:rPr>
                <w:webHidden/>
              </w:rPr>
              <w:tab/>
            </w:r>
            <w:r w:rsidR="00B15B16">
              <w:rPr>
                <w:webHidden/>
              </w:rPr>
              <w:fldChar w:fldCharType="begin"/>
            </w:r>
            <w:r w:rsidR="00B15B16">
              <w:rPr>
                <w:webHidden/>
              </w:rPr>
              <w:instrText xml:space="preserve"> PAGEREF _Toc497741886 \h </w:instrText>
            </w:r>
            <w:r w:rsidR="00B15B16">
              <w:rPr>
                <w:webHidden/>
              </w:rPr>
            </w:r>
            <w:r w:rsidR="00B15B16">
              <w:rPr>
                <w:webHidden/>
              </w:rPr>
              <w:fldChar w:fldCharType="separate"/>
            </w:r>
            <w:r w:rsidR="00B15B16">
              <w:rPr>
                <w:webHidden/>
              </w:rPr>
              <w:t>119</w:t>
            </w:r>
            <w:r w:rsidR="00B15B16">
              <w:rPr>
                <w:webHidden/>
              </w:rPr>
              <w:fldChar w:fldCharType="end"/>
            </w:r>
          </w:hyperlink>
        </w:p>
        <w:p w14:paraId="4456C3C1" w14:textId="77777777" w:rsidR="00B15B16" w:rsidRDefault="00971C75">
          <w:pPr>
            <w:pStyle w:val="TOC1"/>
            <w:rPr>
              <w:rFonts w:asciiTheme="minorHAnsi" w:eastAsiaTheme="minorEastAsia" w:hAnsiTheme="minorHAnsi"/>
              <w:b w:val="0"/>
              <w:color w:val="auto"/>
              <w:sz w:val="22"/>
              <w:lang w:eastAsia="en-AU"/>
            </w:rPr>
          </w:pPr>
          <w:hyperlink w:anchor="_Toc497741887" w:history="1">
            <w:r w:rsidR="00B15B16" w:rsidRPr="006F5B4A">
              <w:rPr>
                <w:rStyle w:val="Hyperlink"/>
              </w:rPr>
              <w:t>For more information, please contact:</w:t>
            </w:r>
            <w:r w:rsidR="00B15B16">
              <w:rPr>
                <w:webHidden/>
              </w:rPr>
              <w:tab/>
            </w:r>
            <w:r w:rsidR="00B15B16">
              <w:rPr>
                <w:webHidden/>
              </w:rPr>
              <w:fldChar w:fldCharType="begin"/>
            </w:r>
            <w:r w:rsidR="00B15B16">
              <w:rPr>
                <w:webHidden/>
              </w:rPr>
              <w:instrText xml:space="preserve"> PAGEREF _Toc497741887 \h </w:instrText>
            </w:r>
            <w:r w:rsidR="00B15B16">
              <w:rPr>
                <w:webHidden/>
              </w:rPr>
            </w:r>
            <w:r w:rsidR="00B15B16">
              <w:rPr>
                <w:webHidden/>
              </w:rPr>
              <w:fldChar w:fldCharType="separate"/>
            </w:r>
            <w:r w:rsidR="00B15B16">
              <w:rPr>
                <w:webHidden/>
              </w:rPr>
              <w:t>120</w:t>
            </w:r>
            <w:r w:rsidR="00B15B16">
              <w:rPr>
                <w:webHidden/>
              </w:rPr>
              <w:fldChar w:fldCharType="end"/>
            </w:r>
          </w:hyperlink>
        </w:p>
        <w:p w14:paraId="4FA097DB" w14:textId="77777777" w:rsidR="00B15B16" w:rsidRDefault="00971C75">
          <w:pPr>
            <w:pStyle w:val="TOC1"/>
            <w:rPr>
              <w:rFonts w:asciiTheme="minorHAnsi" w:eastAsiaTheme="minorEastAsia" w:hAnsiTheme="minorHAnsi"/>
              <w:b w:val="0"/>
              <w:color w:val="auto"/>
              <w:sz w:val="22"/>
              <w:lang w:eastAsia="en-AU"/>
            </w:rPr>
          </w:pPr>
          <w:hyperlink w:anchor="_Toc497741888" w:history="1">
            <w:r w:rsidR="00B15B16" w:rsidRPr="006F5B4A">
              <w:rPr>
                <w:rStyle w:val="Hyperlink"/>
              </w:rPr>
              <w:t>Attachment 1: Councillor position description</w:t>
            </w:r>
            <w:r w:rsidR="00B15B16">
              <w:rPr>
                <w:webHidden/>
              </w:rPr>
              <w:tab/>
            </w:r>
            <w:r w:rsidR="00B15B16">
              <w:rPr>
                <w:webHidden/>
              </w:rPr>
              <w:fldChar w:fldCharType="begin"/>
            </w:r>
            <w:r w:rsidR="00B15B16">
              <w:rPr>
                <w:webHidden/>
              </w:rPr>
              <w:instrText xml:space="preserve"> PAGEREF _Toc497741888 \h </w:instrText>
            </w:r>
            <w:r w:rsidR="00B15B16">
              <w:rPr>
                <w:webHidden/>
              </w:rPr>
            </w:r>
            <w:r w:rsidR="00B15B16">
              <w:rPr>
                <w:webHidden/>
              </w:rPr>
              <w:fldChar w:fldCharType="separate"/>
            </w:r>
            <w:r w:rsidR="00B15B16">
              <w:rPr>
                <w:webHidden/>
              </w:rPr>
              <w:t>121</w:t>
            </w:r>
            <w:r w:rsidR="00B15B16">
              <w:rPr>
                <w:webHidden/>
              </w:rPr>
              <w:fldChar w:fldCharType="end"/>
            </w:r>
          </w:hyperlink>
        </w:p>
        <w:p w14:paraId="5EEE971B" w14:textId="77777777" w:rsidR="00B15B16" w:rsidRDefault="00971C75">
          <w:pPr>
            <w:pStyle w:val="TOC1"/>
            <w:rPr>
              <w:rFonts w:asciiTheme="minorHAnsi" w:eastAsiaTheme="minorEastAsia" w:hAnsiTheme="minorHAnsi"/>
              <w:b w:val="0"/>
              <w:color w:val="auto"/>
              <w:sz w:val="22"/>
              <w:lang w:eastAsia="en-AU"/>
            </w:rPr>
          </w:pPr>
          <w:hyperlink w:anchor="_Toc497741889" w:history="1">
            <w:r w:rsidR="00B15B16" w:rsidRPr="006F5B4A">
              <w:rPr>
                <w:rStyle w:val="Hyperlink"/>
              </w:rPr>
              <w:t>Attachment 2: Gifts</w:t>
            </w:r>
            <w:r w:rsidR="00B15B16">
              <w:rPr>
                <w:webHidden/>
              </w:rPr>
              <w:tab/>
            </w:r>
            <w:r w:rsidR="00B15B16">
              <w:rPr>
                <w:webHidden/>
              </w:rPr>
              <w:fldChar w:fldCharType="begin"/>
            </w:r>
            <w:r w:rsidR="00B15B16">
              <w:rPr>
                <w:webHidden/>
              </w:rPr>
              <w:instrText xml:space="preserve"> PAGEREF _Toc497741889 \h </w:instrText>
            </w:r>
            <w:r w:rsidR="00B15B16">
              <w:rPr>
                <w:webHidden/>
              </w:rPr>
            </w:r>
            <w:r w:rsidR="00B15B16">
              <w:rPr>
                <w:webHidden/>
              </w:rPr>
              <w:fldChar w:fldCharType="separate"/>
            </w:r>
            <w:r w:rsidR="00B15B16">
              <w:rPr>
                <w:webHidden/>
              </w:rPr>
              <w:t>123</w:t>
            </w:r>
            <w:r w:rsidR="00B15B16">
              <w:rPr>
                <w:webHidden/>
              </w:rPr>
              <w:fldChar w:fldCharType="end"/>
            </w:r>
          </w:hyperlink>
        </w:p>
        <w:p w14:paraId="0227CBE4" w14:textId="77777777" w:rsidR="00B15B16" w:rsidRDefault="00971C75">
          <w:pPr>
            <w:pStyle w:val="TOC1"/>
            <w:rPr>
              <w:rFonts w:asciiTheme="minorHAnsi" w:eastAsiaTheme="minorEastAsia" w:hAnsiTheme="minorHAnsi"/>
              <w:b w:val="0"/>
              <w:color w:val="auto"/>
              <w:sz w:val="22"/>
              <w:lang w:eastAsia="en-AU"/>
            </w:rPr>
          </w:pPr>
          <w:hyperlink w:anchor="_Toc497741890" w:history="1">
            <w:r w:rsidR="00B15B16" w:rsidRPr="006F5B4A">
              <w:rPr>
                <w:rStyle w:val="Hyperlink"/>
              </w:rPr>
              <w:t>Supplementary Information: Public notices</w:t>
            </w:r>
            <w:r w:rsidR="00B15B16">
              <w:rPr>
                <w:webHidden/>
              </w:rPr>
              <w:tab/>
            </w:r>
            <w:r w:rsidR="00B15B16">
              <w:rPr>
                <w:webHidden/>
              </w:rPr>
              <w:fldChar w:fldCharType="begin"/>
            </w:r>
            <w:r w:rsidR="00B15B16">
              <w:rPr>
                <w:webHidden/>
              </w:rPr>
              <w:instrText xml:space="preserve"> PAGEREF _Toc497741890 \h </w:instrText>
            </w:r>
            <w:r w:rsidR="00B15B16">
              <w:rPr>
                <w:webHidden/>
              </w:rPr>
            </w:r>
            <w:r w:rsidR="00B15B16">
              <w:rPr>
                <w:webHidden/>
              </w:rPr>
              <w:fldChar w:fldCharType="separate"/>
            </w:r>
            <w:r w:rsidR="00B15B16">
              <w:rPr>
                <w:webHidden/>
              </w:rPr>
              <w:t>129</w:t>
            </w:r>
            <w:r w:rsidR="00B15B16">
              <w:rPr>
                <w:webHidden/>
              </w:rPr>
              <w:fldChar w:fldCharType="end"/>
            </w:r>
          </w:hyperlink>
        </w:p>
        <w:p w14:paraId="1E29F0AE" w14:textId="13110076" w:rsidR="00CA5427" w:rsidRDefault="00CA5427" w:rsidP="00CA5427">
          <w:pPr>
            <w:rPr>
              <w:b/>
              <w:noProof/>
            </w:rPr>
          </w:pPr>
          <w:r>
            <w:rPr>
              <w:b/>
              <w:bCs/>
              <w:noProof/>
            </w:rPr>
            <w:fldChar w:fldCharType="end"/>
          </w:r>
        </w:p>
      </w:sdtContent>
    </w:sdt>
    <w:p w14:paraId="31544307" w14:textId="77777777" w:rsidR="005A665C" w:rsidRDefault="005A665C" w:rsidP="001C0C3E">
      <w:pPr>
        <w:pStyle w:val="BodyText-nospacebelow"/>
      </w:pPr>
    </w:p>
    <w:p w14:paraId="16E33469" w14:textId="77777777" w:rsidR="00AC131F" w:rsidRDefault="00AC131F" w:rsidP="001C0C3E">
      <w:pPr>
        <w:pStyle w:val="BodyText-nospacebelow"/>
      </w:pPr>
    </w:p>
    <w:p w14:paraId="5A2E0424" w14:textId="77777777" w:rsidR="00AC131F" w:rsidRDefault="00AC131F" w:rsidP="001C0C3E">
      <w:pPr>
        <w:pStyle w:val="BodyText-nospacebelow"/>
      </w:pPr>
    </w:p>
    <w:p w14:paraId="640F156A" w14:textId="77777777" w:rsidR="00AC131F" w:rsidRDefault="00AC131F" w:rsidP="001C0C3E">
      <w:pPr>
        <w:pStyle w:val="BodyText-nospacebelow"/>
      </w:pPr>
    </w:p>
    <w:p w14:paraId="0976B694" w14:textId="77777777" w:rsidR="00AC131F" w:rsidRDefault="00AC131F" w:rsidP="001C0C3E">
      <w:pPr>
        <w:pStyle w:val="BodyText-nospacebelow"/>
      </w:pPr>
    </w:p>
    <w:p w14:paraId="2C8EDE94" w14:textId="77777777" w:rsidR="00AC131F" w:rsidRDefault="00AC131F" w:rsidP="001C0C3E">
      <w:pPr>
        <w:pStyle w:val="BodyText-nospacebelow"/>
      </w:pPr>
    </w:p>
    <w:p w14:paraId="3A68C9F8" w14:textId="77777777" w:rsidR="00AC131F" w:rsidRDefault="00AC131F" w:rsidP="001C0C3E">
      <w:pPr>
        <w:pStyle w:val="BodyText-nospacebelow"/>
      </w:pPr>
    </w:p>
    <w:p w14:paraId="41BA9E44" w14:textId="77777777" w:rsidR="00AC131F" w:rsidRDefault="00AC131F" w:rsidP="001C0C3E">
      <w:pPr>
        <w:pStyle w:val="BodyText-nospacebelow"/>
      </w:pPr>
    </w:p>
    <w:p w14:paraId="06AFA9A2" w14:textId="77777777" w:rsidR="00AC131F" w:rsidRDefault="00AC131F" w:rsidP="001C0C3E">
      <w:pPr>
        <w:pStyle w:val="BodyText-nospacebelow"/>
      </w:pPr>
    </w:p>
    <w:p w14:paraId="77CA7FE8" w14:textId="77777777" w:rsidR="00AC131F" w:rsidRDefault="00AC131F" w:rsidP="001C0C3E">
      <w:pPr>
        <w:pStyle w:val="BodyText-nospacebelow"/>
      </w:pPr>
    </w:p>
    <w:p w14:paraId="7D171639" w14:textId="77777777" w:rsidR="00AC131F" w:rsidRDefault="00AC131F" w:rsidP="001C0C3E">
      <w:pPr>
        <w:pStyle w:val="BodyText-nospacebelow"/>
      </w:pPr>
    </w:p>
    <w:p w14:paraId="70D2AD57" w14:textId="77777777" w:rsidR="00AC131F" w:rsidRDefault="00AC131F" w:rsidP="001C0C3E">
      <w:pPr>
        <w:pStyle w:val="BodyText-nospacebelow"/>
      </w:pPr>
    </w:p>
    <w:p w14:paraId="7FB31629" w14:textId="77777777" w:rsidR="00AC131F" w:rsidRDefault="00AC131F" w:rsidP="001C0C3E">
      <w:pPr>
        <w:pStyle w:val="BodyText-nospacebelow"/>
      </w:pPr>
    </w:p>
    <w:p w14:paraId="4E95DC95" w14:textId="77777777" w:rsidR="00AC131F" w:rsidRDefault="00AC131F" w:rsidP="001C0C3E">
      <w:pPr>
        <w:pStyle w:val="BodyText-nospacebelow"/>
      </w:pPr>
    </w:p>
    <w:p w14:paraId="795D9B3E" w14:textId="77777777" w:rsidR="00AC131F" w:rsidRDefault="00AC131F" w:rsidP="001C0C3E">
      <w:pPr>
        <w:pStyle w:val="BodyText-nospacebelow"/>
      </w:pPr>
    </w:p>
    <w:p w14:paraId="5F20D9E0" w14:textId="77777777" w:rsidR="00AC131F" w:rsidRDefault="00AC131F" w:rsidP="001C0C3E">
      <w:pPr>
        <w:pStyle w:val="BodyText-nospacebelow"/>
      </w:pPr>
    </w:p>
    <w:p w14:paraId="4B99BF39" w14:textId="77777777" w:rsidR="00AC131F" w:rsidRDefault="00AC131F" w:rsidP="001C0C3E">
      <w:pPr>
        <w:pStyle w:val="BodyText-nospacebelow"/>
      </w:pPr>
    </w:p>
    <w:p w14:paraId="530DC587" w14:textId="77777777" w:rsidR="00AC131F" w:rsidRDefault="00AC131F" w:rsidP="001C0C3E">
      <w:pPr>
        <w:pStyle w:val="BodyText-nospacebelow"/>
      </w:pPr>
    </w:p>
    <w:p w14:paraId="65CF3EF0" w14:textId="77777777" w:rsidR="00AC131F" w:rsidRDefault="00AC131F" w:rsidP="001C0C3E">
      <w:pPr>
        <w:pStyle w:val="BodyText-nospacebelow"/>
      </w:pPr>
    </w:p>
    <w:p w14:paraId="1C2F7F78" w14:textId="77777777" w:rsidR="00AC131F" w:rsidRDefault="00AC131F" w:rsidP="001C0C3E">
      <w:pPr>
        <w:pStyle w:val="BodyText-nospacebelow"/>
      </w:pPr>
    </w:p>
    <w:p w14:paraId="76589D20" w14:textId="77777777" w:rsidR="00AC131F" w:rsidRDefault="00AC131F" w:rsidP="001C0C3E">
      <w:pPr>
        <w:pStyle w:val="BodyText-nospacebelow"/>
      </w:pPr>
    </w:p>
    <w:p w14:paraId="7C4F4EAA" w14:textId="77777777" w:rsidR="00AC131F" w:rsidRDefault="00AC131F" w:rsidP="001C0C3E">
      <w:pPr>
        <w:pStyle w:val="BodyText-nospacebelow"/>
      </w:pPr>
    </w:p>
    <w:p w14:paraId="11A0C737" w14:textId="77777777" w:rsidR="00AC131F" w:rsidRDefault="00AC131F" w:rsidP="001C0C3E">
      <w:pPr>
        <w:pStyle w:val="BodyText-nospacebelow"/>
      </w:pPr>
    </w:p>
    <w:p w14:paraId="24660647" w14:textId="77777777" w:rsidR="00AC131F" w:rsidRDefault="00AC131F" w:rsidP="001C0C3E">
      <w:pPr>
        <w:pStyle w:val="BodyText-nospacebelow"/>
      </w:pPr>
    </w:p>
    <w:p w14:paraId="38155EBE" w14:textId="77777777" w:rsidR="00AC131F" w:rsidRDefault="00AC131F" w:rsidP="001C0C3E">
      <w:pPr>
        <w:pStyle w:val="BodyText-nospacebelow"/>
      </w:pPr>
    </w:p>
    <w:p w14:paraId="112B9A3A" w14:textId="77777777" w:rsidR="00AC131F" w:rsidRDefault="00AC131F" w:rsidP="001C0C3E">
      <w:pPr>
        <w:pStyle w:val="BodyText-nospacebelow"/>
      </w:pPr>
    </w:p>
    <w:p w14:paraId="2AB9B9E4" w14:textId="77777777" w:rsidR="00AC131F" w:rsidRDefault="00AC131F" w:rsidP="001C0C3E">
      <w:pPr>
        <w:pStyle w:val="BodyText-nospacebelow"/>
      </w:pPr>
    </w:p>
    <w:p w14:paraId="518C478D" w14:textId="77777777" w:rsidR="00AC131F" w:rsidRDefault="00AC131F" w:rsidP="001C0C3E">
      <w:pPr>
        <w:pStyle w:val="BodyText-nospacebelow"/>
      </w:pPr>
    </w:p>
    <w:p w14:paraId="5C1A587E" w14:textId="77777777" w:rsidR="00AC131F" w:rsidRDefault="00AC131F" w:rsidP="001C0C3E">
      <w:pPr>
        <w:pStyle w:val="BodyText-nospacebelow"/>
      </w:pPr>
    </w:p>
    <w:p w14:paraId="4A030659" w14:textId="77777777" w:rsidR="001C0C3E" w:rsidRDefault="00444338" w:rsidP="001C0C3E">
      <w:pPr>
        <w:pStyle w:val="BodyText-nospacebelow"/>
      </w:pPr>
      <w:r>
        <w:t xml:space="preserve">8 </w:t>
      </w:r>
      <w:r w:rsidR="00D63AF5">
        <w:t>November 2017</w:t>
      </w:r>
    </w:p>
    <w:p w14:paraId="71175494" w14:textId="77777777" w:rsidR="00D63AF5" w:rsidRPr="00F13873" w:rsidRDefault="00D63AF5" w:rsidP="001C0C3E">
      <w:pPr>
        <w:pStyle w:val="BodyText-nospacebelow"/>
      </w:pPr>
    </w:p>
    <w:p w14:paraId="2714A036" w14:textId="77777777" w:rsidR="00FD15F5" w:rsidRDefault="00FD15F5" w:rsidP="00FD15F5">
      <w:pPr>
        <w:pStyle w:val="BodyText-nospacebelow"/>
      </w:pPr>
      <w:r>
        <w:t>Department of Local Government, Sport and Cultural Industries</w:t>
      </w:r>
    </w:p>
    <w:p w14:paraId="5D530790" w14:textId="77777777" w:rsidR="00FD15F5" w:rsidRDefault="00FD15F5" w:rsidP="00FD15F5">
      <w:pPr>
        <w:pStyle w:val="BodyText-nospacebelow"/>
        <w:rPr>
          <w:rFonts w:cs="Arial"/>
          <w:szCs w:val="24"/>
          <w:lang w:eastAsia="en-AU"/>
        </w:rPr>
      </w:pPr>
      <w:r>
        <w:rPr>
          <w:rFonts w:cs="Arial"/>
          <w:szCs w:val="24"/>
          <w:lang w:eastAsia="en-AU"/>
        </w:rPr>
        <w:t>Gordon Stephenson House, 140 William Street, Perth WA 6000</w:t>
      </w:r>
    </w:p>
    <w:p w14:paraId="5556183F" w14:textId="77777777" w:rsidR="00FD15F5" w:rsidRDefault="00FD15F5" w:rsidP="00FD15F5">
      <w:pPr>
        <w:pStyle w:val="BodyText-nospacebelow"/>
        <w:rPr>
          <w:rFonts w:cs="Arial"/>
          <w:szCs w:val="24"/>
          <w:lang w:eastAsia="en-AU"/>
        </w:rPr>
      </w:pPr>
      <w:r>
        <w:rPr>
          <w:rFonts w:cs="Arial"/>
          <w:szCs w:val="24"/>
          <w:lang w:eastAsia="en-AU"/>
        </w:rPr>
        <w:t>GPO Box R1250, Perth WA 6844</w:t>
      </w:r>
    </w:p>
    <w:p w14:paraId="62ED092B" w14:textId="77777777" w:rsidR="00FD15F5" w:rsidRDefault="00FD15F5" w:rsidP="00FD15F5">
      <w:pPr>
        <w:pStyle w:val="BodyText-nospacebelow"/>
        <w:tabs>
          <w:tab w:val="left" w:pos="3261"/>
        </w:tabs>
        <w:rPr>
          <w:rFonts w:cs="Arial"/>
          <w:szCs w:val="24"/>
          <w:lang w:eastAsia="en-AU"/>
        </w:rPr>
      </w:pPr>
      <w:r>
        <w:rPr>
          <w:rFonts w:cs="Arial"/>
          <w:szCs w:val="24"/>
          <w:lang w:eastAsia="en-AU"/>
        </w:rPr>
        <w:t xml:space="preserve">Telephone: (08) 6551 8700 </w:t>
      </w:r>
      <w:r>
        <w:rPr>
          <w:rFonts w:cs="Arial"/>
          <w:szCs w:val="24"/>
          <w:lang w:eastAsia="en-AU"/>
        </w:rPr>
        <w:tab/>
        <w:t>Fax: (08) 6552 1555</w:t>
      </w:r>
    </w:p>
    <w:p w14:paraId="3A85A01F" w14:textId="77777777" w:rsidR="00FD15F5" w:rsidRDefault="00FD15F5" w:rsidP="00FD15F5">
      <w:pPr>
        <w:pStyle w:val="BodyText-nospacebelow"/>
        <w:rPr>
          <w:rFonts w:cs="Arial"/>
          <w:szCs w:val="24"/>
          <w:lang w:eastAsia="en-AU"/>
        </w:rPr>
      </w:pPr>
      <w:r>
        <w:rPr>
          <w:rFonts w:cs="Arial"/>
          <w:szCs w:val="24"/>
          <w:lang w:eastAsia="en-AU"/>
        </w:rPr>
        <w:t>Freecall: 1800 620 511 (Country only)</w:t>
      </w:r>
    </w:p>
    <w:p w14:paraId="335C9583" w14:textId="77777777" w:rsidR="00FD15F5" w:rsidRDefault="00FD15F5" w:rsidP="00FD15F5">
      <w:pPr>
        <w:tabs>
          <w:tab w:val="left" w:pos="3544"/>
        </w:tabs>
        <w:jc w:val="both"/>
      </w:pPr>
      <w:r>
        <w:t xml:space="preserve">Email: </w:t>
      </w:r>
      <w:hyperlink r:id="rId11" w:history="1">
        <w:r w:rsidR="00BF4BFA" w:rsidRPr="00C83501">
          <w:rPr>
            <w:rStyle w:val="Hyperlink"/>
          </w:rPr>
          <w:t>legislation@dlgsc.wa.gov.au</w:t>
        </w:r>
      </w:hyperlink>
      <w:r w:rsidR="00BF4BFA">
        <w:t xml:space="preserve"> </w:t>
      </w:r>
      <w:r>
        <w:tab/>
        <w:t xml:space="preserve">Website: </w:t>
      </w:r>
      <w:hyperlink r:id="rId12" w:history="1">
        <w:r>
          <w:rPr>
            <w:rStyle w:val="Hyperlink"/>
          </w:rPr>
          <w:t>www.dlgsc.wa.gov.au</w:t>
        </w:r>
      </w:hyperlink>
      <w:r>
        <w:t xml:space="preserve"> </w:t>
      </w:r>
    </w:p>
    <w:p w14:paraId="01E08AAD" w14:textId="77777777" w:rsidR="00FD15F5" w:rsidRDefault="00FD15F5" w:rsidP="00FD15F5">
      <w:r>
        <w:t>Translating and Interpreting Service (TIS) – Telephone: 13 14 50</w:t>
      </w:r>
    </w:p>
    <w:p w14:paraId="1E34B849" w14:textId="77777777" w:rsidR="00CA5427" w:rsidRDefault="001C0C3E" w:rsidP="00FD15F5">
      <w:r w:rsidRPr="00F13873">
        <w:t>All or part of this document may be copied. Due recognition of source would be appreciated. If you would like more information please contact th</w:t>
      </w:r>
      <w:r w:rsidR="00831249">
        <w:t>e Department of Local Government, Sport and Cultural Industries</w:t>
      </w:r>
      <w:r w:rsidRPr="00F13873">
        <w:t>.</w:t>
      </w:r>
      <w:r w:rsidR="00CA5427">
        <w:br w:type="page"/>
      </w:r>
    </w:p>
    <w:p w14:paraId="678E8D27" w14:textId="77777777" w:rsidR="00D63AF5" w:rsidRDefault="00A33CA2" w:rsidP="00D63AF5">
      <w:pPr>
        <w:pStyle w:val="Heading1"/>
      </w:pPr>
      <w:bookmarkStart w:id="0" w:name="_Toc493746601"/>
      <w:bookmarkStart w:id="1" w:name="_Toc493768817"/>
      <w:bookmarkStart w:id="2" w:name="_Toc493859889"/>
      <w:bookmarkStart w:id="3" w:name="_Toc495491790"/>
      <w:bookmarkStart w:id="4" w:name="_Toc495497570"/>
      <w:bookmarkStart w:id="5" w:name="_Toc495671418"/>
      <w:bookmarkStart w:id="6" w:name="_Toc495676016"/>
      <w:bookmarkStart w:id="7" w:name="_Toc495678311"/>
      <w:bookmarkStart w:id="8" w:name="_Toc495998309"/>
      <w:bookmarkStart w:id="9" w:name="_Toc497741781"/>
      <w:r w:rsidRPr="00FE3A8C">
        <w:lastRenderedPageBreak/>
        <w:t>Minister’s for</w:t>
      </w:r>
      <w:r w:rsidR="00B255FC">
        <w:t>e</w:t>
      </w:r>
      <w:r w:rsidRPr="00FE3A8C">
        <w:t>w</w:t>
      </w:r>
      <w:r w:rsidR="00B255FC">
        <w:t>o</w:t>
      </w:r>
      <w:r w:rsidRPr="00FE3A8C">
        <w:t>rd</w:t>
      </w:r>
      <w:bookmarkEnd w:id="0"/>
      <w:bookmarkEnd w:id="1"/>
      <w:bookmarkEnd w:id="2"/>
      <w:bookmarkEnd w:id="3"/>
      <w:bookmarkEnd w:id="4"/>
      <w:bookmarkEnd w:id="5"/>
      <w:bookmarkEnd w:id="6"/>
      <w:bookmarkEnd w:id="7"/>
      <w:bookmarkEnd w:id="8"/>
      <w:bookmarkEnd w:id="9"/>
    </w:p>
    <w:p w14:paraId="7D4AB299" w14:textId="77777777" w:rsidR="00246B9A" w:rsidRDefault="00246B9A" w:rsidP="00AC131F">
      <w:pPr>
        <w:pStyle w:val="BodyText-nospacebelow"/>
        <w:jc w:val="both"/>
      </w:pPr>
      <w:r w:rsidRPr="00D63AF5">
        <w:t xml:space="preserve">The McGowan Government is undertaking a review of the Act to modernise local governments and better position them to deliver services for the community.  </w:t>
      </w:r>
    </w:p>
    <w:p w14:paraId="1E30FA75" w14:textId="77777777" w:rsidR="00246B9A" w:rsidRDefault="00246B9A" w:rsidP="00AC131F">
      <w:pPr>
        <w:pStyle w:val="BodyText-nospacebelow"/>
        <w:jc w:val="both"/>
      </w:pPr>
    </w:p>
    <w:p w14:paraId="62CA10B2" w14:textId="35B28F52" w:rsidR="00D63AF5" w:rsidRDefault="00D63AF5" w:rsidP="00AC131F">
      <w:pPr>
        <w:pStyle w:val="BodyText-nospacebelow"/>
        <w:jc w:val="both"/>
      </w:pPr>
      <w:r w:rsidRPr="00D63AF5">
        <w:t>Western Australia’s local government system is unique in Australia and reflects the State’s colonial heritage through the establishment of roads boards as some of the State’s first forms of European municipal government.</w:t>
      </w:r>
    </w:p>
    <w:p w14:paraId="7CEF5C58" w14:textId="77777777" w:rsidR="00D63AF5" w:rsidRPr="00D63AF5" w:rsidRDefault="00D63AF5" w:rsidP="00AC131F">
      <w:pPr>
        <w:pStyle w:val="BodyText-nospacebelow"/>
        <w:jc w:val="both"/>
      </w:pPr>
    </w:p>
    <w:p w14:paraId="05B69A74" w14:textId="77777777" w:rsidR="00D63AF5" w:rsidRDefault="00D63AF5" w:rsidP="00AC131F">
      <w:pPr>
        <w:pStyle w:val="BodyText-nospacebelow"/>
        <w:jc w:val="both"/>
      </w:pPr>
      <w:r w:rsidRPr="00D63AF5">
        <w:t xml:space="preserve">While the Western Australian </w:t>
      </w:r>
      <w:r w:rsidRPr="00D63AF5">
        <w:rPr>
          <w:i/>
        </w:rPr>
        <w:t xml:space="preserve">Constitution Act 1889 </w:t>
      </w:r>
      <w:r w:rsidRPr="00D63AF5">
        <w:t xml:space="preserve">provides for a system of local government throughout the State, the powers and functions of local governments are conferred by the </w:t>
      </w:r>
      <w:r w:rsidRPr="00D63AF5">
        <w:rPr>
          <w:i/>
        </w:rPr>
        <w:t xml:space="preserve">Local Government Act 1995 </w:t>
      </w:r>
      <w:r w:rsidRPr="00D63AF5">
        <w:t xml:space="preserve">(the Act). </w:t>
      </w:r>
    </w:p>
    <w:p w14:paraId="494FF8A1" w14:textId="77777777" w:rsidR="00D63AF5" w:rsidRPr="00D63AF5" w:rsidRDefault="00D63AF5" w:rsidP="00AC131F">
      <w:pPr>
        <w:pStyle w:val="BodyText-nospacebelow"/>
        <w:jc w:val="both"/>
      </w:pPr>
    </w:p>
    <w:p w14:paraId="664C2921" w14:textId="4A6DAB90" w:rsidR="00D63AF5" w:rsidRPr="00D63AF5" w:rsidRDefault="00D63AF5" w:rsidP="00AC131F">
      <w:pPr>
        <w:pStyle w:val="BodyText-nospacebelow"/>
        <w:jc w:val="both"/>
      </w:pPr>
      <w:r w:rsidRPr="00D63AF5">
        <w:t>The review will be undertaken in two phases.</w:t>
      </w:r>
      <w:r w:rsidR="00246B9A">
        <w:t xml:space="preserve"> </w:t>
      </w:r>
      <w:r w:rsidRPr="00D63AF5">
        <w:t>Phase 1 of the review considers the following matters:</w:t>
      </w:r>
    </w:p>
    <w:p w14:paraId="12D2D6E5" w14:textId="77777777" w:rsidR="00D63AF5" w:rsidRDefault="00D63AF5" w:rsidP="00AC131F">
      <w:pPr>
        <w:pStyle w:val="BodyText-nospacebelow"/>
        <w:numPr>
          <w:ilvl w:val="0"/>
          <w:numId w:val="1"/>
        </w:numPr>
        <w:jc w:val="both"/>
      </w:pPr>
      <w:r w:rsidRPr="00D63AF5">
        <w:t xml:space="preserve">meeting </w:t>
      </w:r>
      <w:r w:rsidR="007A6CB9">
        <w:t>community</w:t>
      </w:r>
      <w:r w:rsidRPr="00D63AF5">
        <w:t xml:space="preserve"> expectations of standards and performance</w:t>
      </w:r>
    </w:p>
    <w:p w14:paraId="3D8AC4FE" w14:textId="77777777" w:rsidR="006F7195" w:rsidRDefault="00444338" w:rsidP="00AC131F">
      <w:pPr>
        <w:pStyle w:val="BodyText-nospacebelow"/>
        <w:numPr>
          <w:ilvl w:val="0"/>
          <w:numId w:val="1"/>
        </w:numPr>
        <w:jc w:val="both"/>
      </w:pPr>
      <w:r>
        <w:t>transparency</w:t>
      </w:r>
    </w:p>
    <w:p w14:paraId="0FB407C9" w14:textId="77777777" w:rsidR="007A6CB9" w:rsidRDefault="007A6CB9" w:rsidP="00AC131F">
      <w:pPr>
        <w:pStyle w:val="BodyText-nospacebelow"/>
        <w:numPr>
          <w:ilvl w:val="0"/>
          <w:numId w:val="1"/>
        </w:numPr>
        <w:jc w:val="both"/>
      </w:pPr>
      <w:r>
        <w:t>making more information available online</w:t>
      </w:r>
    </w:p>
    <w:p w14:paraId="089B76C0" w14:textId="77777777" w:rsidR="007A6CB9" w:rsidRDefault="007A6CB9" w:rsidP="00AC131F">
      <w:pPr>
        <w:pStyle w:val="BodyText-nospacebelow"/>
        <w:numPr>
          <w:ilvl w:val="0"/>
          <w:numId w:val="1"/>
        </w:numPr>
        <w:jc w:val="both"/>
      </w:pPr>
      <w:r>
        <w:t xml:space="preserve">red tape </w:t>
      </w:r>
      <w:r w:rsidR="00444338">
        <w:t>reduction</w:t>
      </w:r>
      <w:r w:rsidR="00FE008B">
        <w:t>.</w:t>
      </w:r>
    </w:p>
    <w:p w14:paraId="4F27573A" w14:textId="77777777" w:rsidR="00D63AF5" w:rsidRPr="00D63AF5" w:rsidRDefault="00D63AF5" w:rsidP="00AC131F">
      <w:pPr>
        <w:pStyle w:val="BodyText-nospacebelow"/>
        <w:ind w:left="720"/>
        <w:jc w:val="both"/>
      </w:pPr>
    </w:p>
    <w:p w14:paraId="68E7909D" w14:textId="77777777" w:rsidR="00C063F4" w:rsidRDefault="00D63AF5" w:rsidP="00AC131F">
      <w:pPr>
        <w:pStyle w:val="BodyText-nospacebelow"/>
        <w:jc w:val="both"/>
      </w:pPr>
      <w:r w:rsidRPr="00D63AF5">
        <w:t>These matters address reforms that have the potential to</w:t>
      </w:r>
      <w:r w:rsidR="00F84EE2">
        <w:t xml:space="preserve"> modernise local government, empower and enable local government, meet community expectations for accountability and transparency</w:t>
      </w:r>
      <w:r w:rsidR="00C063F4">
        <w:t>,</w:t>
      </w:r>
      <w:r w:rsidR="00F84EE2">
        <w:t xml:space="preserve"> </w:t>
      </w:r>
      <w:r w:rsidRPr="00D63AF5">
        <w:t>and relieve regulatory burden.</w:t>
      </w:r>
      <w:r w:rsidR="00F84EE2">
        <w:t xml:space="preserve">  Local government autonomy in decision-making remains a key feature of Western Australia’s local government system.</w:t>
      </w:r>
      <w:r w:rsidR="00F002F5">
        <w:t xml:space="preserve">  </w:t>
      </w:r>
    </w:p>
    <w:p w14:paraId="214C6CF9" w14:textId="77777777" w:rsidR="00C063F4" w:rsidRDefault="00C063F4" w:rsidP="00AC131F">
      <w:pPr>
        <w:pStyle w:val="BodyText-nospacebelow"/>
        <w:jc w:val="both"/>
      </w:pPr>
    </w:p>
    <w:p w14:paraId="58E2CD6C" w14:textId="240B3C66" w:rsidR="00F84EE2" w:rsidRDefault="00F002F5" w:rsidP="00AC131F">
      <w:pPr>
        <w:pStyle w:val="BodyText-nospacebelow"/>
        <w:jc w:val="both"/>
      </w:pPr>
      <w:r>
        <w:t xml:space="preserve">Where possible, I would like the </w:t>
      </w:r>
      <w:r w:rsidR="00C063F4">
        <w:t xml:space="preserve">detail relating to the </w:t>
      </w:r>
      <w:r>
        <w:t>powers and responsibilities for local government to be addressed in regulations rather than a prescriptive Act</w:t>
      </w:r>
      <w:r w:rsidR="00C063F4">
        <w:t xml:space="preserve"> to ensure that the legislation is more flexible and adaptable to changing needs</w:t>
      </w:r>
      <w:r>
        <w:t>.</w:t>
      </w:r>
    </w:p>
    <w:p w14:paraId="0FDE1FB2" w14:textId="20D84A35" w:rsidR="008A7B23" w:rsidRDefault="008A7B23" w:rsidP="00AC131F">
      <w:pPr>
        <w:pStyle w:val="BodyText-nospacebelow"/>
        <w:jc w:val="both"/>
      </w:pPr>
    </w:p>
    <w:p w14:paraId="3AE53FBC" w14:textId="3E1CFC2D" w:rsidR="00D63AF5" w:rsidRDefault="00D63AF5" w:rsidP="00AC131F">
      <w:pPr>
        <w:pStyle w:val="BodyText-nospacebelow"/>
        <w:jc w:val="both"/>
      </w:pPr>
      <w:r w:rsidRPr="00F84EE2">
        <w:t xml:space="preserve">This consultation paper seeks </w:t>
      </w:r>
      <w:r w:rsidR="00C063F4">
        <w:t>your</w:t>
      </w:r>
      <w:r w:rsidRPr="00F84EE2">
        <w:t xml:space="preserve"> comment to inform </w:t>
      </w:r>
      <w:r w:rsidR="00C063F4">
        <w:t>the government’s position</w:t>
      </w:r>
      <w:r w:rsidRPr="00F84EE2">
        <w:t>.</w:t>
      </w:r>
      <w:r w:rsidR="00F84EE2" w:rsidRPr="0042430D">
        <w:t xml:space="preserve">  While the consultation deals with specific matters, comment is welcome on all</w:t>
      </w:r>
      <w:r w:rsidR="00F84EE2" w:rsidRPr="00E53FE3">
        <w:t xml:space="preserve"> aspects of the Act.</w:t>
      </w:r>
      <w:r w:rsidRPr="00F84EE2">
        <w:t xml:space="preserve">  </w:t>
      </w:r>
    </w:p>
    <w:p w14:paraId="07CADB0E" w14:textId="77777777" w:rsidR="00FE3A8C" w:rsidRDefault="00FE3A8C" w:rsidP="00AC131F">
      <w:pPr>
        <w:pStyle w:val="BodyText-nospacebelow"/>
        <w:jc w:val="both"/>
      </w:pPr>
    </w:p>
    <w:p w14:paraId="0C424DB4" w14:textId="1A5F34D0" w:rsidR="00A33CA2" w:rsidRDefault="00A33CA2" w:rsidP="00AC131F">
      <w:pPr>
        <w:pStyle w:val="BodyText-nospacebelow"/>
        <w:jc w:val="both"/>
      </w:pPr>
      <w:r>
        <w:t xml:space="preserve">This paper presents </w:t>
      </w:r>
      <w:r w:rsidR="00FE3A8C">
        <w:t xml:space="preserve">a range of </w:t>
      </w:r>
      <w:r>
        <w:t xml:space="preserve">options that aim to </w:t>
      </w:r>
      <w:r w:rsidR="00F84EE2">
        <w:t>modernise local government</w:t>
      </w:r>
      <w:r>
        <w:t xml:space="preserve">, </w:t>
      </w:r>
      <w:r w:rsidR="00F84EE2">
        <w:t xml:space="preserve">restore the reputation of </w:t>
      </w:r>
      <w:r w:rsidR="00C063F4">
        <w:t>the sector</w:t>
      </w:r>
      <w:r w:rsidR="00F84EE2">
        <w:t xml:space="preserve">, </w:t>
      </w:r>
      <w:r>
        <w:t>simplify regulation and improve services.</w:t>
      </w:r>
      <w:r w:rsidR="007071B9">
        <w:t xml:space="preserve"> </w:t>
      </w:r>
      <w:r>
        <w:t xml:space="preserve"> </w:t>
      </w:r>
      <w:r w:rsidR="007071B9">
        <w:t>I seek your valuable feed</w:t>
      </w:r>
      <w:r w:rsidR="00504A59">
        <w:t>back</w:t>
      </w:r>
      <w:r w:rsidR="007071B9">
        <w:t xml:space="preserve"> to inform this review.  </w:t>
      </w:r>
    </w:p>
    <w:p w14:paraId="408B8FE7" w14:textId="77777777" w:rsidR="00FE3A8C" w:rsidRDefault="00FE3A8C" w:rsidP="00AC131F">
      <w:pPr>
        <w:pStyle w:val="BodyText-nospacebelow"/>
        <w:jc w:val="both"/>
      </w:pPr>
    </w:p>
    <w:p w14:paraId="451C5BFF" w14:textId="77777777" w:rsidR="00A33CA2" w:rsidRDefault="00A33CA2" w:rsidP="00AC131F">
      <w:pPr>
        <w:pStyle w:val="BodyText-nospacebelow"/>
        <w:jc w:val="both"/>
      </w:pPr>
      <w:r w:rsidRPr="00D63AF5">
        <w:lastRenderedPageBreak/>
        <w:t xml:space="preserve">Western Australians deserve local government that is smart, agile and inclusive. </w:t>
      </w:r>
    </w:p>
    <w:p w14:paraId="44CE4DE6" w14:textId="77777777" w:rsidR="00F002F5" w:rsidRDefault="00F002F5" w:rsidP="00AC131F">
      <w:pPr>
        <w:pStyle w:val="BodyText-nospacebelow"/>
        <w:jc w:val="both"/>
      </w:pPr>
    </w:p>
    <w:p w14:paraId="6F4F2971" w14:textId="77777777" w:rsidR="00A33CA2" w:rsidRDefault="00A33CA2" w:rsidP="00AC131F">
      <w:pPr>
        <w:pStyle w:val="BodyText-nospacebelow"/>
        <w:jc w:val="both"/>
      </w:pPr>
    </w:p>
    <w:p w14:paraId="4AF5C963" w14:textId="77777777" w:rsidR="00A33CA2" w:rsidRDefault="00604286" w:rsidP="00AC131F">
      <w:pPr>
        <w:pStyle w:val="BodyText-nospacebelow"/>
        <w:jc w:val="both"/>
      </w:pPr>
      <w:r>
        <w:t xml:space="preserve">Hon </w:t>
      </w:r>
      <w:r w:rsidR="00A33CA2">
        <w:t>David Templeman MLA</w:t>
      </w:r>
    </w:p>
    <w:p w14:paraId="523BC630" w14:textId="77777777" w:rsidR="00A33CA2" w:rsidRPr="00D63AF5" w:rsidRDefault="00A33CA2" w:rsidP="00AC131F">
      <w:pPr>
        <w:pStyle w:val="BodyText-nospacebelow"/>
        <w:jc w:val="both"/>
      </w:pPr>
      <w:r>
        <w:t>MINISTER FOR LOCAL GOVERNMENT</w:t>
      </w:r>
    </w:p>
    <w:p w14:paraId="5A2EF681" w14:textId="77777777" w:rsidR="00D63AF5" w:rsidRDefault="00D63AF5" w:rsidP="00D63AF5">
      <w:pPr>
        <w:pStyle w:val="Heading1"/>
      </w:pPr>
      <w:r>
        <w:br w:type="page"/>
      </w:r>
      <w:bookmarkStart w:id="10" w:name="_Toc493746602"/>
      <w:bookmarkStart w:id="11" w:name="_Toc493768818"/>
      <w:bookmarkStart w:id="12" w:name="_Toc493859890"/>
      <w:bookmarkStart w:id="13" w:name="_Toc495491791"/>
      <w:bookmarkStart w:id="14" w:name="_Toc495497571"/>
      <w:bookmarkStart w:id="15" w:name="_Toc495671419"/>
      <w:bookmarkStart w:id="16" w:name="_Toc495676017"/>
      <w:bookmarkStart w:id="17" w:name="_Toc495678312"/>
      <w:bookmarkStart w:id="18" w:name="_Toc495998310"/>
      <w:bookmarkStart w:id="19" w:name="_Toc497741782"/>
      <w:r>
        <w:lastRenderedPageBreak/>
        <w:t>Introduction</w:t>
      </w:r>
      <w:bookmarkEnd w:id="10"/>
      <w:bookmarkEnd w:id="11"/>
      <w:bookmarkEnd w:id="12"/>
      <w:bookmarkEnd w:id="13"/>
      <w:bookmarkEnd w:id="14"/>
      <w:bookmarkEnd w:id="15"/>
      <w:bookmarkEnd w:id="16"/>
      <w:bookmarkEnd w:id="17"/>
      <w:bookmarkEnd w:id="18"/>
      <w:bookmarkEnd w:id="19"/>
      <w:r>
        <w:t xml:space="preserve"> </w:t>
      </w:r>
    </w:p>
    <w:p w14:paraId="56B38F40" w14:textId="77777777" w:rsidR="00D63AF5" w:rsidRDefault="00D63AF5" w:rsidP="00AC131F">
      <w:pPr>
        <w:pStyle w:val="BodyText-nospacebelow"/>
        <w:jc w:val="both"/>
      </w:pPr>
      <w:r w:rsidRPr="00D63AF5">
        <w:t xml:space="preserve">The </w:t>
      </w:r>
      <w:r w:rsidRPr="00D63AF5">
        <w:rPr>
          <w:i/>
        </w:rPr>
        <w:t>Local Government Act 1995</w:t>
      </w:r>
      <w:r w:rsidR="00444338">
        <w:rPr>
          <w:i/>
        </w:rPr>
        <w:t xml:space="preserve"> </w:t>
      </w:r>
      <w:r w:rsidR="00444338" w:rsidRPr="00444338">
        <w:t>(the Act)</w:t>
      </w:r>
      <w:r w:rsidR="007071B9">
        <w:t xml:space="preserve"> </w:t>
      </w:r>
      <w:r w:rsidRPr="00D63AF5">
        <w:t xml:space="preserve">provides the framework for Western Australian local government. Local governments are created by the Act </w:t>
      </w:r>
      <w:r w:rsidR="00E333B8">
        <w:t xml:space="preserve">which </w:t>
      </w:r>
      <w:r w:rsidR="007071B9">
        <w:t>sets out</w:t>
      </w:r>
      <w:r w:rsidRPr="00D63AF5">
        <w:t xml:space="preserve"> the functions, responsibilities and powers of local government.</w:t>
      </w:r>
    </w:p>
    <w:p w14:paraId="418B62AA" w14:textId="77777777" w:rsidR="007071B9" w:rsidRPr="00D63AF5" w:rsidRDefault="007071B9" w:rsidP="00AC131F">
      <w:pPr>
        <w:pStyle w:val="BodyText-nospacebelow"/>
        <w:jc w:val="both"/>
      </w:pPr>
    </w:p>
    <w:p w14:paraId="1B54FA7D" w14:textId="77777777" w:rsidR="00D63AF5" w:rsidRDefault="00D63AF5" w:rsidP="00AC131F">
      <w:pPr>
        <w:pStyle w:val="BodyText-nospacebelow"/>
        <w:jc w:val="both"/>
      </w:pPr>
      <w:r w:rsidRPr="00D63AF5">
        <w:t xml:space="preserve">Western Australia has changed greatly since </w:t>
      </w:r>
      <w:r w:rsidR="00E333B8">
        <w:t>the Act was introduced in</w:t>
      </w:r>
      <w:r w:rsidR="00444338">
        <w:t xml:space="preserve"> </w:t>
      </w:r>
      <w:r w:rsidR="00E333B8">
        <w:t>1</w:t>
      </w:r>
      <w:r w:rsidR="007071B9">
        <w:t>995</w:t>
      </w:r>
      <w:r w:rsidRPr="00D63AF5">
        <w:t xml:space="preserve">.  Public expectations of government and what can be achieved through technology have evolved. While the Act has been </w:t>
      </w:r>
      <w:r w:rsidR="007071B9">
        <w:t>regularly</w:t>
      </w:r>
      <w:r w:rsidRPr="00D63AF5">
        <w:t xml:space="preserve"> amended, key aspects</w:t>
      </w:r>
      <w:r w:rsidR="00E333B8">
        <w:t xml:space="preserve"> </w:t>
      </w:r>
      <w:r w:rsidRPr="00D63AF5">
        <w:t>seem outdated.</w:t>
      </w:r>
    </w:p>
    <w:p w14:paraId="261A4203" w14:textId="77777777" w:rsidR="00D63AF5" w:rsidRPr="00D63AF5" w:rsidRDefault="00D63AF5" w:rsidP="00AC131F">
      <w:pPr>
        <w:pStyle w:val="BodyText-nospacebelow"/>
        <w:jc w:val="both"/>
      </w:pPr>
    </w:p>
    <w:p w14:paraId="58633432" w14:textId="77777777" w:rsidR="00D63AF5" w:rsidRPr="00D63AF5" w:rsidRDefault="00D63AF5" w:rsidP="00AC131F">
      <w:pPr>
        <w:pStyle w:val="BodyText-nospacebelow"/>
        <w:jc w:val="both"/>
      </w:pPr>
      <w:r w:rsidRPr="00D63AF5">
        <w:t>It is time to modernise the Act to match public expectations of local government.</w:t>
      </w:r>
    </w:p>
    <w:p w14:paraId="70D64A76" w14:textId="77777777" w:rsidR="00D63AF5" w:rsidRPr="00D63AF5" w:rsidRDefault="00D63AF5" w:rsidP="00AC131F">
      <w:pPr>
        <w:pStyle w:val="BodyText-nospacebelow"/>
        <w:jc w:val="both"/>
      </w:pPr>
      <w:r w:rsidRPr="00D63AF5">
        <w:t xml:space="preserve">As a consequence, the McGowan Government has committed to undertaking a review of the Act.  </w:t>
      </w:r>
      <w:r w:rsidR="007071B9">
        <w:t>T</w:t>
      </w:r>
      <w:r w:rsidRPr="00D63AF5">
        <w:t>he following principles</w:t>
      </w:r>
      <w:r w:rsidR="007071B9">
        <w:t xml:space="preserve"> underpin the review</w:t>
      </w:r>
      <w:r w:rsidRPr="00D63AF5">
        <w:t>:</w:t>
      </w:r>
    </w:p>
    <w:p w14:paraId="67F38B13" w14:textId="77777777" w:rsidR="00D63AF5" w:rsidRPr="00D63AF5" w:rsidRDefault="00D63AF5" w:rsidP="00AC131F">
      <w:pPr>
        <w:pStyle w:val="BodyText-nospacebelow"/>
        <w:numPr>
          <w:ilvl w:val="0"/>
          <w:numId w:val="2"/>
        </w:numPr>
        <w:jc w:val="both"/>
      </w:pPr>
      <w:r w:rsidRPr="00D63AF5">
        <w:t>Transparent – providing easy access to meaningful, timely and accurate information about local governments</w:t>
      </w:r>
      <w:r w:rsidR="00621D5D">
        <w:t>.</w:t>
      </w:r>
    </w:p>
    <w:p w14:paraId="052B3BA3" w14:textId="77777777" w:rsidR="00D63AF5" w:rsidRPr="00D63AF5" w:rsidRDefault="00D63AF5" w:rsidP="00AC131F">
      <w:pPr>
        <w:pStyle w:val="BodyText-nospacebelow"/>
        <w:numPr>
          <w:ilvl w:val="0"/>
          <w:numId w:val="2"/>
        </w:numPr>
        <w:jc w:val="both"/>
      </w:pPr>
      <w:r w:rsidRPr="00D63AF5">
        <w:t>Participatory – strengthening local democracy through increased community engagement</w:t>
      </w:r>
      <w:r w:rsidR="00621D5D">
        <w:t>.</w:t>
      </w:r>
    </w:p>
    <w:p w14:paraId="669B869F" w14:textId="77777777" w:rsidR="00D63AF5" w:rsidRPr="00D63AF5" w:rsidRDefault="00D63AF5" w:rsidP="00AC131F">
      <w:pPr>
        <w:pStyle w:val="BodyText-nospacebelow"/>
        <w:numPr>
          <w:ilvl w:val="0"/>
          <w:numId w:val="2"/>
        </w:numPr>
        <w:jc w:val="both"/>
      </w:pPr>
      <w:r w:rsidRPr="00D63AF5">
        <w:t>Accountable – holding local governments accountable by strengthening integrity and good governance</w:t>
      </w:r>
      <w:r w:rsidR="00621D5D">
        <w:t>.</w:t>
      </w:r>
    </w:p>
    <w:p w14:paraId="77887A9E" w14:textId="77777777" w:rsidR="00D63AF5" w:rsidRPr="00D63AF5" w:rsidRDefault="00D63AF5" w:rsidP="00AC131F">
      <w:pPr>
        <w:pStyle w:val="BodyText-nospacebelow"/>
        <w:numPr>
          <w:ilvl w:val="0"/>
          <w:numId w:val="2"/>
        </w:numPr>
        <w:jc w:val="both"/>
      </w:pPr>
      <w:r w:rsidRPr="00D63AF5">
        <w:t>Efficient – providing a framework for local governments to be more efficient by removing impediments to good practice</w:t>
      </w:r>
      <w:r w:rsidR="00621D5D">
        <w:t>.</w:t>
      </w:r>
    </w:p>
    <w:p w14:paraId="49D4FF13" w14:textId="77777777" w:rsidR="00D63AF5" w:rsidRPr="00D63AF5" w:rsidRDefault="00D63AF5" w:rsidP="00AC131F">
      <w:pPr>
        <w:pStyle w:val="BodyText-nospacebelow"/>
        <w:numPr>
          <w:ilvl w:val="0"/>
          <w:numId w:val="2"/>
        </w:numPr>
        <w:jc w:val="both"/>
      </w:pPr>
      <w:r w:rsidRPr="00D63AF5">
        <w:t>Modern – embracing contemporary models for governan</w:t>
      </w:r>
      <w:r w:rsidR="00444338">
        <w:t>ce and public sector management</w:t>
      </w:r>
      <w:r w:rsidR="00621D5D">
        <w:t>.</w:t>
      </w:r>
    </w:p>
    <w:p w14:paraId="02E30CFC" w14:textId="480744E4" w:rsidR="000A76D1" w:rsidRPr="00D63AF5" w:rsidRDefault="000A76D1" w:rsidP="00AC131F">
      <w:pPr>
        <w:pStyle w:val="BodyText-nospacebelow"/>
        <w:numPr>
          <w:ilvl w:val="0"/>
          <w:numId w:val="2"/>
        </w:numPr>
        <w:jc w:val="both"/>
      </w:pPr>
      <w:r>
        <w:t>Enabled – local governments will be empowered to deliver for communities as autonomous bodies</w:t>
      </w:r>
      <w:r w:rsidR="008953B5">
        <w:t xml:space="preserve"> with powers and responsibilities specified in legislation.</w:t>
      </w:r>
    </w:p>
    <w:p w14:paraId="0B4A6987" w14:textId="77777777" w:rsidR="00D63AF5" w:rsidRDefault="00D63AF5" w:rsidP="00AC131F">
      <w:pPr>
        <w:pStyle w:val="BodyText-nospacebelow"/>
        <w:jc w:val="both"/>
      </w:pPr>
    </w:p>
    <w:p w14:paraId="40BF098E" w14:textId="7766C0AD" w:rsidR="00D63AF5" w:rsidRDefault="00D63AF5" w:rsidP="00AC131F">
      <w:pPr>
        <w:pStyle w:val="BodyText-nospacebelow"/>
        <w:jc w:val="both"/>
      </w:pPr>
      <w:r w:rsidRPr="00D63AF5">
        <w:t>The review w</w:t>
      </w:r>
      <w:r>
        <w:t>ill be conducted in two phases as outlined below</w:t>
      </w:r>
      <w:r w:rsidR="005537D4">
        <w:t>:</w:t>
      </w:r>
    </w:p>
    <w:p w14:paraId="7BDE582F" w14:textId="77777777" w:rsidR="00D63AF5" w:rsidRPr="00D63AF5" w:rsidRDefault="00D63AF5" w:rsidP="00D63AF5">
      <w:pPr>
        <w:pStyle w:val="BodyText-nospacebelow"/>
      </w:pPr>
    </w:p>
    <w:tbl>
      <w:tblPr>
        <w:tblStyle w:val="DLGCTable-Data"/>
        <w:tblW w:w="0" w:type="auto"/>
        <w:tblLook w:val="04A0" w:firstRow="1" w:lastRow="0" w:firstColumn="1" w:lastColumn="0" w:noHBand="0" w:noVBand="1"/>
      </w:tblPr>
      <w:tblGrid>
        <w:gridCol w:w="4508"/>
        <w:gridCol w:w="4508"/>
      </w:tblGrid>
      <w:tr w:rsidR="006B4652" w:rsidRPr="00D63AF5" w14:paraId="16BDDD35" w14:textId="77777777" w:rsidTr="006B4652">
        <w:trPr>
          <w:cnfStyle w:val="100000000000" w:firstRow="1" w:lastRow="0" w:firstColumn="0" w:lastColumn="0" w:oddVBand="0" w:evenVBand="0" w:oddHBand="0" w:evenHBand="0" w:firstRowFirstColumn="0" w:firstRowLastColumn="0" w:lastRowFirstColumn="0" w:lastRowLastColumn="0"/>
        </w:trPr>
        <w:tc>
          <w:tcPr>
            <w:tcW w:w="4508" w:type="dxa"/>
          </w:tcPr>
          <w:p w14:paraId="1BEA0DD8" w14:textId="77777777" w:rsidR="006B4652" w:rsidRPr="00D63AF5" w:rsidRDefault="006B4652" w:rsidP="00D63AF5">
            <w:pPr>
              <w:pStyle w:val="BodyText-nospacebelow"/>
            </w:pPr>
            <w:r>
              <w:t>Phase 1</w:t>
            </w:r>
          </w:p>
        </w:tc>
        <w:tc>
          <w:tcPr>
            <w:tcW w:w="4508" w:type="dxa"/>
          </w:tcPr>
          <w:p w14:paraId="7D21DA3A" w14:textId="77777777" w:rsidR="006B4652" w:rsidRPr="00D63AF5" w:rsidRDefault="006B4652" w:rsidP="00D63AF5">
            <w:pPr>
              <w:pStyle w:val="BodyText-nospacebelow"/>
            </w:pPr>
            <w:r>
              <w:t>Phase 2</w:t>
            </w:r>
          </w:p>
        </w:tc>
      </w:tr>
      <w:tr w:rsidR="00D63AF5" w:rsidRPr="00D63AF5" w14:paraId="40015476" w14:textId="77777777" w:rsidTr="006B4652">
        <w:tc>
          <w:tcPr>
            <w:tcW w:w="4508" w:type="dxa"/>
          </w:tcPr>
          <w:p w14:paraId="0CDBF0BB" w14:textId="77777777" w:rsidR="00D63AF5" w:rsidRPr="006B4652" w:rsidRDefault="00D63AF5" w:rsidP="00D63AF5">
            <w:pPr>
              <w:pStyle w:val="BodyText-nospacebelow"/>
            </w:pPr>
            <w:r w:rsidRPr="006B4652">
              <w:t>Making information available online</w:t>
            </w:r>
          </w:p>
          <w:p w14:paraId="6CAEEB6E" w14:textId="77777777" w:rsidR="00D63AF5" w:rsidRPr="006B4652" w:rsidRDefault="00D63AF5" w:rsidP="00D63AF5">
            <w:pPr>
              <w:pStyle w:val="BodyText-nospacebelow"/>
            </w:pPr>
            <w:r w:rsidRPr="006B4652">
              <w:t>Meeting public expectations for accountability</w:t>
            </w:r>
          </w:p>
          <w:p w14:paraId="0D8ACF54" w14:textId="77777777" w:rsidR="00D63AF5" w:rsidRPr="006B4652" w:rsidRDefault="00D63AF5" w:rsidP="00D63AF5">
            <w:pPr>
              <w:pStyle w:val="BodyText-nospacebelow"/>
            </w:pPr>
            <w:r w:rsidRPr="006B4652">
              <w:t>Meeting public expectations of ethics, standards and performance</w:t>
            </w:r>
          </w:p>
          <w:p w14:paraId="21408071" w14:textId="77777777" w:rsidR="00D63AF5" w:rsidRPr="006B4652" w:rsidRDefault="00D63AF5" w:rsidP="00D63AF5">
            <w:pPr>
              <w:pStyle w:val="BodyText-nospacebelow"/>
            </w:pPr>
            <w:r w:rsidRPr="006B4652">
              <w:t>Building capacity through reducing red tape*</w:t>
            </w:r>
          </w:p>
          <w:p w14:paraId="428C27FF" w14:textId="77777777" w:rsidR="00D63AF5" w:rsidRPr="006B4652" w:rsidRDefault="00D63AF5" w:rsidP="00D63AF5">
            <w:pPr>
              <w:pStyle w:val="BodyText-nospacebelow"/>
            </w:pPr>
          </w:p>
          <w:p w14:paraId="15E73D47" w14:textId="77777777" w:rsidR="00D63AF5" w:rsidRPr="006B4652" w:rsidRDefault="00D63AF5" w:rsidP="007817C6">
            <w:pPr>
              <w:pStyle w:val="BodyText-nospacebelow"/>
            </w:pPr>
          </w:p>
        </w:tc>
        <w:tc>
          <w:tcPr>
            <w:tcW w:w="4508" w:type="dxa"/>
          </w:tcPr>
          <w:p w14:paraId="632685E3" w14:textId="77777777" w:rsidR="00D63AF5" w:rsidRPr="006B4652" w:rsidRDefault="00D63AF5" w:rsidP="00D63AF5">
            <w:pPr>
              <w:pStyle w:val="BodyText-nospacebelow"/>
            </w:pPr>
            <w:r w:rsidRPr="006B4652">
              <w:t>Increasing participation in local government elections</w:t>
            </w:r>
          </w:p>
          <w:p w14:paraId="57EB3F0A" w14:textId="77777777" w:rsidR="00D63AF5" w:rsidRPr="006B4652" w:rsidRDefault="00D63AF5" w:rsidP="00D63AF5">
            <w:pPr>
              <w:pStyle w:val="BodyText-nospacebelow"/>
            </w:pPr>
            <w:r w:rsidRPr="006B4652">
              <w:t>Increasing community participation</w:t>
            </w:r>
          </w:p>
          <w:p w14:paraId="76DE39D9" w14:textId="77777777" w:rsidR="00D63AF5" w:rsidRPr="006B4652" w:rsidRDefault="00D63AF5" w:rsidP="00D63AF5">
            <w:pPr>
              <w:pStyle w:val="BodyText-nospacebelow"/>
            </w:pPr>
            <w:r w:rsidRPr="006B4652">
              <w:t>Introducing an adaptive regulatory framework</w:t>
            </w:r>
          </w:p>
          <w:p w14:paraId="465E2428" w14:textId="77777777" w:rsidR="00D63AF5" w:rsidRPr="006B4652" w:rsidRDefault="00D63AF5" w:rsidP="00D63AF5">
            <w:pPr>
              <w:pStyle w:val="BodyText-nospacebelow"/>
            </w:pPr>
            <w:r w:rsidRPr="006B4652">
              <w:t>Improving financial management</w:t>
            </w:r>
          </w:p>
          <w:p w14:paraId="249DE2C8" w14:textId="77777777" w:rsidR="00D63AF5" w:rsidRPr="006B4652" w:rsidRDefault="00D63AF5" w:rsidP="00D63AF5">
            <w:pPr>
              <w:pStyle w:val="BodyText-nospacebelow"/>
            </w:pPr>
            <w:r w:rsidRPr="006B4652">
              <w:t>Building capacity through reducing red tape*</w:t>
            </w:r>
          </w:p>
          <w:p w14:paraId="5811DABC" w14:textId="77777777" w:rsidR="00D63AF5" w:rsidRPr="006B4652" w:rsidRDefault="00D63AF5" w:rsidP="009B20A9">
            <w:pPr>
              <w:pStyle w:val="BodyText-nospacebelow"/>
            </w:pPr>
            <w:r w:rsidRPr="006B4652">
              <w:lastRenderedPageBreak/>
              <w:t xml:space="preserve">Other matters raised in phase </w:t>
            </w:r>
            <w:r w:rsidR="009B20A9">
              <w:t>1</w:t>
            </w:r>
            <w:r w:rsidR="009B20A9" w:rsidRPr="006B4652">
              <w:t xml:space="preserve"> </w:t>
            </w:r>
            <w:r w:rsidRPr="006B4652">
              <w:t>consultation</w:t>
            </w:r>
          </w:p>
        </w:tc>
      </w:tr>
    </w:tbl>
    <w:p w14:paraId="0E11F781" w14:textId="77777777" w:rsidR="007817C6" w:rsidRPr="007817C6" w:rsidRDefault="007817C6" w:rsidP="007817C6">
      <w:pPr>
        <w:pStyle w:val="BodyText-nospacebelow"/>
        <w:rPr>
          <w:i/>
        </w:rPr>
      </w:pPr>
      <w:r w:rsidRPr="007817C6">
        <w:rPr>
          <w:i/>
        </w:rPr>
        <w:lastRenderedPageBreak/>
        <w:t>*matter to be dealt with in both phases</w:t>
      </w:r>
    </w:p>
    <w:p w14:paraId="6250D206" w14:textId="77777777" w:rsidR="00D63AF5" w:rsidRPr="00D63AF5" w:rsidRDefault="00D63AF5" w:rsidP="00D63AF5">
      <w:pPr>
        <w:pStyle w:val="BodyText-nospacebelow"/>
      </w:pPr>
    </w:p>
    <w:p w14:paraId="519618EE" w14:textId="31C8F455" w:rsidR="00E333B8" w:rsidRDefault="005537D4" w:rsidP="00AC131F">
      <w:pPr>
        <w:pStyle w:val="BodyText-nospacebelow"/>
        <w:jc w:val="both"/>
      </w:pPr>
      <w:r>
        <w:t>While t</w:t>
      </w:r>
      <w:r w:rsidR="00D63AF5" w:rsidRPr="00D63AF5">
        <w:t xml:space="preserve">his consultation paper deals with the matters </w:t>
      </w:r>
      <w:r>
        <w:t>listed above</w:t>
      </w:r>
      <w:r w:rsidR="00D63AF5" w:rsidRPr="00D63AF5">
        <w:t xml:space="preserve"> in phase 1</w:t>
      </w:r>
      <w:r>
        <w:t>, responses and proposals for reform are invited on any aspect that contributes to the principles underpinning the review of local government legislation</w:t>
      </w:r>
      <w:r w:rsidR="000657D5">
        <w:t>.</w:t>
      </w:r>
      <w:r>
        <w:t xml:space="preserve">  </w:t>
      </w:r>
    </w:p>
    <w:p w14:paraId="6D4BA210" w14:textId="77777777" w:rsidR="00243711" w:rsidRDefault="00243711" w:rsidP="00AC131F">
      <w:pPr>
        <w:pStyle w:val="BodyText-nospacebelow"/>
        <w:jc w:val="both"/>
      </w:pPr>
    </w:p>
    <w:p w14:paraId="757F6C0A" w14:textId="7D90633F" w:rsidR="00D63AF5" w:rsidRDefault="00D63AF5" w:rsidP="00AC131F">
      <w:pPr>
        <w:pStyle w:val="BodyText-nospacebelow"/>
        <w:jc w:val="both"/>
      </w:pPr>
      <w:r w:rsidRPr="00D63AF5">
        <w:t>A second consultation paper will be released in 2018.</w:t>
      </w:r>
    </w:p>
    <w:p w14:paraId="361E0811" w14:textId="77777777" w:rsidR="00674AA1" w:rsidRDefault="00674AA1" w:rsidP="00AC131F">
      <w:pPr>
        <w:pStyle w:val="BodyText-nospacebelow"/>
        <w:jc w:val="both"/>
      </w:pPr>
    </w:p>
    <w:p w14:paraId="38983C34" w14:textId="0ADBD097" w:rsidR="00674AA1" w:rsidRDefault="00674AA1" w:rsidP="00AC131F">
      <w:pPr>
        <w:pStyle w:val="BodyText-nospacebelow"/>
        <w:jc w:val="both"/>
      </w:pPr>
      <w:r>
        <w:t xml:space="preserve">This review is examining all of the legislation that sets the framework for local government: the </w:t>
      </w:r>
      <w:r w:rsidRPr="00674AA1">
        <w:rPr>
          <w:i/>
        </w:rPr>
        <w:t>Local Government Act</w:t>
      </w:r>
      <w:r>
        <w:t xml:space="preserve"> and the twelve sets of regulations that underpin it.</w:t>
      </w:r>
    </w:p>
    <w:p w14:paraId="76A289B6" w14:textId="77777777" w:rsidR="008A7B23" w:rsidRDefault="008A7B23" w:rsidP="00AC131F">
      <w:pPr>
        <w:pStyle w:val="BodyText-nospacebelow"/>
        <w:jc w:val="both"/>
      </w:pPr>
    </w:p>
    <w:p w14:paraId="7C01EA48" w14:textId="28B3A9AD" w:rsidR="00D63AF5" w:rsidRDefault="00D63AF5" w:rsidP="00AC131F">
      <w:pPr>
        <w:pStyle w:val="BodyText-nospacebelow"/>
        <w:jc w:val="both"/>
      </w:pPr>
      <w:r w:rsidRPr="00D63AF5">
        <w:t>Local government makes a big difference in our everyday lives.</w:t>
      </w:r>
      <w:r w:rsidR="002E7738">
        <w:t xml:space="preserve">  </w:t>
      </w:r>
      <w:r w:rsidRPr="00D63AF5">
        <w:t>Local governments define the places where Western Australians live, work and play.</w:t>
      </w:r>
    </w:p>
    <w:p w14:paraId="7085C9E2" w14:textId="77777777" w:rsidR="00B173D0" w:rsidRPr="00D63AF5" w:rsidRDefault="00B173D0" w:rsidP="00AC131F">
      <w:pPr>
        <w:pStyle w:val="BodyText-nospacebelow"/>
        <w:jc w:val="both"/>
      </w:pPr>
    </w:p>
    <w:p w14:paraId="579EDB83" w14:textId="5733F4CC" w:rsidR="00D63AF5" w:rsidRDefault="00D63AF5" w:rsidP="00AC131F">
      <w:pPr>
        <w:pStyle w:val="BodyText-nospacebelow"/>
        <w:jc w:val="both"/>
      </w:pPr>
      <w:r w:rsidRPr="00D63AF5">
        <w:t>In Western Australia’s regions they are often a major employer and glue for communities. They can support local economies, businesses and the environment</w:t>
      </w:r>
      <w:r w:rsidR="00FC36F4">
        <w:t xml:space="preserve"> and have an important role supporting our communities, including vulnerable people</w:t>
      </w:r>
      <w:r w:rsidRPr="00D63AF5">
        <w:t xml:space="preserve"> and must carefully balance these competing priorities. Local governments have a tough job and often have to make controversial decisions</w:t>
      </w:r>
      <w:r w:rsidR="00B173D0">
        <w:t>.</w:t>
      </w:r>
    </w:p>
    <w:p w14:paraId="04580689" w14:textId="77777777" w:rsidR="00B173D0" w:rsidRPr="00D63AF5" w:rsidRDefault="00B173D0" w:rsidP="00AC131F">
      <w:pPr>
        <w:pStyle w:val="BodyText-nospacebelow"/>
        <w:jc w:val="both"/>
      </w:pPr>
    </w:p>
    <w:p w14:paraId="3FFF765C" w14:textId="77777777" w:rsidR="00D63AF5" w:rsidRDefault="00D63AF5" w:rsidP="00AC131F">
      <w:pPr>
        <w:pStyle w:val="BodyText-nospacebelow"/>
        <w:jc w:val="both"/>
      </w:pPr>
      <w:r w:rsidRPr="00D63AF5">
        <w:t>Local governments are an expression of their community and like Western Australians communities, are increasingly diverse and face complex issues. They manage an aging population, provide safe and inclusive public spaces and deliver high quality services and infrastructure.</w:t>
      </w:r>
    </w:p>
    <w:p w14:paraId="466C70ED" w14:textId="77777777" w:rsidR="00B173D0" w:rsidRPr="00D63AF5" w:rsidRDefault="00B173D0" w:rsidP="00AC131F">
      <w:pPr>
        <w:pStyle w:val="BodyText-nospacebelow"/>
        <w:jc w:val="both"/>
      </w:pPr>
    </w:p>
    <w:p w14:paraId="49351534" w14:textId="77777777" w:rsidR="00D63AF5" w:rsidRDefault="00D63AF5" w:rsidP="00AC131F">
      <w:pPr>
        <w:pStyle w:val="BodyText-nospacebelow"/>
        <w:jc w:val="both"/>
      </w:pPr>
      <w:r w:rsidRPr="00D63AF5">
        <w:t>To meet</w:t>
      </w:r>
      <w:r w:rsidRPr="00D63AF5" w:rsidDel="00086530">
        <w:t xml:space="preserve"> </w:t>
      </w:r>
      <w:r w:rsidRPr="00D63AF5">
        <w:t xml:space="preserve">contemporary community expectations, local governments need a contemporary legislative framework that provides </w:t>
      </w:r>
      <w:r w:rsidR="007071B9">
        <w:t>boundaries</w:t>
      </w:r>
      <w:r w:rsidRPr="00D63AF5">
        <w:t xml:space="preserve"> for their operations.  The</w:t>
      </w:r>
      <w:r w:rsidRPr="00D63AF5" w:rsidDel="006567B2">
        <w:t xml:space="preserve"> </w:t>
      </w:r>
      <w:r w:rsidRPr="00D63AF5">
        <w:t xml:space="preserve">framework will need to account for the diversity of Western Australia’s local governments and the varying roles that they perform to service their unique communities.  </w:t>
      </w:r>
    </w:p>
    <w:p w14:paraId="147B5551" w14:textId="77777777" w:rsidR="00B173D0" w:rsidRPr="00D63AF5" w:rsidRDefault="00B173D0" w:rsidP="00AC131F">
      <w:pPr>
        <w:pStyle w:val="BodyText-nospacebelow"/>
        <w:jc w:val="both"/>
      </w:pPr>
    </w:p>
    <w:p w14:paraId="5A84CDB4" w14:textId="77777777" w:rsidR="00D63AF5" w:rsidRPr="00D63AF5" w:rsidRDefault="00D63AF5" w:rsidP="00AC131F">
      <w:pPr>
        <w:pStyle w:val="BodyText-nospacebelow"/>
        <w:jc w:val="both"/>
      </w:pPr>
      <w:r w:rsidRPr="00D63AF5">
        <w:t xml:space="preserve">While the Act establishes local government and the </w:t>
      </w:r>
      <w:r w:rsidR="007071B9">
        <w:t>key rules for its operation, this</w:t>
      </w:r>
      <w:r w:rsidRPr="00D63AF5">
        <w:t xml:space="preserve"> Act is just one of many legislative instruments administered across multiple portfolios that inform how local governments conduct their business. For example, local governments’ role in planning is defined in planning laws and their role in public health matters is defined in the </w:t>
      </w:r>
      <w:r w:rsidRPr="00D63AF5">
        <w:rPr>
          <w:i/>
        </w:rPr>
        <w:t>Public Health Act 2016</w:t>
      </w:r>
      <w:r w:rsidRPr="00D63AF5">
        <w:t>.</w:t>
      </w:r>
      <w:r w:rsidR="007071B9">
        <w:t xml:space="preserve">  Some of the matters raised in this review may therefore impact other legislation.</w:t>
      </w:r>
    </w:p>
    <w:p w14:paraId="0018C1C1" w14:textId="0A426653" w:rsidR="005537D4" w:rsidRDefault="005537D4" w:rsidP="00D63AF5">
      <w:pPr>
        <w:pStyle w:val="BodyText-nospacebelow"/>
      </w:pPr>
    </w:p>
    <w:p w14:paraId="7631DA6D" w14:textId="77777777" w:rsidR="00B173D0" w:rsidRDefault="00B173D0" w:rsidP="00AC131F">
      <w:pPr>
        <w:pStyle w:val="Heading1"/>
        <w:jc w:val="both"/>
      </w:pPr>
      <w:bookmarkStart w:id="20" w:name="_Toc493746603"/>
      <w:bookmarkStart w:id="21" w:name="_Toc493768819"/>
      <w:bookmarkStart w:id="22" w:name="_Toc493859891"/>
      <w:bookmarkStart w:id="23" w:name="_Toc495491792"/>
      <w:bookmarkStart w:id="24" w:name="_Toc495497572"/>
      <w:bookmarkStart w:id="25" w:name="_Toc495671420"/>
      <w:bookmarkStart w:id="26" w:name="_Toc495676018"/>
      <w:bookmarkStart w:id="27" w:name="_Toc495678313"/>
      <w:bookmarkStart w:id="28" w:name="_Toc495998311"/>
      <w:bookmarkStart w:id="29" w:name="_Toc497741783"/>
      <w:r>
        <w:t>Consultation to date</w:t>
      </w:r>
      <w:bookmarkEnd w:id="20"/>
      <w:bookmarkEnd w:id="21"/>
      <w:bookmarkEnd w:id="22"/>
      <w:bookmarkEnd w:id="23"/>
      <w:bookmarkEnd w:id="24"/>
      <w:bookmarkEnd w:id="25"/>
      <w:bookmarkEnd w:id="26"/>
      <w:bookmarkEnd w:id="27"/>
      <w:bookmarkEnd w:id="28"/>
      <w:bookmarkEnd w:id="29"/>
    </w:p>
    <w:p w14:paraId="7195761D" w14:textId="4D717C99" w:rsidR="00B173D0" w:rsidRDefault="00B173D0" w:rsidP="00AC131F">
      <w:pPr>
        <w:pStyle w:val="BodyText-nospacebelow"/>
        <w:jc w:val="both"/>
      </w:pPr>
      <w:r w:rsidRPr="00B173D0">
        <w:t>Modernising the legislative framework by which local governments operate is a complex task</w:t>
      </w:r>
      <w:r w:rsidR="007071B9">
        <w:t>.</w:t>
      </w:r>
      <w:r w:rsidRPr="00B173D0">
        <w:t xml:space="preserve"> </w:t>
      </w:r>
      <w:r w:rsidR="007071B9">
        <w:t>T</w:t>
      </w:r>
      <w:r w:rsidRPr="00B173D0">
        <w:t>he views of local government, the community and business</w:t>
      </w:r>
      <w:r w:rsidR="007071B9">
        <w:t xml:space="preserve"> are all needed</w:t>
      </w:r>
      <w:r w:rsidR="00A30B2E">
        <w:t xml:space="preserve"> </w:t>
      </w:r>
      <w:r w:rsidR="00E333B8">
        <w:t xml:space="preserve">to achieve </w:t>
      </w:r>
      <w:r w:rsidR="00A30B2E">
        <w:t>the best result</w:t>
      </w:r>
      <w:r w:rsidRPr="00B173D0">
        <w:t xml:space="preserve">. </w:t>
      </w:r>
    </w:p>
    <w:p w14:paraId="0DE133BE" w14:textId="77777777" w:rsidR="00B173D0" w:rsidRPr="00B173D0" w:rsidRDefault="00B173D0" w:rsidP="00AC131F">
      <w:pPr>
        <w:pStyle w:val="BodyText-nospacebelow"/>
        <w:jc w:val="both"/>
      </w:pPr>
    </w:p>
    <w:p w14:paraId="138AC795" w14:textId="77777777" w:rsidR="00B173D0" w:rsidRPr="00B173D0" w:rsidRDefault="00B173D0" w:rsidP="00AC131F">
      <w:pPr>
        <w:pStyle w:val="BodyText-nospacebelow"/>
        <w:jc w:val="both"/>
      </w:pPr>
      <w:r w:rsidRPr="00B173D0">
        <w:t>In June 2017, a reference group was established to provide expertise and advice to the review.  The reference group members are drawn from the:</w:t>
      </w:r>
    </w:p>
    <w:p w14:paraId="4E176483" w14:textId="11D8D579" w:rsidR="00B173D0" w:rsidRPr="00B173D0" w:rsidRDefault="00B173D0" w:rsidP="00AC131F">
      <w:pPr>
        <w:pStyle w:val="BodyText-nospacebelow"/>
        <w:numPr>
          <w:ilvl w:val="0"/>
          <w:numId w:val="3"/>
        </w:numPr>
        <w:jc w:val="both"/>
      </w:pPr>
      <w:r w:rsidRPr="00B173D0">
        <w:t>Western Australian Local Government Association (WALGA);</w:t>
      </w:r>
    </w:p>
    <w:p w14:paraId="7277D712" w14:textId="6F261F2A" w:rsidR="00B173D0" w:rsidRPr="00B173D0" w:rsidRDefault="00B173D0" w:rsidP="00AC131F">
      <w:pPr>
        <w:pStyle w:val="BodyText-nospacebelow"/>
        <w:numPr>
          <w:ilvl w:val="0"/>
          <w:numId w:val="3"/>
        </w:numPr>
        <w:jc w:val="both"/>
      </w:pPr>
      <w:r w:rsidRPr="00B173D0">
        <w:t>L</w:t>
      </w:r>
      <w:r w:rsidR="008953B5">
        <w:t>G</w:t>
      </w:r>
      <w:r w:rsidRPr="00B173D0">
        <w:t xml:space="preserve"> Professionals </w:t>
      </w:r>
      <w:r w:rsidR="00246B9A">
        <w:t xml:space="preserve">Australia </w:t>
      </w:r>
      <w:r w:rsidRPr="00B173D0">
        <w:t>WA</w:t>
      </w:r>
      <w:r w:rsidR="00886E85">
        <w:t xml:space="preserve"> (LG Professionals WA)</w:t>
      </w:r>
      <w:r w:rsidRPr="00B173D0">
        <w:t>;</w:t>
      </w:r>
    </w:p>
    <w:p w14:paraId="7A82B370" w14:textId="025479CB" w:rsidR="00B173D0" w:rsidRPr="00B173D0" w:rsidRDefault="00B173D0" w:rsidP="00AC131F">
      <w:pPr>
        <w:pStyle w:val="BodyText-nospacebelow"/>
        <w:numPr>
          <w:ilvl w:val="0"/>
          <w:numId w:val="3"/>
        </w:numPr>
        <w:jc w:val="both"/>
      </w:pPr>
      <w:r w:rsidRPr="00B173D0">
        <w:t>Western Australian Council of Social Service;</w:t>
      </w:r>
    </w:p>
    <w:p w14:paraId="032AD118" w14:textId="23517CC2" w:rsidR="00B173D0" w:rsidRPr="00B173D0" w:rsidRDefault="00B173D0" w:rsidP="00AC131F">
      <w:pPr>
        <w:pStyle w:val="BodyText-nospacebelow"/>
        <w:numPr>
          <w:ilvl w:val="0"/>
          <w:numId w:val="3"/>
        </w:numPr>
        <w:jc w:val="both"/>
      </w:pPr>
      <w:r w:rsidRPr="00B173D0">
        <w:t>Western Australia</w:t>
      </w:r>
      <w:r w:rsidR="00BB16EE">
        <w:t>n</w:t>
      </w:r>
      <w:r w:rsidRPr="00B173D0">
        <w:t xml:space="preserve"> Electoral Commission;</w:t>
      </w:r>
    </w:p>
    <w:p w14:paraId="1CA42D82" w14:textId="7977D2B7" w:rsidR="00B173D0" w:rsidRPr="00B173D0" w:rsidRDefault="00B173D0" w:rsidP="00AC131F">
      <w:pPr>
        <w:pStyle w:val="BodyText-nospacebelow"/>
        <w:numPr>
          <w:ilvl w:val="0"/>
          <w:numId w:val="3"/>
        </w:numPr>
        <w:jc w:val="both"/>
      </w:pPr>
      <w:r w:rsidRPr="00B173D0">
        <w:t>Regional Chamber of Commerce and Industry; and</w:t>
      </w:r>
    </w:p>
    <w:p w14:paraId="61729903" w14:textId="77777777" w:rsidR="00B173D0" w:rsidRDefault="00B173D0" w:rsidP="00AC131F">
      <w:pPr>
        <w:pStyle w:val="BodyText-nospacebelow"/>
        <w:numPr>
          <w:ilvl w:val="0"/>
          <w:numId w:val="3"/>
        </w:numPr>
        <w:jc w:val="both"/>
      </w:pPr>
      <w:r w:rsidRPr="00B173D0">
        <w:t>Western Australian Rangers Association.</w:t>
      </w:r>
    </w:p>
    <w:p w14:paraId="0464EF32" w14:textId="77777777" w:rsidR="00B173D0" w:rsidRPr="00B173D0" w:rsidRDefault="00B173D0" w:rsidP="00AC131F">
      <w:pPr>
        <w:pStyle w:val="BodyText-nospacebelow"/>
        <w:ind w:left="720"/>
        <w:jc w:val="both"/>
      </w:pPr>
    </w:p>
    <w:p w14:paraId="2F39023E" w14:textId="05DC411A" w:rsidR="00B173D0" w:rsidRDefault="00B173D0" w:rsidP="00AC131F">
      <w:pPr>
        <w:pStyle w:val="BodyText-nospacebelow"/>
        <w:jc w:val="both"/>
      </w:pPr>
      <w:r w:rsidRPr="00B173D0">
        <w:t xml:space="preserve">In July and August 2017, the Department of Treasury and the Department of Local Government, Sport and Cultural Industries (the </w:t>
      </w:r>
      <w:r w:rsidR="007817C6">
        <w:t>Department</w:t>
      </w:r>
      <w:r w:rsidRPr="00B173D0">
        <w:t>) hosted three red tape workshops.  The workshops were attended by representatives from WALGA, L</w:t>
      </w:r>
      <w:r w:rsidR="008953B5">
        <w:t>G</w:t>
      </w:r>
      <w:r w:rsidRPr="00B173D0">
        <w:t xml:space="preserve"> Professionals WA and </w:t>
      </w:r>
      <w:r w:rsidR="00D71C93">
        <w:t xml:space="preserve">various </w:t>
      </w:r>
      <w:r w:rsidRPr="00B173D0">
        <w:t>industry groups.</w:t>
      </w:r>
    </w:p>
    <w:p w14:paraId="3917DD64" w14:textId="77777777" w:rsidR="00B173D0" w:rsidRPr="00B173D0" w:rsidRDefault="00B173D0" w:rsidP="00AC131F">
      <w:pPr>
        <w:pStyle w:val="BodyText-nospacebelow"/>
        <w:jc w:val="both"/>
      </w:pPr>
    </w:p>
    <w:p w14:paraId="63950923" w14:textId="77777777" w:rsidR="00B173D0" w:rsidRDefault="00B173D0" w:rsidP="00AC131F">
      <w:pPr>
        <w:pStyle w:val="BodyText-nospacebelow"/>
        <w:jc w:val="both"/>
      </w:pPr>
      <w:r w:rsidRPr="00B173D0">
        <w:t xml:space="preserve">In July 2017, the </w:t>
      </w:r>
      <w:r w:rsidR="007817C6">
        <w:t>Department</w:t>
      </w:r>
      <w:r w:rsidRPr="00B173D0">
        <w:t xml:space="preserve"> presented </w:t>
      </w:r>
      <w:r w:rsidR="007817C6">
        <w:t>its</w:t>
      </w:r>
      <w:r w:rsidR="007817C6" w:rsidRPr="00B173D0">
        <w:t xml:space="preserve"> </w:t>
      </w:r>
      <w:r w:rsidRPr="00B173D0">
        <w:t>findings to the Minister for Citizenship and Multicultural Interests’ Multicultural Reference Group.</w:t>
      </w:r>
    </w:p>
    <w:p w14:paraId="678C6C50" w14:textId="77777777" w:rsidR="00B173D0" w:rsidRPr="00B173D0" w:rsidRDefault="00B173D0" w:rsidP="00AC131F">
      <w:pPr>
        <w:pStyle w:val="BodyText-nospacebelow"/>
        <w:jc w:val="both"/>
      </w:pPr>
    </w:p>
    <w:p w14:paraId="112428C9" w14:textId="77777777" w:rsidR="00B173D0" w:rsidRPr="00B173D0" w:rsidRDefault="00B173D0" w:rsidP="00AC131F">
      <w:pPr>
        <w:pStyle w:val="BodyText-nospacebelow"/>
        <w:jc w:val="both"/>
      </w:pPr>
      <w:r w:rsidRPr="00B173D0">
        <w:t xml:space="preserve">In preparing this consultation paper, the </w:t>
      </w:r>
      <w:r w:rsidR="007817C6">
        <w:t>Department</w:t>
      </w:r>
      <w:r w:rsidRPr="00B173D0">
        <w:t xml:space="preserve"> has also met with local governments, industry groups and community sector advocates</w:t>
      </w:r>
      <w:r w:rsidR="00A30B2E">
        <w:t xml:space="preserve"> on an individual basis</w:t>
      </w:r>
      <w:r w:rsidRPr="00B173D0">
        <w:t xml:space="preserve">. </w:t>
      </w:r>
    </w:p>
    <w:p w14:paraId="333D53D4" w14:textId="77777777" w:rsidR="00B173D0" w:rsidRDefault="00B173D0" w:rsidP="00B173D0">
      <w:pPr>
        <w:pStyle w:val="BodyText-nospacebelow"/>
      </w:pPr>
    </w:p>
    <w:p w14:paraId="173A2796" w14:textId="77777777" w:rsidR="00AC131F" w:rsidRDefault="00AC131F">
      <w:pPr>
        <w:rPr>
          <w:rFonts w:eastAsiaTheme="majorEastAsia" w:cs="Arial"/>
          <w:bCs/>
          <w:color w:val="2C5C86"/>
          <w:sz w:val="40"/>
          <w:szCs w:val="40"/>
        </w:rPr>
      </w:pPr>
      <w:bookmarkStart w:id="30" w:name="_Toc493746604"/>
      <w:bookmarkStart w:id="31" w:name="_Toc493768820"/>
      <w:bookmarkStart w:id="32" w:name="_Toc493859892"/>
      <w:bookmarkStart w:id="33" w:name="_Toc495491793"/>
      <w:bookmarkStart w:id="34" w:name="_Toc495497573"/>
      <w:bookmarkStart w:id="35" w:name="_Toc495671421"/>
      <w:bookmarkStart w:id="36" w:name="_Toc495676019"/>
      <w:bookmarkStart w:id="37" w:name="_Toc495678314"/>
      <w:bookmarkStart w:id="38" w:name="_Toc495998312"/>
      <w:r>
        <w:br w:type="page"/>
      </w:r>
    </w:p>
    <w:p w14:paraId="52C5B751" w14:textId="77777777" w:rsidR="00B173D0" w:rsidRDefault="00B173D0" w:rsidP="00B173D0">
      <w:pPr>
        <w:pStyle w:val="Heading1"/>
      </w:pPr>
      <w:bookmarkStart w:id="39" w:name="_Toc497741784"/>
      <w:r>
        <w:lastRenderedPageBreak/>
        <w:t>Having your say</w:t>
      </w:r>
      <w:bookmarkEnd w:id="30"/>
      <w:bookmarkEnd w:id="31"/>
      <w:bookmarkEnd w:id="32"/>
      <w:bookmarkEnd w:id="33"/>
      <w:bookmarkEnd w:id="34"/>
      <w:bookmarkEnd w:id="35"/>
      <w:bookmarkEnd w:id="36"/>
      <w:bookmarkEnd w:id="37"/>
      <w:bookmarkEnd w:id="38"/>
      <w:bookmarkEnd w:id="39"/>
    </w:p>
    <w:p w14:paraId="06168D53" w14:textId="77777777" w:rsidR="00B173D0" w:rsidRDefault="00B173D0" w:rsidP="00B173D0">
      <w:pPr>
        <w:pStyle w:val="Caption"/>
      </w:pPr>
      <w:r>
        <w:t>Submissions</w:t>
      </w:r>
    </w:p>
    <w:p w14:paraId="2A385609" w14:textId="717EBAAB" w:rsidR="00B173D0" w:rsidRDefault="00B173D0" w:rsidP="00B173D0">
      <w:pPr>
        <w:pStyle w:val="BodyText-nospacebelow"/>
      </w:pPr>
      <w:r w:rsidRPr="00B173D0">
        <w:t xml:space="preserve">The </w:t>
      </w:r>
      <w:r w:rsidR="00AD2D79">
        <w:t>State</w:t>
      </w:r>
      <w:r w:rsidRPr="00B173D0">
        <w:t xml:space="preserve"> Government invites submissions on the consultation.  Submissions can be sent via:</w:t>
      </w:r>
    </w:p>
    <w:p w14:paraId="4E49698A" w14:textId="77777777" w:rsidR="00A30B2E" w:rsidRDefault="00A30B2E" w:rsidP="00B173D0">
      <w:pPr>
        <w:pStyle w:val="BodyText-nospacebelow"/>
      </w:pPr>
    </w:p>
    <w:p w14:paraId="7162BDE7" w14:textId="77777777" w:rsidR="00A30B2E" w:rsidRDefault="00A30B2E" w:rsidP="00B173D0">
      <w:pPr>
        <w:pStyle w:val="BodyText-nospacebelow"/>
      </w:pPr>
      <w:r>
        <w:t>completing the online submission form:</w:t>
      </w:r>
    </w:p>
    <w:p w14:paraId="741C40E6" w14:textId="77777777" w:rsidR="00A30B2E" w:rsidRDefault="00971C75" w:rsidP="00B173D0">
      <w:pPr>
        <w:pStyle w:val="BodyText-nospacebelow"/>
      </w:pPr>
      <w:hyperlink r:id="rId13" w:history="1">
        <w:r w:rsidR="00A30B2E" w:rsidRPr="00151DBC">
          <w:rPr>
            <w:rStyle w:val="Hyperlink"/>
          </w:rPr>
          <w:t>www.dlgsc.wa.gov.au/lgareview</w:t>
        </w:r>
      </w:hyperlink>
      <w:r w:rsidR="00A30B2E">
        <w:t xml:space="preserve"> </w:t>
      </w:r>
    </w:p>
    <w:p w14:paraId="7AF2ACAA" w14:textId="77777777" w:rsidR="00B173D0" w:rsidRPr="00B173D0" w:rsidRDefault="00B173D0" w:rsidP="00B173D0">
      <w:pPr>
        <w:pStyle w:val="BodyText-nospacebelow"/>
      </w:pPr>
    </w:p>
    <w:p w14:paraId="4AD6F25D" w14:textId="77777777" w:rsidR="00B173D0" w:rsidRPr="00B173D0" w:rsidRDefault="00B173D0" w:rsidP="00B173D0">
      <w:pPr>
        <w:pStyle w:val="BodyText-nospacebelow"/>
      </w:pPr>
      <w:r w:rsidRPr="00B173D0">
        <w:t xml:space="preserve">email: </w:t>
      </w:r>
    </w:p>
    <w:p w14:paraId="331CB653" w14:textId="77777777" w:rsidR="00B173D0" w:rsidRPr="00B173D0" w:rsidRDefault="00971C75" w:rsidP="00B173D0">
      <w:pPr>
        <w:pStyle w:val="BodyText-nospacebelow"/>
      </w:pPr>
      <w:hyperlink r:id="rId14" w:history="1">
        <w:r w:rsidR="00B173D0" w:rsidRPr="00B173D0">
          <w:rPr>
            <w:rStyle w:val="Hyperlink"/>
          </w:rPr>
          <w:t>legislation@dlgsc.wa.gov.au</w:t>
        </w:r>
      </w:hyperlink>
      <w:r w:rsidR="00B173D0" w:rsidRPr="00B173D0">
        <w:t xml:space="preserve"> </w:t>
      </w:r>
    </w:p>
    <w:p w14:paraId="6F8B4E23" w14:textId="77777777" w:rsidR="00B173D0" w:rsidRDefault="00B173D0" w:rsidP="00B173D0">
      <w:pPr>
        <w:pStyle w:val="BodyText-nospacebelow"/>
      </w:pPr>
    </w:p>
    <w:p w14:paraId="4E419990" w14:textId="77777777" w:rsidR="00B173D0" w:rsidRPr="00B173D0" w:rsidRDefault="00B173D0" w:rsidP="00B173D0">
      <w:pPr>
        <w:pStyle w:val="BodyText-nospacebelow"/>
      </w:pPr>
      <w:r w:rsidRPr="00B173D0">
        <w:t>post:</w:t>
      </w:r>
    </w:p>
    <w:p w14:paraId="45AD051A" w14:textId="77777777" w:rsidR="00B173D0" w:rsidRDefault="00B173D0" w:rsidP="00B173D0">
      <w:pPr>
        <w:pStyle w:val="BodyText-nospacebelow"/>
      </w:pPr>
      <w:r>
        <w:t>LGA Review</w:t>
      </w:r>
    </w:p>
    <w:p w14:paraId="19A97D7B" w14:textId="77777777" w:rsidR="00B173D0" w:rsidRPr="00B173D0" w:rsidRDefault="00B173D0" w:rsidP="00B173D0">
      <w:pPr>
        <w:pStyle w:val="BodyText-nospacebelow"/>
      </w:pPr>
      <w:r w:rsidRPr="00B173D0">
        <w:t>Department of Local Government, Sport and Cultural Industries</w:t>
      </w:r>
    </w:p>
    <w:p w14:paraId="163F92A8" w14:textId="77777777" w:rsidR="00B173D0" w:rsidRPr="00B173D0" w:rsidRDefault="00B173D0" w:rsidP="00B173D0">
      <w:pPr>
        <w:pStyle w:val="BodyText-nospacebelow"/>
      </w:pPr>
      <w:r w:rsidRPr="00B173D0">
        <w:t xml:space="preserve">PO Box 8349  </w:t>
      </w:r>
    </w:p>
    <w:p w14:paraId="1FE9E8A3" w14:textId="77777777" w:rsidR="00B173D0" w:rsidRPr="00B173D0" w:rsidRDefault="00B173D0" w:rsidP="00B173D0">
      <w:pPr>
        <w:pStyle w:val="BodyText-nospacebelow"/>
      </w:pPr>
      <w:r w:rsidRPr="00B173D0">
        <w:t>Perth Business Centre</w:t>
      </w:r>
    </w:p>
    <w:p w14:paraId="6B8E7221" w14:textId="77777777" w:rsidR="00B173D0" w:rsidRPr="00B173D0" w:rsidRDefault="00B173D0" w:rsidP="00B173D0">
      <w:pPr>
        <w:pStyle w:val="BodyText-nospacebelow"/>
      </w:pPr>
      <w:r w:rsidRPr="00B173D0">
        <w:t>Western Australia</w:t>
      </w:r>
      <w:r>
        <w:t xml:space="preserve"> </w:t>
      </w:r>
      <w:r w:rsidRPr="00B173D0">
        <w:t>6849</w:t>
      </w:r>
    </w:p>
    <w:p w14:paraId="52BD4FAD" w14:textId="77777777" w:rsidR="00B173D0" w:rsidRPr="00B173D0" w:rsidRDefault="00B173D0" w:rsidP="00B173D0">
      <w:pPr>
        <w:pStyle w:val="BodyText-nospacebelow"/>
      </w:pPr>
    </w:p>
    <w:p w14:paraId="43A68B12" w14:textId="77777777" w:rsidR="00B173D0" w:rsidRDefault="00B173D0" w:rsidP="00AC131F">
      <w:pPr>
        <w:pStyle w:val="BodyText-nospacebelow"/>
        <w:jc w:val="both"/>
      </w:pPr>
      <w:r w:rsidRPr="00B173D0">
        <w:t>Your submission will be made public and published in full on the Department</w:t>
      </w:r>
      <w:r w:rsidR="00F802F0">
        <w:t xml:space="preserve">‘s </w:t>
      </w:r>
      <w:r w:rsidRPr="00B173D0">
        <w:t>website unless you ask for it to be confidential.  Submissions that contain defamatory or offensive material will not be published.</w:t>
      </w:r>
    </w:p>
    <w:p w14:paraId="6732089B" w14:textId="77777777" w:rsidR="0082112C" w:rsidRPr="00B173D0" w:rsidRDefault="0082112C" w:rsidP="00AC131F">
      <w:pPr>
        <w:pStyle w:val="BodyText-nospacebelow"/>
        <w:jc w:val="both"/>
      </w:pPr>
    </w:p>
    <w:p w14:paraId="0580FEB3" w14:textId="008868CE" w:rsidR="00B173D0" w:rsidRPr="00B173D0" w:rsidRDefault="00B173D0" w:rsidP="00AC131F">
      <w:pPr>
        <w:pStyle w:val="BodyText-nospacebelow"/>
        <w:jc w:val="both"/>
      </w:pPr>
      <w:r w:rsidRPr="00B173D0">
        <w:t xml:space="preserve">Submissions close </w:t>
      </w:r>
      <w:r w:rsidRPr="00E30BC7">
        <w:t xml:space="preserve">on </w:t>
      </w:r>
      <w:r w:rsidR="00D71C93">
        <w:t xml:space="preserve">Friday </w:t>
      </w:r>
      <w:r w:rsidR="00E30BC7" w:rsidRPr="00E30BC7">
        <w:t>9</w:t>
      </w:r>
      <w:r w:rsidR="006C58E0" w:rsidRPr="00E30BC7">
        <w:t xml:space="preserve"> </w:t>
      </w:r>
      <w:r w:rsidR="00971C75">
        <w:t>March</w:t>
      </w:r>
      <w:bookmarkStart w:id="40" w:name="_GoBack"/>
      <w:bookmarkEnd w:id="40"/>
      <w:r w:rsidR="006C58E0" w:rsidRPr="00E30BC7">
        <w:t xml:space="preserve"> 2018</w:t>
      </w:r>
      <w:r w:rsidR="006C58E0">
        <w:t>.</w:t>
      </w:r>
    </w:p>
    <w:p w14:paraId="40B7CB14" w14:textId="77777777" w:rsidR="0082112C" w:rsidRDefault="0082112C" w:rsidP="00AC131F">
      <w:pPr>
        <w:pStyle w:val="BodyText-nospacebelow"/>
        <w:jc w:val="both"/>
      </w:pPr>
    </w:p>
    <w:p w14:paraId="65F6A4FE" w14:textId="056A80E7" w:rsidR="0082112C" w:rsidRDefault="0082112C" w:rsidP="00AC131F">
      <w:pPr>
        <w:pStyle w:val="Caption"/>
        <w:jc w:val="both"/>
      </w:pPr>
      <w:r>
        <w:t xml:space="preserve">Community </w:t>
      </w:r>
      <w:r w:rsidR="005F0F1B">
        <w:t>workshops</w:t>
      </w:r>
    </w:p>
    <w:p w14:paraId="42247F3D" w14:textId="486C245F" w:rsidR="0082112C" w:rsidRDefault="0082112C" w:rsidP="00AC131F">
      <w:pPr>
        <w:pStyle w:val="BodyText-nospacebelow"/>
        <w:jc w:val="both"/>
      </w:pPr>
      <w:r w:rsidRPr="0082112C">
        <w:t xml:space="preserve">The Department will be conducting community </w:t>
      </w:r>
      <w:r w:rsidR="005F0F1B">
        <w:t>workshops</w:t>
      </w:r>
      <w:r w:rsidR="005F0F1B" w:rsidRPr="0082112C">
        <w:t xml:space="preserve"> </w:t>
      </w:r>
      <w:r w:rsidRPr="0082112C">
        <w:t>across Western Australia to promote the paper and seek your views.</w:t>
      </w:r>
    </w:p>
    <w:p w14:paraId="0D320E45" w14:textId="77777777" w:rsidR="0082112C" w:rsidRPr="0082112C" w:rsidRDefault="0082112C" w:rsidP="00AC131F">
      <w:pPr>
        <w:pStyle w:val="BodyText-nospacebelow"/>
        <w:jc w:val="both"/>
      </w:pPr>
    </w:p>
    <w:p w14:paraId="545A2F01" w14:textId="516D8F6E" w:rsidR="0082112C" w:rsidRDefault="0082112C" w:rsidP="00AC131F">
      <w:pPr>
        <w:pStyle w:val="BodyText-nospacebelow"/>
        <w:jc w:val="both"/>
      </w:pPr>
      <w:r w:rsidRPr="0082112C">
        <w:t xml:space="preserve">Attend one of our </w:t>
      </w:r>
      <w:r w:rsidR="005F0F1B">
        <w:t>workshops</w:t>
      </w:r>
      <w:r w:rsidR="005F0F1B" w:rsidRPr="0082112C">
        <w:t xml:space="preserve"> </w:t>
      </w:r>
      <w:r w:rsidRPr="0082112C">
        <w:t xml:space="preserve">in your region and tell us how you think </w:t>
      </w:r>
      <w:r w:rsidR="007A0BE6">
        <w:t xml:space="preserve">the </w:t>
      </w:r>
      <w:r w:rsidRPr="0082112C">
        <w:t xml:space="preserve">local government </w:t>
      </w:r>
      <w:r w:rsidR="007A0BE6">
        <w:t xml:space="preserve">legislation </w:t>
      </w:r>
      <w:r w:rsidRPr="0082112C">
        <w:t xml:space="preserve">can be </w:t>
      </w:r>
      <w:r w:rsidR="007A0BE6">
        <w:t>improved</w:t>
      </w:r>
      <w:r w:rsidRPr="0082112C">
        <w:t>.</w:t>
      </w:r>
    </w:p>
    <w:p w14:paraId="22CA0D36" w14:textId="77777777" w:rsidR="0082112C" w:rsidRPr="0082112C" w:rsidRDefault="0082112C" w:rsidP="0082112C">
      <w:pPr>
        <w:pStyle w:val="BodyText-nospacebelow"/>
      </w:pPr>
    </w:p>
    <w:p w14:paraId="3C698DE9" w14:textId="694CDA04" w:rsidR="0082112C" w:rsidRPr="0082112C" w:rsidRDefault="0082112C" w:rsidP="0082112C">
      <w:pPr>
        <w:pStyle w:val="BodyText-nospacebelow"/>
      </w:pPr>
      <w:r w:rsidRPr="0082112C">
        <w:t xml:space="preserve">Details of the </w:t>
      </w:r>
      <w:r w:rsidR="005F0F1B">
        <w:t>workshops</w:t>
      </w:r>
      <w:r w:rsidR="005F0F1B" w:rsidRPr="0082112C">
        <w:t xml:space="preserve"> </w:t>
      </w:r>
      <w:r w:rsidRPr="0082112C">
        <w:t>are</w:t>
      </w:r>
      <w:r w:rsidRPr="0082112C" w:rsidDel="00A864AD">
        <w:t xml:space="preserve"> </w:t>
      </w:r>
      <w:r w:rsidRPr="0082112C">
        <w:t xml:space="preserve">on the </w:t>
      </w:r>
      <w:r w:rsidR="007817C6">
        <w:t>Department</w:t>
      </w:r>
      <w:r w:rsidRPr="0082112C">
        <w:t xml:space="preserve">’s website </w:t>
      </w:r>
      <w:r>
        <w:t xml:space="preserve">at </w:t>
      </w:r>
      <w:hyperlink r:id="rId15" w:history="1">
        <w:r w:rsidRPr="00142EE5">
          <w:rPr>
            <w:rStyle w:val="Hyperlink"/>
          </w:rPr>
          <w:t>www.dlgc.wa.gov.au/</w:t>
        </w:r>
        <w:r w:rsidR="002E5759">
          <w:rPr>
            <w:rStyle w:val="Hyperlink"/>
          </w:rPr>
          <w:t>LGAR</w:t>
        </w:r>
        <w:r w:rsidRPr="00142EE5">
          <w:rPr>
            <w:rStyle w:val="Hyperlink"/>
          </w:rPr>
          <w:t>eview</w:t>
        </w:r>
      </w:hyperlink>
      <w:r>
        <w:tab/>
      </w:r>
    </w:p>
    <w:p w14:paraId="6BF1B957" w14:textId="77777777" w:rsidR="00677010" w:rsidRDefault="00677010">
      <w:pPr>
        <w:rPr>
          <w:rFonts w:eastAsiaTheme="majorEastAsia" w:cs="Arial"/>
          <w:bCs/>
          <w:color w:val="2C5C86"/>
          <w:sz w:val="40"/>
          <w:szCs w:val="40"/>
        </w:rPr>
      </w:pPr>
      <w:bookmarkStart w:id="41" w:name="_Toc493746605"/>
      <w:bookmarkStart w:id="42" w:name="_Toc493768821"/>
      <w:bookmarkStart w:id="43" w:name="_Toc493859893"/>
      <w:bookmarkStart w:id="44" w:name="_Toc495491794"/>
      <w:bookmarkStart w:id="45" w:name="_Toc495497574"/>
      <w:r>
        <w:br w:type="page"/>
      </w:r>
    </w:p>
    <w:p w14:paraId="3875ED73" w14:textId="77777777" w:rsidR="0082112C" w:rsidRDefault="0082112C" w:rsidP="0082112C">
      <w:pPr>
        <w:pStyle w:val="Heading1"/>
      </w:pPr>
      <w:bookmarkStart w:id="46" w:name="_Toc495671422"/>
      <w:bookmarkStart w:id="47" w:name="_Toc495676020"/>
      <w:bookmarkStart w:id="48" w:name="_Toc495678315"/>
      <w:bookmarkStart w:id="49" w:name="_Toc495998313"/>
      <w:bookmarkStart w:id="50" w:name="_Toc497741785"/>
      <w:r>
        <w:lastRenderedPageBreak/>
        <w:t>About local government in Western Australia</w:t>
      </w:r>
      <w:bookmarkEnd w:id="41"/>
      <w:bookmarkEnd w:id="42"/>
      <w:bookmarkEnd w:id="43"/>
      <w:bookmarkEnd w:id="44"/>
      <w:bookmarkEnd w:id="45"/>
      <w:bookmarkEnd w:id="46"/>
      <w:bookmarkEnd w:id="47"/>
      <w:bookmarkEnd w:id="48"/>
      <w:bookmarkEnd w:id="49"/>
      <w:bookmarkEnd w:id="50"/>
    </w:p>
    <w:p w14:paraId="1F232B66" w14:textId="77777777" w:rsidR="0082112C" w:rsidRDefault="0082112C" w:rsidP="00AC131F">
      <w:pPr>
        <w:pStyle w:val="BodyText-nospacebelow"/>
        <w:jc w:val="both"/>
      </w:pPr>
      <w:r w:rsidRPr="0082112C">
        <w:t>Western Australia’s constitution establishes a system of elected local government bodies empowered through State Government legislation.</w:t>
      </w:r>
    </w:p>
    <w:p w14:paraId="23449AA2" w14:textId="77777777" w:rsidR="0082112C" w:rsidRPr="0082112C" w:rsidRDefault="0082112C" w:rsidP="00AC131F">
      <w:pPr>
        <w:pStyle w:val="BodyText-nospacebelow"/>
        <w:jc w:val="both"/>
      </w:pPr>
    </w:p>
    <w:p w14:paraId="19ED03A2" w14:textId="4F678B06" w:rsidR="0082112C" w:rsidRDefault="0082112C" w:rsidP="00AC131F">
      <w:pPr>
        <w:pStyle w:val="BodyText-nospacebelow"/>
        <w:jc w:val="both"/>
      </w:pPr>
      <w:r w:rsidRPr="0082112C">
        <w:t xml:space="preserve">Much of Western Australia’s system of local government can be traced back to road </w:t>
      </w:r>
      <w:r w:rsidR="00CB13AD">
        <w:t>boards</w:t>
      </w:r>
      <w:r w:rsidR="00CB13AD" w:rsidRPr="0082112C">
        <w:t xml:space="preserve"> </w:t>
      </w:r>
      <w:r w:rsidRPr="0082112C">
        <w:t>created in the 19</w:t>
      </w:r>
      <w:r w:rsidRPr="0082112C">
        <w:rPr>
          <w:vertAlign w:val="superscript"/>
        </w:rPr>
        <w:t>th</w:t>
      </w:r>
      <w:r w:rsidR="00F802F0">
        <w:rPr>
          <w:vertAlign w:val="superscript"/>
        </w:rPr>
        <w:t xml:space="preserve"> </w:t>
      </w:r>
      <w:r w:rsidRPr="0082112C">
        <w:t xml:space="preserve">century.  Over the </w:t>
      </w:r>
      <w:r w:rsidR="00CB13AD">
        <w:t>past</w:t>
      </w:r>
      <w:r w:rsidR="00CB13AD" w:rsidRPr="0082112C">
        <w:t xml:space="preserve"> </w:t>
      </w:r>
      <w:r w:rsidRPr="0082112C">
        <w:t xml:space="preserve">120 years, there have been various pieces of legislation establishing local municipalities and their functions.  The most recent of these </w:t>
      </w:r>
      <w:r w:rsidR="00D7646B">
        <w:t>is</w:t>
      </w:r>
      <w:r w:rsidRPr="0082112C">
        <w:t xml:space="preserve"> the </w:t>
      </w:r>
      <w:r w:rsidRPr="0082112C">
        <w:rPr>
          <w:i/>
        </w:rPr>
        <w:t>Local Government Act</w:t>
      </w:r>
      <w:r w:rsidRPr="0082112C">
        <w:t xml:space="preserve"> </w:t>
      </w:r>
      <w:r w:rsidRPr="0082112C">
        <w:rPr>
          <w:i/>
        </w:rPr>
        <w:t>1995</w:t>
      </w:r>
      <w:r w:rsidRPr="0082112C">
        <w:t xml:space="preserve">. </w:t>
      </w:r>
    </w:p>
    <w:p w14:paraId="34B11BF8" w14:textId="77777777" w:rsidR="0082112C" w:rsidRPr="0082112C" w:rsidRDefault="0082112C" w:rsidP="00AC131F">
      <w:pPr>
        <w:pStyle w:val="BodyText-nospacebelow"/>
        <w:jc w:val="both"/>
      </w:pPr>
    </w:p>
    <w:p w14:paraId="098AC2D4" w14:textId="77777777" w:rsidR="0082112C" w:rsidRDefault="0082112C" w:rsidP="00AC131F">
      <w:pPr>
        <w:pStyle w:val="BodyText-nospacebelow"/>
        <w:jc w:val="both"/>
      </w:pPr>
      <w:r w:rsidRPr="0082112C">
        <w:t xml:space="preserve">Reflecting Western Australia’s unique history and geography, the State has the nation’s most diverse local government </w:t>
      </w:r>
      <w:r w:rsidR="00D7646B">
        <w:t>sector</w:t>
      </w:r>
      <w:r w:rsidRPr="0082112C">
        <w:t>. The State’s 137 local governments and the two Indian Ocean Territories feature the largest and smallest in the country by size, the nation’s thirteenth most populous local government and the nation’s least populous.</w:t>
      </w:r>
    </w:p>
    <w:p w14:paraId="2B60E84D" w14:textId="77777777" w:rsidR="0082112C" w:rsidRPr="0082112C" w:rsidRDefault="0082112C" w:rsidP="00AC131F">
      <w:pPr>
        <w:pStyle w:val="BodyText-nospacebelow"/>
        <w:jc w:val="both"/>
      </w:pPr>
    </w:p>
    <w:p w14:paraId="3FBCAF09" w14:textId="580F1275" w:rsidR="0082112C" w:rsidRDefault="0082112C" w:rsidP="00AC131F">
      <w:pPr>
        <w:pStyle w:val="BodyText-nospacebelow"/>
        <w:jc w:val="both"/>
      </w:pPr>
      <w:r w:rsidRPr="0082112C">
        <w:t>Over 90 per cent of the State’s population live in the State’s largest 40 local governments, with the remaining 10 per cent living in the State’s other 97 local governments. The combined population of the State’s 34 least populated local governments is less than 1 per cent of the State’s total population.</w:t>
      </w:r>
    </w:p>
    <w:p w14:paraId="4493B6AC" w14:textId="77777777" w:rsidR="0082112C" w:rsidRPr="0082112C" w:rsidRDefault="0082112C" w:rsidP="00AC131F">
      <w:pPr>
        <w:pStyle w:val="BodyText-nospacebelow"/>
        <w:jc w:val="both"/>
      </w:pPr>
    </w:p>
    <w:p w14:paraId="1425A523" w14:textId="77777777" w:rsidR="008953B5" w:rsidRDefault="0082112C" w:rsidP="00AC131F">
      <w:pPr>
        <w:pStyle w:val="BodyText-nospacebelow"/>
        <w:jc w:val="both"/>
      </w:pPr>
      <w:r w:rsidRPr="0082112C">
        <w:t>All local governments regardless of their size or population are framed by the Act</w:t>
      </w:r>
      <w:r w:rsidR="008953B5">
        <w:t xml:space="preserve"> which in line with the power of general competence provides significant autonomy to local governments.</w:t>
      </w:r>
    </w:p>
    <w:p w14:paraId="71D3CC7B" w14:textId="2F15C7B2" w:rsidR="0082112C" w:rsidRPr="0082112C" w:rsidRDefault="0082112C" w:rsidP="00AC131F">
      <w:pPr>
        <w:pStyle w:val="BodyText-nospacebelow"/>
        <w:jc w:val="both"/>
      </w:pPr>
    </w:p>
    <w:p w14:paraId="65588F61" w14:textId="77777777" w:rsidR="0082112C" w:rsidRDefault="0082112C" w:rsidP="00AC131F">
      <w:pPr>
        <w:pStyle w:val="BodyText-nospacebelow"/>
        <w:jc w:val="both"/>
      </w:pPr>
      <w:r w:rsidRPr="0082112C">
        <w:t xml:space="preserve">Councils appoint a Chief Executive Officer (CEO) to manage the day to day operations of the local government. The CEO is responsible for </w:t>
      </w:r>
      <w:r w:rsidR="00D7646B">
        <w:t>hiring</w:t>
      </w:r>
      <w:r w:rsidR="00D7646B" w:rsidRPr="0082112C">
        <w:t xml:space="preserve"> </w:t>
      </w:r>
      <w:r w:rsidRPr="0082112C">
        <w:t>all other local government staff.</w:t>
      </w:r>
    </w:p>
    <w:p w14:paraId="11817075" w14:textId="77777777" w:rsidR="0082112C" w:rsidRPr="0082112C" w:rsidRDefault="0082112C" w:rsidP="00AC131F">
      <w:pPr>
        <w:pStyle w:val="BodyText-nospacebelow"/>
        <w:jc w:val="both"/>
      </w:pPr>
    </w:p>
    <w:p w14:paraId="2DC3E16B" w14:textId="77777777" w:rsidR="0082112C" w:rsidRDefault="00D7646B" w:rsidP="00AC131F">
      <w:pPr>
        <w:pStyle w:val="BodyText-nospacebelow"/>
        <w:jc w:val="both"/>
      </w:pPr>
      <w:r>
        <w:t>T</w:t>
      </w:r>
      <w:r w:rsidR="0082112C" w:rsidRPr="0082112C">
        <w:t>he council is the primary decision</w:t>
      </w:r>
      <w:r w:rsidR="0082112C" w:rsidRPr="0082112C">
        <w:noBreakHyphen/>
        <w:t>maker in the local government</w:t>
      </w:r>
      <w:r>
        <w:t>, although they can delegate some powers to an officer</w:t>
      </w:r>
      <w:r w:rsidR="0082112C" w:rsidRPr="0082112C">
        <w:t xml:space="preserve">.  The CEO is responsible for implementing council’s decisions. </w:t>
      </w:r>
    </w:p>
    <w:p w14:paraId="4EAB8017" w14:textId="77777777" w:rsidR="0082112C" w:rsidRPr="0082112C" w:rsidRDefault="0082112C" w:rsidP="00AC131F">
      <w:pPr>
        <w:pStyle w:val="BodyText-nospacebelow"/>
        <w:jc w:val="both"/>
      </w:pPr>
    </w:p>
    <w:p w14:paraId="245DD15E" w14:textId="77777777" w:rsidR="0082112C" w:rsidRDefault="0082112C" w:rsidP="00AC131F">
      <w:pPr>
        <w:pStyle w:val="BodyText-nospacebelow"/>
        <w:jc w:val="both"/>
      </w:pPr>
      <w:r w:rsidRPr="0082112C">
        <w:t xml:space="preserve">While the term is not used within the Act, local governments in Western Australia operate under the principle of </w:t>
      </w:r>
      <w:r w:rsidR="00D7646B">
        <w:t>‘</w:t>
      </w:r>
      <w:r w:rsidRPr="0082112C">
        <w:t>general competence</w:t>
      </w:r>
      <w:r w:rsidR="00D7646B">
        <w:t>’</w:t>
      </w:r>
      <w:r w:rsidRPr="0082112C">
        <w:t xml:space="preserve">.  This means that local governments are autonomous bodies established to provide for the good government of persons in </w:t>
      </w:r>
      <w:r w:rsidR="00D7646B">
        <w:t>their</w:t>
      </w:r>
      <w:r w:rsidR="00D7646B" w:rsidRPr="0082112C">
        <w:t xml:space="preserve"> </w:t>
      </w:r>
      <w:r w:rsidRPr="0082112C">
        <w:t>district.</w:t>
      </w:r>
    </w:p>
    <w:p w14:paraId="3E35C2EA" w14:textId="77777777" w:rsidR="0082112C" w:rsidRPr="0082112C" w:rsidRDefault="0082112C" w:rsidP="00AC131F">
      <w:pPr>
        <w:pStyle w:val="BodyText-nospacebelow"/>
        <w:jc w:val="both"/>
      </w:pPr>
    </w:p>
    <w:p w14:paraId="2F835497" w14:textId="07B9ACB6" w:rsidR="0082112C" w:rsidRDefault="0082112C" w:rsidP="00AC131F">
      <w:pPr>
        <w:pStyle w:val="BodyText-nospacebelow"/>
        <w:jc w:val="both"/>
      </w:pPr>
      <w:r w:rsidRPr="0082112C">
        <w:t xml:space="preserve">The degree of autonomy is an ongoing </w:t>
      </w:r>
      <w:r w:rsidR="00E83E30">
        <w:t>challenge</w:t>
      </w:r>
      <w:r w:rsidRPr="0082112C">
        <w:t xml:space="preserve">.  On one hand, </w:t>
      </w:r>
      <w:r w:rsidR="00D7646B">
        <w:t xml:space="preserve">many </w:t>
      </w:r>
      <w:r w:rsidRPr="0082112C">
        <w:t xml:space="preserve">local governments believe that they </w:t>
      </w:r>
      <w:r w:rsidR="00D7646B">
        <w:t>do not have enough</w:t>
      </w:r>
      <w:r w:rsidRPr="0082112C">
        <w:t xml:space="preserve"> autonomy.  On the other hand, </w:t>
      </w:r>
      <w:r w:rsidR="00D7646B">
        <w:t xml:space="preserve">some </w:t>
      </w:r>
      <w:r w:rsidRPr="0082112C">
        <w:t xml:space="preserve">industry groups and members </w:t>
      </w:r>
      <w:r w:rsidRPr="0082112C">
        <w:lastRenderedPageBreak/>
        <w:t xml:space="preserve">of the community </w:t>
      </w:r>
      <w:r w:rsidR="00D7646B">
        <w:t>are concerned</w:t>
      </w:r>
      <w:r w:rsidRPr="0082112C">
        <w:t xml:space="preserve"> that local government decision making is inconsistent</w:t>
      </w:r>
      <w:r w:rsidR="00D7646B">
        <w:t>,</w:t>
      </w:r>
      <w:r w:rsidRPr="0082112C">
        <w:t xml:space="preserve"> and that greater oversight and accountability is required.  This tension between autonomy and oversight is a constant and </w:t>
      </w:r>
      <w:r w:rsidR="00D7646B">
        <w:t xml:space="preserve">is </w:t>
      </w:r>
      <w:r w:rsidRPr="0082112C">
        <w:t>not unique to Western Australia.</w:t>
      </w:r>
    </w:p>
    <w:p w14:paraId="5C50E691" w14:textId="77777777" w:rsidR="0082112C" w:rsidRPr="0082112C" w:rsidRDefault="0082112C" w:rsidP="00AC131F">
      <w:pPr>
        <w:pStyle w:val="BodyText-nospacebelow"/>
        <w:jc w:val="both"/>
      </w:pPr>
    </w:p>
    <w:p w14:paraId="26AA2DFB" w14:textId="77777777" w:rsidR="0082112C" w:rsidRDefault="0082112C" w:rsidP="00AC131F">
      <w:pPr>
        <w:pStyle w:val="BodyText-nospacebelow"/>
        <w:jc w:val="both"/>
      </w:pPr>
      <w:r w:rsidRPr="0082112C">
        <w:t xml:space="preserve">At the time of its introduction, the </w:t>
      </w:r>
      <w:r w:rsidR="00D7646B">
        <w:t>current</w:t>
      </w:r>
      <w:r w:rsidR="00D7646B" w:rsidRPr="0082112C">
        <w:t xml:space="preserve"> </w:t>
      </w:r>
      <w:r w:rsidRPr="0082112C">
        <w:t>Act was intended to replace prescriptive legislation with a broad outcomes</w:t>
      </w:r>
      <w:r w:rsidR="00D7646B">
        <w:t>-</w:t>
      </w:r>
      <w:r w:rsidRPr="0082112C">
        <w:t xml:space="preserve">based framework. The Act reduced the number of areas where the Minister’s approval was required </w:t>
      </w:r>
      <w:r w:rsidR="00D7646B">
        <w:t xml:space="preserve">down to 30, </w:t>
      </w:r>
      <w:r w:rsidRPr="0082112C">
        <w:t xml:space="preserve">from approximately 150 </w:t>
      </w:r>
      <w:r w:rsidR="00D7646B">
        <w:t>in the previous Act</w:t>
      </w:r>
      <w:r w:rsidRPr="0082112C">
        <w:t xml:space="preserve">. </w:t>
      </w:r>
    </w:p>
    <w:p w14:paraId="69B2BFD6" w14:textId="77777777" w:rsidR="0082112C" w:rsidRPr="0082112C" w:rsidRDefault="0082112C" w:rsidP="00AC131F">
      <w:pPr>
        <w:pStyle w:val="BodyText-nospacebelow"/>
        <w:jc w:val="both"/>
      </w:pPr>
    </w:p>
    <w:p w14:paraId="097663CA" w14:textId="77777777" w:rsidR="0082112C" w:rsidRDefault="00D7646B" w:rsidP="00AC131F">
      <w:pPr>
        <w:pStyle w:val="BodyText-nospacebelow"/>
        <w:jc w:val="both"/>
      </w:pPr>
      <w:r>
        <w:t>The Act</w:t>
      </w:r>
      <w:r w:rsidRPr="00D7646B">
        <w:t xml:space="preserve"> </w:t>
      </w:r>
      <w:r w:rsidRPr="0082112C">
        <w:t xml:space="preserve">is still </w:t>
      </w:r>
      <w:r w:rsidR="00CB13AD">
        <w:t xml:space="preserve">considered </w:t>
      </w:r>
      <w:r w:rsidRPr="0082112C">
        <w:t>quite prescriptive</w:t>
      </w:r>
      <w:r>
        <w:t>,</w:t>
      </w:r>
      <w:r w:rsidRPr="0082112C">
        <w:t xml:space="preserve"> in the sense that it establishes rules for particular matters</w:t>
      </w:r>
      <w:r>
        <w:t>,</w:t>
      </w:r>
      <w:r w:rsidRPr="0082112C">
        <w:t xml:space="preserve"> especially as they relate to accountability</w:t>
      </w:r>
      <w:r>
        <w:t>,</w:t>
      </w:r>
      <w:r w:rsidRPr="0082112C">
        <w:t xml:space="preserve"> </w:t>
      </w:r>
      <w:r>
        <w:t>while giving</w:t>
      </w:r>
      <w:r w:rsidRPr="0082112C">
        <w:t xml:space="preserve"> local government</w:t>
      </w:r>
      <w:r>
        <w:t>s</w:t>
      </w:r>
      <w:r w:rsidRPr="0082112C">
        <w:t xml:space="preserve"> autonomy on other matters</w:t>
      </w:r>
      <w:r>
        <w:t>.</w:t>
      </w:r>
      <w:r w:rsidRPr="0082112C">
        <w:t xml:space="preserve"> </w:t>
      </w:r>
    </w:p>
    <w:p w14:paraId="1DDEF734" w14:textId="77777777" w:rsidR="0082112C" w:rsidRPr="0082112C" w:rsidRDefault="0082112C" w:rsidP="00AC131F">
      <w:pPr>
        <w:pStyle w:val="BodyText-nospacebelow"/>
        <w:jc w:val="both"/>
      </w:pPr>
    </w:p>
    <w:p w14:paraId="0DBE4FEC" w14:textId="121F9024" w:rsidR="0082112C" w:rsidRDefault="0082112C" w:rsidP="00AC131F">
      <w:pPr>
        <w:pStyle w:val="BodyText-nospacebelow"/>
        <w:jc w:val="both"/>
      </w:pPr>
      <w:r w:rsidRPr="0082112C">
        <w:t xml:space="preserve">Given the diversity in their size, location and population, it is not surprising that local governments in Western Australia provide </w:t>
      </w:r>
      <w:r w:rsidR="00D7646B">
        <w:t>a variety of</w:t>
      </w:r>
      <w:r w:rsidR="00D7646B" w:rsidRPr="0082112C">
        <w:t xml:space="preserve"> </w:t>
      </w:r>
      <w:r w:rsidRPr="0082112C">
        <w:t>services</w:t>
      </w:r>
      <w:r w:rsidR="00D7646B">
        <w:t>,</w:t>
      </w:r>
      <w:r w:rsidRPr="0082112C">
        <w:t xml:space="preserve"> and to varying standards. All local governments in Western Australia provide core services including waste, roads, parks, playgrounds and gardens, as well as</w:t>
      </w:r>
      <w:r w:rsidR="00B40851">
        <w:t xml:space="preserve"> hav</w:t>
      </w:r>
      <w:r w:rsidR="00CB13AD">
        <w:t xml:space="preserve">ing </w:t>
      </w:r>
      <w:r w:rsidRPr="0082112C">
        <w:t xml:space="preserve">statutory responsibilities in planning, development approvals, public health and various licencing requirements. </w:t>
      </w:r>
    </w:p>
    <w:p w14:paraId="590CD5E4" w14:textId="77777777" w:rsidR="0082112C" w:rsidRPr="0082112C" w:rsidRDefault="0082112C" w:rsidP="00AC131F">
      <w:pPr>
        <w:pStyle w:val="BodyText-nospacebelow"/>
        <w:jc w:val="both"/>
      </w:pPr>
    </w:p>
    <w:p w14:paraId="5C767EC4" w14:textId="4741024E" w:rsidR="0082112C" w:rsidRDefault="00D7646B" w:rsidP="00AC131F">
      <w:pPr>
        <w:pStyle w:val="BodyText-nospacebelow"/>
        <w:jc w:val="both"/>
      </w:pPr>
      <w:r>
        <w:t>In response to</w:t>
      </w:r>
      <w:r w:rsidR="0082112C" w:rsidRPr="0082112C">
        <w:t xml:space="preserve"> community expectations, some local governments also provide other services such as community centres, libraries, swimming pools, gyms, child care, seniors and youth programs, environmental and land</w:t>
      </w:r>
      <w:r w:rsidR="00F802F0">
        <w:t xml:space="preserve"> </w:t>
      </w:r>
      <w:r w:rsidR="0082112C" w:rsidRPr="0082112C">
        <w:t xml:space="preserve">care programs, health programs, local infrastructure </w:t>
      </w:r>
      <w:r w:rsidR="00CB13AD">
        <w:t>including</w:t>
      </w:r>
      <w:r w:rsidR="00CB13AD" w:rsidRPr="0082112C">
        <w:t xml:space="preserve"> </w:t>
      </w:r>
      <w:r w:rsidR="0082112C" w:rsidRPr="0082112C">
        <w:t>marinas and airports</w:t>
      </w:r>
      <w:r w:rsidR="00F802F0">
        <w:t>,</w:t>
      </w:r>
      <w:r w:rsidR="0082112C" w:rsidRPr="0082112C">
        <w:t xml:space="preserve"> as well as programs to support tourism, local events and businesses.</w:t>
      </w:r>
    </w:p>
    <w:p w14:paraId="48EA1778" w14:textId="77777777" w:rsidR="0082112C" w:rsidRPr="0082112C" w:rsidRDefault="0082112C" w:rsidP="00AC131F">
      <w:pPr>
        <w:pStyle w:val="BodyText-nospacebelow"/>
        <w:jc w:val="both"/>
      </w:pPr>
    </w:p>
    <w:p w14:paraId="57933082" w14:textId="7A412912" w:rsidR="0082112C" w:rsidRDefault="00D7646B" w:rsidP="00AC131F">
      <w:pPr>
        <w:pStyle w:val="BodyText-nospacebelow"/>
        <w:jc w:val="both"/>
      </w:pPr>
      <w:r>
        <w:t>In general</w:t>
      </w:r>
      <w:r w:rsidR="0082112C" w:rsidRPr="0082112C">
        <w:t xml:space="preserve">, the scope and range of services provided by local governments are expanding. </w:t>
      </w:r>
      <w:r w:rsidR="00B40851">
        <w:t xml:space="preserve"> </w:t>
      </w:r>
      <w:r w:rsidR="000248F3">
        <w:t xml:space="preserve">While </w:t>
      </w:r>
      <w:r w:rsidR="00B255FC">
        <w:t>s</w:t>
      </w:r>
      <w:r w:rsidR="000248F3">
        <w:t>ome may argue that this is due to cost-shifting from</w:t>
      </w:r>
      <w:r w:rsidR="0082112C" w:rsidRPr="0082112C">
        <w:t xml:space="preserve"> other tiers of government, local governments ultimately determine </w:t>
      </w:r>
      <w:r w:rsidR="000248F3">
        <w:t>the majority</w:t>
      </w:r>
      <w:r w:rsidR="000248F3" w:rsidRPr="0082112C">
        <w:t xml:space="preserve"> </w:t>
      </w:r>
      <w:r w:rsidR="0082112C" w:rsidRPr="0082112C">
        <w:t>of the services they choose to provide.</w:t>
      </w:r>
    </w:p>
    <w:p w14:paraId="44B8C3DE" w14:textId="77777777" w:rsidR="0082112C" w:rsidRPr="0082112C" w:rsidRDefault="0082112C" w:rsidP="00AC131F">
      <w:pPr>
        <w:pStyle w:val="BodyText-nospacebelow"/>
        <w:jc w:val="both"/>
      </w:pPr>
    </w:p>
    <w:p w14:paraId="7F3EF0EA" w14:textId="458AD18E" w:rsidR="0082112C" w:rsidRPr="0082112C" w:rsidRDefault="0082112C" w:rsidP="00AC131F">
      <w:pPr>
        <w:pStyle w:val="BodyText-nospacebelow"/>
        <w:jc w:val="both"/>
      </w:pPr>
      <w:r w:rsidRPr="0082112C">
        <w:t xml:space="preserve">While Western Australia’s local government structure is unique, lessons can be </w:t>
      </w:r>
      <w:r w:rsidR="00B255FC">
        <w:t>learned</w:t>
      </w:r>
      <w:r w:rsidR="00B255FC" w:rsidRPr="0082112C">
        <w:t xml:space="preserve"> </w:t>
      </w:r>
      <w:r w:rsidRPr="0082112C">
        <w:t xml:space="preserve">from </w:t>
      </w:r>
      <w:r w:rsidR="00B255FC">
        <w:t>other jurisdictions</w:t>
      </w:r>
      <w:r w:rsidRPr="0082112C">
        <w:t>.  Victoria, New South Wales, Tasmania, and the Northern Territory are conducting</w:t>
      </w:r>
      <w:r w:rsidR="000248F3">
        <w:t>,</w:t>
      </w:r>
      <w:r w:rsidRPr="0082112C">
        <w:t xml:space="preserve"> or have recently concluded</w:t>
      </w:r>
      <w:r w:rsidR="000248F3">
        <w:t>,</w:t>
      </w:r>
      <w:r w:rsidRPr="0082112C">
        <w:t xml:space="preserve"> major </w:t>
      </w:r>
      <w:r w:rsidR="000248F3">
        <w:t>reviews of their local government legislation.</w:t>
      </w:r>
    </w:p>
    <w:p w14:paraId="2CAD35F9" w14:textId="77777777" w:rsidR="007F0A6D" w:rsidRDefault="007F0A6D" w:rsidP="0082112C">
      <w:pPr>
        <w:pStyle w:val="BodyText-nospacebelow"/>
      </w:pPr>
    </w:p>
    <w:p w14:paraId="0BFC59C4" w14:textId="77777777" w:rsidR="0082112C" w:rsidRDefault="0082112C"/>
    <w:p w14:paraId="7DCCB332" w14:textId="77777777" w:rsidR="00677010" w:rsidRDefault="00677010">
      <w:pPr>
        <w:rPr>
          <w:rFonts w:eastAsiaTheme="majorEastAsia" w:cs="Arial"/>
          <w:color w:val="2C5C86"/>
          <w:sz w:val="40"/>
          <w:szCs w:val="40"/>
        </w:rPr>
      </w:pPr>
      <w:bookmarkStart w:id="51" w:name="_Toc493746606"/>
      <w:bookmarkStart w:id="52" w:name="_Toc493768822"/>
      <w:bookmarkStart w:id="53" w:name="_Toc493859894"/>
      <w:bookmarkStart w:id="54" w:name="_Toc495491795"/>
      <w:bookmarkStart w:id="55" w:name="_Toc495497575"/>
      <w:r>
        <w:br w:type="page"/>
      </w:r>
    </w:p>
    <w:p w14:paraId="6B0C728B" w14:textId="77777777" w:rsidR="00D63AF5" w:rsidRDefault="007F0A6D" w:rsidP="001547C1">
      <w:pPr>
        <w:pStyle w:val="Heading1-Formblue"/>
      </w:pPr>
      <w:bookmarkStart w:id="56" w:name="_Toc495671423"/>
      <w:bookmarkStart w:id="57" w:name="_Toc495676021"/>
      <w:bookmarkStart w:id="58" w:name="_Toc495678316"/>
      <w:bookmarkStart w:id="59" w:name="_Toc495998314"/>
      <w:bookmarkStart w:id="60" w:name="_Toc497741786"/>
      <w:r>
        <w:lastRenderedPageBreak/>
        <w:t>Meeting commu</w:t>
      </w:r>
      <w:r w:rsidR="00D163FF">
        <w:t xml:space="preserve">nity expectations of standards </w:t>
      </w:r>
      <w:r>
        <w:t>and performance</w:t>
      </w:r>
      <w:bookmarkEnd w:id="51"/>
      <w:bookmarkEnd w:id="52"/>
      <w:bookmarkEnd w:id="53"/>
      <w:bookmarkEnd w:id="54"/>
      <w:bookmarkEnd w:id="55"/>
      <w:bookmarkEnd w:id="56"/>
      <w:bookmarkEnd w:id="57"/>
      <w:bookmarkEnd w:id="58"/>
      <w:bookmarkEnd w:id="59"/>
      <w:bookmarkEnd w:id="60"/>
    </w:p>
    <w:p w14:paraId="41D164B6" w14:textId="24B62080" w:rsidR="001547C1" w:rsidRPr="001547C1" w:rsidRDefault="000248F3" w:rsidP="00AC131F">
      <w:pPr>
        <w:jc w:val="both"/>
      </w:pPr>
      <w:r>
        <w:t>L</w:t>
      </w:r>
      <w:r w:rsidR="001547C1" w:rsidRPr="001547C1">
        <w:t>ocal governments today have many complex responsibilities. They deal with</w:t>
      </w:r>
      <w:r w:rsidR="00CB13AD">
        <w:t xml:space="preserve"> potentially</w:t>
      </w:r>
      <w:r w:rsidR="001547C1" w:rsidRPr="001547C1">
        <w:t xml:space="preserve"> controversial matters such as town planning, assessment of development applications and domestic animal management, and provide an increasing variety of community services. </w:t>
      </w:r>
    </w:p>
    <w:p w14:paraId="19117F46" w14:textId="4454BDCB" w:rsidR="001547C1" w:rsidRPr="001547C1" w:rsidRDefault="00246B9A" w:rsidP="00AC131F">
      <w:pPr>
        <w:jc w:val="both"/>
      </w:pPr>
      <w:r>
        <w:t>Elected member</w:t>
      </w:r>
      <w:r w:rsidR="000248F3">
        <w:t>s and local government officers</w:t>
      </w:r>
      <w:r w:rsidR="001547C1" w:rsidRPr="001547C1">
        <w:t xml:space="preserve"> have a </w:t>
      </w:r>
      <w:r w:rsidR="00CB13AD">
        <w:t>challenging</w:t>
      </w:r>
      <w:r w:rsidR="00CB13AD" w:rsidRPr="001547C1">
        <w:t xml:space="preserve"> </w:t>
      </w:r>
      <w:r w:rsidR="001547C1" w:rsidRPr="001547C1">
        <w:t>job and their communities have high expectations of standards, ethics and performance.</w:t>
      </w:r>
    </w:p>
    <w:p w14:paraId="4F4C5C26" w14:textId="77777777" w:rsidR="001547C1" w:rsidRPr="001547C1" w:rsidRDefault="001547C1" w:rsidP="00AC131F">
      <w:pPr>
        <w:jc w:val="both"/>
      </w:pPr>
      <w:r w:rsidRPr="001547C1">
        <w:t>Largely, the Western Australian community is well served by local government.  However, on occasion poor governance or ineffective management can result in community expectations not being met.</w:t>
      </w:r>
    </w:p>
    <w:p w14:paraId="3F77EEBA" w14:textId="77777777" w:rsidR="001547C1" w:rsidRPr="001547C1" w:rsidRDefault="001547C1" w:rsidP="00AC131F">
      <w:pPr>
        <w:jc w:val="both"/>
      </w:pPr>
      <w:r w:rsidRPr="001547C1" w:rsidDel="003531E8">
        <w:t>T</w:t>
      </w:r>
      <w:r w:rsidRPr="001547C1">
        <w:t xml:space="preserve">his review presents the opportunity to consider whether reforms are required to strengthen accountability by modernising the governance model </w:t>
      </w:r>
      <w:r w:rsidR="000248F3">
        <w:t>that frames</w:t>
      </w:r>
      <w:r w:rsidRPr="001547C1">
        <w:t xml:space="preserve"> local government decision making and operations.</w:t>
      </w:r>
    </w:p>
    <w:p w14:paraId="770E3600" w14:textId="77777777" w:rsidR="001547C1" w:rsidRPr="001547C1" w:rsidRDefault="001547C1" w:rsidP="00AC131F">
      <w:pPr>
        <w:jc w:val="both"/>
      </w:pPr>
      <w:r w:rsidRPr="001547C1">
        <w:t>Areas where opportunities may exist include:</w:t>
      </w:r>
    </w:p>
    <w:p w14:paraId="773A956F" w14:textId="32510F28" w:rsidR="001547C1" w:rsidRPr="001547C1" w:rsidRDefault="001547C1" w:rsidP="00AC131F">
      <w:pPr>
        <w:numPr>
          <w:ilvl w:val="0"/>
          <w:numId w:val="4"/>
        </w:numPr>
        <w:jc w:val="both"/>
      </w:pPr>
      <w:r w:rsidRPr="001547C1">
        <w:t>improving relationships between council and administration</w:t>
      </w:r>
      <w:r w:rsidR="00E42FF4">
        <w:t>,</w:t>
      </w:r>
      <w:r w:rsidRPr="001547C1">
        <w:t xml:space="preserve"> </w:t>
      </w:r>
    </w:p>
    <w:p w14:paraId="1D83B1D9" w14:textId="6ABF333E" w:rsidR="001547C1" w:rsidRPr="001547C1" w:rsidRDefault="001547C1" w:rsidP="00AC131F">
      <w:pPr>
        <w:numPr>
          <w:ilvl w:val="0"/>
          <w:numId w:val="4"/>
        </w:numPr>
        <w:jc w:val="both"/>
      </w:pPr>
      <w:r w:rsidRPr="001547C1">
        <w:t>improving behaviour and managing misconduct</w:t>
      </w:r>
      <w:r w:rsidR="00E42FF4">
        <w:t>,</w:t>
      </w:r>
    </w:p>
    <w:p w14:paraId="604A824F" w14:textId="4442805F" w:rsidR="001547C1" w:rsidRPr="001547C1" w:rsidRDefault="001547C1" w:rsidP="00AC131F">
      <w:pPr>
        <w:numPr>
          <w:ilvl w:val="0"/>
          <w:numId w:val="4"/>
        </w:numPr>
        <w:jc w:val="both"/>
      </w:pPr>
      <w:r w:rsidRPr="001547C1">
        <w:t xml:space="preserve">increasing training for </w:t>
      </w:r>
      <w:r w:rsidR="00246B9A">
        <w:t>elected member</w:t>
      </w:r>
      <w:r w:rsidRPr="001547C1">
        <w:t>s</w:t>
      </w:r>
      <w:r w:rsidR="00E42FF4">
        <w:t>,</w:t>
      </w:r>
      <w:r w:rsidR="00E42FF4" w:rsidRPr="001547C1">
        <w:t xml:space="preserve"> </w:t>
      </w:r>
    </w:p>
    <w:p w14:paraId="2575FE8C" w14:textId="42FBACAC" w:rsidR="001547C1" w:rsidRPr="001547C1" w:rsidRDefault="001547C1" w:rsidP="00AC131F">
      <w:pPr>
        <w:numPr>
          <w:ilvl w:val="0"/>
          <w:numId w:val="4"/>
        </w:numPr>
        <w:jc w:val="both"/>
      </w:pPr>
      <w:r w:rsidRPr="001547C1">
        <w:t>reforming CEO selection and recruitment</w:t>
      </w:r>
      <w:r w:rsidR="00E42FF4">
        <w:t>,</w:t>
      </w:r>
      <w:r w:rsidR="00E42FF4" w:rsidRPr="001547C1">
        <w:t xml:space="preserve"> </w:t>
      </w:r>
      <w:r w:rsidRPr="001547C1">
        <w:t xml:space="preserve">and </w:t>
      </w:r>
    </w:p>
    <w:p w14:paraId="3AB2FF46" w14:textId="77777777" w:rsidR="001547C1" w:rsidRPr="001547C1" w:rsidRDefault="001547C1" w:rsidP="00AC131F">
      <w:pPr>
        <w:numPr>
          <w:ilvl w:val="0"/>
          <w:numId w:val="4"/>
        </w:numPr>
        <w:jc w:val="both"/>
      </w:pPr>
      <w:r w:rsidRPr="001547C1">
        <w:t>improving the way that a CEO’s performance is reviewed.</w:t>
      </w:r>
    </w:p>
    <w:p w14:paraId="7FF80607" w14:textId="384D8B83" w:rsidR="001547C1" w:rsidRDefault="007F0A6D" w:rsidP="00124F78">
      <w:pPr>
        <w:pStyle w:val="Heading1"/>
        <w:numPr>
          <w:ilvl w:val="0"/>
          <w:numId w:val="5"/>
        </w:numPr>
      </w:pPr>
      <w:r w:rsidRPr="001547C1">
        <w:br w:type="page"/>
      </w:r>
      <w:r w:rsidR="00FE089A">
        <w:lastRenderedPageBreak/>
        <w:t xml:space="preserve"> </w:t>
      </w:r>
      <w:bookmarkStart w:id="61" w:name="_Toc493746607"/>
      <w:bookmarkStart w:id="62" w:name="_Toc493768823"/>
      <w:bookmarkStart w:id="63" w:name="_Toc493859895"/>
      <w:bookmarkStart w:id="64" w:name="_Toc495491796"/>
      <w:bookmarkStart w:id="65" w:name="_Toc495497576"/>
      <w:bookmarkStart w:id="66" w:name="_Toc495671424"/>
      <w:bookmarkStart w:id="67" w:name="_Toc495676022"/>
      <w:bookmarkStart w:id="68" w:name="_Toc495678317"/>
      <w:bookmarkStart w:id="69" w:name="_Toc495998315"/>
      <w:bookmarkStart w:id="70" w:name="_Toc497741787"/>
      <w:r w:rsidR="00886E85">
        <w:t>R</w:t>
      </w:r>
      <w:r w:rsidR="001547C1">
        <w:t>elations</w:t>
      </w:r>
      <w:r w:rsidR="00D163FF">
        <w:t>hips</w:t>
      </w:r>
      <w:r w:rsidR="001547C1">
        <w:t xml:space="preserve"> between council and administration</w:t>
      </w:r>
      <w:bookmarkEnd w:id="61"/>
      <w:bookmarkEnd w:id="62"/>
      <w:bookmarkEnd w:id="63"/>
      <w:bookmarkEnd w:id="64"/>
      <w:bookmarkEnd w:id="65"/>
      <w:bookmarkEnd w:id="66"/>
      <w:bookmarkEnd w:id="67"/>
      <w:bookmarkEnd w:id="68"/>
      <w:bookmarkEnd w:id="69"/>
      <w:bookmarkEnd w:id="70"/>
    </w:p>
    <w:p w14:paraId="690C466F" w14:textId="77777777" w:rsidR="001547C1" w:rsidRDefault="001547C1" w:rsidP="001547C1">
      <w:pPr>
        <w:pStyle w:val="Heading2"/>
      </w:pPr>
      <w:bookmarkStart w:id="71" w:name="_Toc493746608"/>
      <w:bookmarkStart w:id="72" w:name="_Toc493768824"/>
      <w:bookmarkStart w:id="73" w:name="_Toc493859896"/>
      <w:bookmarkStart w:id="74" w:name="_Toc495491797"/>
      <w:bookmarkStart w:id="75" w:name="_Toc495497577"/>
      <w:bookmarkStart w:id="76" w:name="_Toc495671425"/>
      <w:bookmarkStart w:id="77" w:name="_Toc495676023"/>
      <w:bookmarkStart w:id="78" w:name="_Toc495678318"/>
      <w:bookmarkStart w:id="79" w:name="_Toc495998316"/>
      <w:bookmarkStart w:id="80" w:name="_Toc497741788"/>
      <w:r>
        <w:t>Introduction</w:t>
      </w:r>
      <w:bookmarkEnd w:id="71"/>
      <w:bookmarkEnd w:id="72"/>
      <w:bookmarkEnd w:id="73"/>
      <w:bookmarkEnd w:id="74"/>
      <w:bookmarkEnd w:id="75"/>
      <w:bookmarkEnd w:id="76"/>
      <w:bookmarkEnd w:id="77"/>
      <w:bookmarkEnd w:id="78"/>
      <w:bookmarkEnd w:id="79"/>
      <w:bookmarkEnd w:id="80"/>
    </w:p>
    <w:p w14:paraId="16F6EEF6" w14:textId="11FFE2CA" w:rsidR="001547C1" w:rsidRPr="001547C1" w:rsidRDefault="001547C1" w:rsidP="00AC131F">
      <w:pPr>
        <w:pStyle w:val="BodyText-nospacebelow"/>
        <w:jc w:val="both"/>
      </w:pPr>
      <w:r w:rsidRPr="001547C1">
        <w:t xml:space="preserve">The effectiveness of a local government in </w:t>
      </w:r>
      <w:r w:rsidR="00332EB0">
        <w:t>Western Australia</w:t>
      </w:r>
      <w:r w:rsidRPr="001547C1">
        <w:t xml:space="preserve"> is largely dependent on the relationship </w:t>
      </w:r>
      <w:r w:rsidR="008B26A1">
        <w:t xml:space="preserve">the </w:t>
      </w:r>
      <w:r w:rsidR="00B255FC">
        <w:t>c</w:t>
      </w:r>
      <w:r w:rsidR="008B26A1">
        <w:t>ouncil</w:t>
      </w:r>
      <w:r w:rsidR="008B26A1" w:rsidRPr="001547C1">
        <w:t xml:space="preserve"> </w:t>
      </w:r>
      <w:r w:rsidRPr="001547C1">
        <w:t xml:space="preserve">has with the administration, primarily the CEO.  Running </w:t>
      </w:r>
      <w:r w:rsidR="008B26A1">
        <w:t>alongside</w:t>
      </w:r>
      <w:r w:rsidRPr="001547C1">
        <w:t xml:space="preserve"> this is the requirement for a council to act independently when it is making decisions </w:t>
      </w:r>
      <w:r w:rsidR="008B26A1">
        <w:t>in</w:t>
      </w:r>
      <w:r w:rsidR="008B26A1" w:rsidRPr="001547C1">
        <w:t xml:space="preserve"> </w:t>
      </w:r>
      <w:r w:rsidRPr="001547C1">
        <w:t>the best interests of</w:t>
      </w:r>
      <w:r w:rsidR="008B26A1">
        <w:t>, and on behalf of,</w:t>
      </w:r>
      <w:r w:rsidRPr="001547C1">
        <w:t xml:space="preserve"> the community it was elected by. </w:t>
      </w:r>
    </w:p>
    <w:p w14:paraId="1A3A16A8" w14:textId="77777777" w:rsidR="001547C1" w:rsidRPr="001547C1" w:rsidRDefault="001547C1" w:rsidP="00AC131F">
      <w:pPr>
        <w:pStyle w:val="BodyText-nospacebelow"/>
        <w:jc w:val="both"/>
      </w:pPr>
    </w:p>
    <w:p w14:paraId="4183E2DA" w14:textId="77777777" w:rsidR="001547C1" w:rsidRPr="001547C1" w:rsidRDefault="001547C1" w:rsidP="00AC131F">
      <w:pPr>
        <w:pStyle w:val="BodyText-nospacebelow"/>
        <w:jc w:val="both"/>
      </w:pPr>
      <w:r w:rsidRPr="001547C1">
        <w:t>Local governments are made up of several components:</w:t>
      </w:r>
    </w:p>
    <w:p w14:paraId="7BA2AB65" w14:textId="77777777" w:rsidR="008B26A1" w:rsidRPr="001547C1" w:rsidRDefault="008B26A1" w:rsidP="00AC131F">
      <w:pPr>
        <w:pStyle w:val="Caption"/>
        <w:jc w:val="both"/>
      </w:pPr>
      <w:r w:rsidRPr="001547C1">
        <w:t>Local government</w:t>
      </w:r>
    </w:p>
    <w:p w14:paraId="2A96389B" w14:textId="77777777" w:rsidR="008B26A1" w:rsidRPr="001547C1" w:rsidRDefault="008B26A1" w:rsidP="00AC131F">
      <w:pPr>
        <w:pStyle w:val="BodyText-nospacebelow"/>
        <w:jc w:val="both"/>
      </w:pPr>
      <w:r w:rsidRPr="001547C1">
        <w:t xml:space="preserve">The </w:t>
      </w:r>
      <w:r w:rsidR="00B40851">
        <w:t xml:space="preserve">Western Australian </w:t>
      </w:r>
      <w:r w:rsidRPr="001547C1">
        <w:rPr>
          <w:i/>
        </w:rPr>
        <w:t>Constitution Act 1889</w:t>
      </w:r>
      <w:r w:rsidRPr="001547C1">
        <w:t xml:space="preserve"> </w:t>
      </w:r>
      <w:r w:rsidR="00DC7AFD">
        <w:t>states that Parliament</w:t>
      </w:r>
      <w:r w:rsidRPr="001547C1">
        <w:t xml:space="preserve"> </w:t>
      </w:r>
      <w:r w:rsidR="00DC7AFD">
        <w:t>will maintain</w:t>
      </w:r>
      <w:r w:rsidRPr="001547C1">
        <w:t xml:space="preserve"> a system of local government throughout the State.  </w:t>
      </w:r>
      <w:r w:rsidR="00DC7AFD">
        <w:t xml:space="preserve">This is given effect through </w:t>
      </w:r>
      <w:r w:rsidRPr="001547C1">
        <w:t xml:space="preserve">local government </w:t>
      </w:r>
      <w:r w:rsidR="00DC7AFD">
        <w:t>legislation which</w:t>
      </w:r>
      <w:r w:rsidRPr="001547C1">
        <w:t xml:space="preserve"> confer</w:t>
      </w:r>
      <w:r w:rsidR="00DC7AFD">
        <w:t>s</w:t>
      </w:r>
      <w:r w:rsidRPr="001547C1">
        <w:t xml:space="preserve"> powers and functions on local governments.</w:t>
      </w:r>
      <w:r w:rsidR="00B40851" w:rsidRPr="00B40851">
        <w:t xml:space="preserve"> </w:t>
      </w:r>
      <w:r w:rsidR="00B40851">
        <w:t xml:space="preserve"> A local government is a</w:t>
      </w:r>
      <w:r w:rsidR="00B40851" w:rsidRPr="001547C1">
        <w:t xml:space="preserve"> corporate body which can sue and be sued.  </w:t>
      </w:r>
    </w:p>
    <w:p w14:paraId="60064FF9" w14:textId="77777777" w:rsidR="001547C1" w:rsidRPr="001547C1" w:rsidRDefault="001547C1" w:rsidP="00AC131F">
      <w:pPr>
        <w:pStyle w:val="Caption"/>
        <w:jc w:val="both"/>
      </w:pPr>
      <w:r w:rsidRPr="001547C1">
        <w:t>Council</w:t>
      </w:r>
    </w:p>
    <w:p w14:paraId="6D36F01A" w14:textId="3374FE09" w:rsidR="001547C1" w:rsidRPr="001547C1" w:rsidRDefault="001547C1" w:rsidP="00AC131F">
      <w:pPr>
        <w:pStyle w:val="BodyText-nospacebelow"/>
        <w:jc w:val="both"/>
      </w:pPr>
      <w:r w:rsidRPr="001547C1">
        <w:t xml:space="preserve">The council is elected by the community and is the governing body of a local government. It is made up of </w:t>
      </w:r>
      <w:r w:rsidR="008B26A1">
        <w:t xml:space="preserve">between six and fifteen </w:t>
      </w:r>
      <w:r w:rsidR="00246B9A">
        <w:t>elected member</w:t>
      </w:r>
      <w:r w:rsidRPr="001547C1">
        <w:t xml:space="preserve">s and </w:t>
      </w:r>
      <w:r w:rsidR="00DC7AFD">
        <w:t xml:space="preserve">is led by </w:t>
      </w:r>
      <w:r w:rsidRPr="001547C1">
        <w:t xml:space="preserve">a mayor or president. </w:t>
      </w:r>
      <w:r w:rsidR="00FA3695">
        <w:t xml:space="preserve"> </w:t>
      </w:r>
      <w:r w:rsidRPr="001547C1">
        <w:t>Councils are responsible for the governance of their local government’s affairs and functions. This includes oversight of the planning and allocation of finances and resources</w:t>
      </w:r>
      <w:r w:rsidR="008B26A1">
        <w:t>,</w:t>
      </w:r>
      <w:r w:rsidRPr="001547C1">
        <w:t xml:space="preserve"> and the determination of local government policies.</w:t>
      </w:r>
    </w:p>
    <w:p w14:paraId="6FA5FDD1" w14:textId="77777777" w:rsidR="001547C1" w:rsidRPr="001547C1" w:rsidRDefault="001547C1" w:rsidP="00AC131F">
      <w:pPr>
        <w:pStyle w:val="Caption"/>
        <w:jc w:val="both"/>
      </w:pPr>
      <w:r w:rsidRPr="001547C1">
        <w:t>Chief Executive Officer (CEO)</w:t>
      </w:r>
    </w:p>
    <w:p w14:paraId="4E073C2D" w14:textId="77777777" w:rsidR="001547C1" w:rsidRPr="001547C1" w:rsidRDefault="00F802F0" w:rsidP="00AC131F">
      <w:pPr>
        <w:pStyle w:val="BodyText-nospacebelow"/>
        <w:jc w:val="both"/>
      </w:pPr>
      <w:r>
        <w:t>The CEO is e</w:t>
      </w:r>
      <w:r w:rsidR="001547C1" w:rsidRPr="001547C1">
        <w:t>mployed by the council to head the administration and manage the day to day operations</w:t>
      </w:r>
      <w:r w:rsidR="008B26A1">
        <w:t>,</w:t>
      </w:r>
      <w:r w:rsidR="001547C1" w:rsidRPr="001547C1">
        <w:t xml:space="preserve"> or executive functions</w:t>
      </w:r>
      <w:r w:rsidR="008B26A1">
        <w:t>,</w:t>
      </w:r>
      <w:r w:rsidR="001547C1" w:rsidRPr="001547C1">
        <w:t xml:space="preserve"> of the local government and </w:t>
      </w:r>
      <w:r w:rsidR="008B26A1">
        <w:t>to</w:t>
      </w:r>
      <w:r w:rsidR="001547C1" w:rsidRPr="001547C1">
        <w:t xml:space="preserve"> implement council policies and decisions.</w:t>
      </w:r>
    </w:p>
    <w:p w14:paraId="069C70EE" w14:textId="77777777" w:rsidR="001547C1" w:rsidRPr="001547C1" w:rsidRDefault="001547C1" w:rsidP="00AC131F">
      <w:pPr>
        <w:pStyle w:val="Caption"/>
        <w:jc w:val="both"/>
      </w:pPr>
      <w:r w:rsidRPr="001547C1">
        <w:t>Staff</w:t>
      </w:r>
    </w:p>
    <w:p w14:paraId="3AA50120" w14:textId="77777777" w:rsidR="001547C1" w:rsidRDefault="00F802F0" w:rsidP="00AC131F">
      <w:pPr>
        <w:pStyle w:val="BodyText-nospacebelow"/>
        <w:jc w:val="both"/>
      </w:pPr>
      <w:r>
        <w:t>The staff are employed by the CEO</w:t>
      </w:r>
      <w:r w:rsidR="001547C1" w:rsidRPr="001547C1">
        <w:t xml:space="preserve"> to perform the functions of the local government. </w:t>
      </w:r>
    </w:p>
    <w:p w14:paraId="29BDF302" w14:textId="77777777" w:rsidR="008B26A1" w:rsidRDefault="008B26A1" w:rsidP="00AC131F">
      <w:pPr>
        <w:pStyle w:val="Caption"/>
        <w:jc w:val="both"/>
      </w:pPr>
      <w:bookmarkStart w:id="81" w:name="_Toc491097220"/>
      <w:bookmarkStart w:id="82" w:name="_Toc491097610"/>
      <w:bookmarkStart w:id="83" w:name="_Toc491857065"/>
      <w:bookmarkStart w:id="84" w:name="_Toc491872684"/>
      <w:bookmarkStart w:id="85" w:name="_Toc491873618"/>
      <w:bookmarkStart w:id="86" w:name="_Toc491934246"/>
      <w:bookmarkStart w:id="87" w:name="_Toc492368868"/>
      <w:bookmarkStart w:id="88" w:name="_Toc492386596"/>
      <w:bookmarkStart w:id="89" w:name="_Toc492468838"/>
      <w:bookmarkStart w:id="90" w:name="_Toc492470513"/>
      <w:bookmarkStart w:id="91" w:name="_Toc492471193"/>
      <w:bookmarkStart w:id="92" w:name="_Toc492471318"/>
      <w:r w:rsidRPr="001547C1">
        <w:lastRenderedPageBreak/>
        <w:t>The community</w:t>
      </w:r>
    </w:p>
    <w:p w14:paraId="77206E9D" w14:textId="5072939D" w:rsidR="008B26A1" w:rsidRDefault="008B26A1" w:rsidP="00AC131F">
      <w:pPr>
        <w:pStyle w:val="BodyText-nospacebelow"/>
        <w:jc w:val="both"/>
      </w:pPr>
      <w:r>
        <w:t>The community is c</w:t>
      </w:r>
      <w:r w:rsidRPr="001547C1">
        <w:t>omprised</w:t>
      </w:r>
      <w:r w:rsidR="00B255FC">
        <w:t xml:space="preserve"> of</w:t>
      </w:r>
      <w:r w:rsidRPr="001547C1">
        <w:t xml:space="preserve"> residents, </w:t>
      </w:r>
      <w:r w:rsidR="00FA3695">
        <w:t xml:space="preserve">ratepayers including </w:t>
      </w:r>
      <w:r w:rsidRPr="001547C1">
        <w:t>property owners</w:t>
      </w:r>
      <w:r w:rsidR="00FA3695">
        <w:t xml:space="preserve"> that do</w:t>
      </w:r>
      <w:r w:rsidR="00B255FC">
        <w:t xml:space="preserve"> no</w:t>
      </w:r>
      <w:r w:rsidR="00FA3695">
        <w:t>t live in the district</w:t>
      </w:r>
      <w:r w:rsidR="008B7178">
        <w:t xml:space="preserve"> and those renting business premises within the district</w:t>
      </w:r>
      <w:r w:rsidRPr="001547C1">
        <w:t>, as well as the extend</w:t>
      </w:r>
      <w:r>
        <w:t>ed</w:t>
      </w:r>
      <w:r w:rsidRPr="001547C1">
        <w:t xml:space="preserve"> community that are impacted by council decisions but do not live within its district.</w:t>
      </w:r>
    </w:p>
    <w:p w14:paraId="3240638A" w14:textId="77777777" w:rsidR="008B26A1" w:rsidRDefault="008B26A1" w:rsidP="001547C1">
      <w:pPr>
        <w:pStyle w:val="BodyText-nospacebelow"/>
      </w:pPr>
    </w:p>
    <w:p w14:paraId="6B376B30" w14:textId="77777777" w:rsidR="001547C1" w:rsidRPr="001547C1" w:rsidRDefault="001547C1" w:rsidP="007B5D94">
      <w:pPr>
        <w:pStyle w:val="Heading2"/>
      </w:pPr>
      <w:bookmarkStart w:id="93" w:name="_Toc493746609"/>
      <w:bookmarkStart w:id="94" w:name="_Toc493768825"/>
      <w:bookmarkStart w:id="95" w:name="_Toc493859897"/>
      <w:bookmarkStart w:id="96" w:name="_Toc495491798"/>
      <w:bookmarkStart w:id="97" w:name="_Toc495497578"/>
      <w:bookmarkStart w:id="98" w:name="_Toc495671426"/>
      <w:bookmarkStart w:id="99" w:name="_Toc495676024"/>
      <w:bookmarkStart w:id="100" w:name="_Toc495678319"/>
      <w:bookmarkStart w:id="101" w:name="_Toc495998317"/>
      <w:bookmarkStart w:id="102" w:name="_Toc497741789"/>
      <w:r w:rsidRPr="001547C1">
        <w:t>Defining the roles of council and administration</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1547C1">
        <w:t xml:space="preserve"> </w:t>
      </w:r>
    </w:p>
    <w:p w14:paraId="48180A45" w14:textId="77777777" w:rsidR="001547C1" w:rsidRDefault="001547C1" w:rsidP="00AC131F">
      <w:pPr>
        <w:pStyle w:val="BodyText-nospacebelow"/>
        <w:jc w:val="both"/>
      </w:pPr>
      <w:r w:rsidRPr="001547C1">
        <w:t xml:space="preserve">In 1995, when the current </w:t>
      </w:r>
      <w:r w:rsidR="008B26A1">
        <w:t>Act</w:t>
      </w:r>
      <w:r w:rsidR="00EF58B6">
        <w:t xml:space="preserve"> </w:t>
      </w:r>
      <w:r w:rsidRPr="001547C1">
        <w:t xml:space="preserve">was introduced to </w:t>
      </w:r>
      <w:r w:rsidR="00F802F0">
        <w:t>P</w:t>
      </w:r>
      <w:r w:rsidRPr="001547C1">
        <w:t>arliament</w:t>
      </w:r>
      <w:r w:rsidR="008B26A1">
        <w:t>,</w:t>
      </w:r>
      <w:r w:rsidRPr="001547C1">
        <w:t xml:space="preserve"> the then Minister for Local Government remarked in his second reading speech: </w:t>
      </w:r>
    </w:p>
    <w:p w14:paraId="5D4EE064" w14:textId="77777777" w:rsidR="004A0642" w:rsidRPr="001547C1" w:rsidRDefault="004A0642" w:rsidP="00AC131F">
      <w:pPr>
        <w:pStyle w:val="BodyText-nospacebelow"/>
        <w:jc w:val="both"/>
      </w:pPr>
    </w:p>
    <w:p w14:paraId="360348AD" w14:textId="77777777" w:rsidR="001547C1" w:rsidRDefault="001547C1" w:rsidP="00541B8E">
      <w:pPr>
        <w:pStyle w:val="BodyText-nospacebelow"/>
        <w:ind w:left="567" w:right="804"/>
        <w:jc w:val="both"/>
      </w:pPr>
      <w:r w:rsidRPr="001547C1">
        <w:t>“</w:t>
      </w:r>
      <w:r w:rsidRPr="001547C1">
        <w:rPr>
          <w:i/>
        </w:rPr>
        <w:t>There will be a clear specification of the roles of key players; that is, council, mayor or president, and councillors. This is designed to promote efficient administration at the local government level and to avoid conflicts caused by uncertainty. The lack of role clarity has led to some mayors/presidents and councillors becoming involved in administrative matters which should be handled by</w:t>
      </w:r>
      <w:r w:rsidRPr="001547C1">
        <w:rPr>
          <w:b/>
          <w:i/>
        </w:rPr>
        <w:t xml:space="preserve"> </w:t>
      </w:r>
      <w:r w:rsidRPr="001547C1">
        <w:rPr>
          <w:i/>
        </w:rPr>
        <w:t>staff. The new Act will provide a clear distinction between the representative and policy making role of the elected councillors and the administrative and advisory role of the chief executive officer and other staff</w:t>
      </w:r>
      <w:r w:rsidRPr="001547C1">
        <w:t>.”</w:t>
      </w:r>
      <w:r w:rsidRPr="001547C1">
        <w:rPr>
          <w:vertAlign w:val="superscript"/>
        </w:rPr>
        <w:footnoteReference w:id="2"/>
      </w:r>
    </w:p>
    <w:p w14:paraId="3707E15A" w14:textId="77777777" w:rsidR="004A0642" w:rsidRPr="001547C1" w:rsidRDefault="004A0642" w:rsidP="00AC131F">
      <w:pPr>
        <w:pStyle w:val="BodyText-nospacebelow"/>
        <w:jc w:val="both"/>
      </w:pPr>
    </w:p>
    <w:p w14:paraId="445CFEA1" w14:textId="77777777" w:rsidR="001547C1" w:rsidRPr="001547C1" w:rsidRDefault="001547C1" w:rsidP="00AC131F">
      <w:pPr>
        <w:pStyle w:val="BodyText-nospacebelow"/>
        <w:jc w:val="both"/>
      </w:pPr>
      <w:r w:rsidRPr="001547C1">
        <w:t>Under the Act the council —</w:t>
      </w:r>
    </w:p>
    <w:p w14:paraId="3EA14486" w14:textId="5695DCDA" w:rsidR="001547C1" w:rsidRPr="001547C1" w:rsidRDefault="001547C1" w:rsidP="00AC131F">
      <w:pPr>
        <w:pStyle w:val="BodyText-nospacebelow"/>
        <w:numPr>
          <w:ilvl w:val="0"/>
          <w:numId w:val="7"/>
        </w:numPr>
        <w:jc w:val="both"/>
      </w:pPr>
      <w:r w:rsidRPr="001547C1">
        <w:t>governs the local government’s affairs; and</w:t>
      </w:r>
    </w:p>
    <w:p w14:paraId="4BCEA0F2" w14:textId="77777777" w:rsidR="001547C1" w:rsidRPr="001547C1" w:rsidRDefault="001547C1" w:rsidP="00AC131F">
      <w:pPr>
        <w:pStyle w:val="BodyText-nospacebelow"/>
        <w:numPr>
          <w:ilvl w:val="0"/>
          <w:numId w:val="7"/>
        </w:numPr>
        <w:jc w:val="both"/>
      </w:pPr>
      <w:r w:rsidRPr="001547C1">
        <w:t xml:space="preserve">is responsible for the performance of the local government’s functions, which includes (although </w:t>
      </w:r>
      <w:r w:rsidR="00B36904">
        <w:t xml:space="preserve">is </w:t>
      </w:r>
      <w:r w:rsidRPr="001547C1">
        <w:t>not limited to):</w:t>
      </w:r>
    </w:p>
    <w:p w14:paraId="51013CB4" w14:textId="547DD1AF" w:rsidR="001547C1" w:rsidRPr="001547C1" w:rsidRDefault="001547C1" w:rsidP="00AC131F">
      <w:pPr>
        <w:pStyle w:val="BodyText-nospacebelow"/>
        <w:numPr>
          <w:ilvl w:val="1"/>
          <w:numId w:val="7"/>
        </w:numPr>
        <w:jc w:val="both"/>
      </w:pPr>
      <w:r w:rsidRPr="001547C1">
        <w:t>overseeing the allocation of the local government’s finances and resources; and</w:t>
      </w:r>
    </w:p>
    <w:p w14:paraId="3782A899" w14:textId="77777777" w:rsidR="001547C1" w:rsidRDefault="001547C1" w:rsidP="00AC131F">
      <w:pPr>
        <w:pStyle w:val="BodyText-nospacebelow"/>
        <w:numPr>
          <w:ilvl w:val="1"/>
          <w:numId w:val="7"/>
        </w:numPr>
        <w:jc w:val="both"/>
      </w:pPr>
      <w:r w:rsidRPr="001547C1">
        <w:t xml:space="preserve">determining the local government’s policies. </w:t>
      </w:r>
    </w:p>
    <w:p w14:paraId="2A8ABBF1" w14:textId="77777777" w:rsidR="004A0642" w:rsidRPr="001547C1" w:rsidRDefault="004A0642" w:rsidP="00AC131F">
      <w:pPr>
        <w:pStyle w:val="BodyText-nospacebelow"/>
        <w:ind w:left="1440"/>
        <w:jc w:val="both"/>
      </w:pPr>
    </w:p>
    <w:p w14:paraId="2758D588" w14:textId="7A544951" w:rsidR="001547C1" w:rsidRPr="001547C1" w:rsidRDefault="001547C1" w:rsidP="00AC131F">
      <w:pPr>
        <w:pStyle w:val="BodyText-nospacebelow"/>
        <w:jc w:val="both"/>
      </w:pPr>
      <w:r w:rsidRPr="001547C1">
        <w:t>The role of an individual councillor includes:</w:t>
      </w:r>
    </w:p>
    <w:p w14:paraId="1604991A" w14:textId="77777777" w:rsidR="001547C1" w:rsidRPr="001547C1" w:rsidRDefault="001547C1" w:rsidP="00AC131F">
      <w:pPr>
        <w:pStyle w:val="BodyText-nospacebelow"/>
        <w:numPr>
          <w:ilvl w:val="0"/>
          <w:numId w:val="6"/>
        </w:numPr>
        <w:jc w:val="both"/>
      </w:pPr>
      <w:r w:rsidRPr="001547C1">
        <w:t>representing the interests of electors, ratepayers and residents of the district;</w:t>
      </w:r>
    </w:p>
    <w:p w14:paraId="497233FD" w14:textId="0E8D9513" w:rsidR="001547C1" w:rsidRPr="001547C1" w:rsidRDefault="001547C1" w:rsidP="00AC131F">
      <w:pPr>
        <w:pStyle w:val="BodyText-nospacebelow"/>
        <w:numPr>
          <w:ilvl w:val="0"/>
          <w:numId w:val="6"/>
        </w:numPr>
        <w:jc w:val="both"/>
      </w:pPr>
      <w:r w:rsidRPr="001547C1">
        <w:t xml:space="preserve">providing leadership and guidance to the community in the district; </w:t>
      </w:r>
    </w:p>
    <w:p w14:paraId="3D415DEE" w14:textId="53215D9A" w:rsidR="001547C1" w:rsidRPr="001547C1" w:rsidRDefault="001547C1" w:rsidP="00AC131F">
      <w:pPr>
        <w:pStyle w:val="BodyText-nospacebelow"/>
        <w:numPr>
          <w:ilvl w:val="0"/>
          <w:numId w:val="6"/>
        </w:numPr>
        <w:jc w:val="both"/>
      </w:pPr>
      <w:r w:rsidRPr="001547C1">
        <w:t xml:space="preserve">facilitating communication between the community and the council; </w:t>
      </w:r>
    </w:p>
    <w:p w14:paraId="0FBD5851" w14:textId="52C4224B" w:rsidR="001547C1" w:rsidRPr="001547C1" w:rsidRDefault="001547C1" w:rsidP="00AC131F">
      <w:pPr>
        <w:pStyle w:val="BodyText-nospacebelow"/>
        <w:numPr>
          <w:ilvl w:val="0"/>
          <w:numId w:val="6"/>
        </w:numPr>
        <w:jc w:val="both"/>
      </w:pPr>
      <w:r w:rsidRPr="001547C1">
        <w:t>participating in the local government’s decision-making processes at council and committee meetings; and</w:t>
      </w:r>
    </w:p>
    <w:p w14:paraId="6DF1E1A2" w14:textId="77777777" w:rsidR="001547C1" w:rsidRDefault="001547C1" w:rsidP="00AC131F">
      <w:pPr>
        <w:pStyle w:val="BodyText-nospacebelow"/>
        <w:numPr>
          <w:ilvl w:val="0"/>
          <w:numId w:val="6"/>
        </w:numPr>
        <w:jc w:val="both"/>
      </w:pPr>
      <w:r w:rsidRPr="001547C1">
        <w:t>performing such other functions as are given to a councillor by th</w:t>
      </w:r>
      <w:r w:rsidR="00B36904">
        <w:t>e</w:t>
      </w:r>
      <w:r w:rsidRPr="001547C1">
        <w:t xml:space="preserve"> Act or any other written law. </w:t>
      </w:r>
    </w:p>
    <w:p w14:paraId="7369E541" w14:textId="77777777" w:rsidR="004A0642" w:rsidRPr="001547C1" w:rsidRDefault="004A0642" w:rsidP="00AC131F">
      <w:pPr>
        <w:pStyle w:val="BodyText-nospacebelow"/>
        <w:ind w:left="720"/>
        <w:jc w:val="both"/>
      </w:pPr>
    </w:p>
    <w:p w14:paraId="408CF3E9" w14:textId="77777777" w:rsidR="001547C1" w:rsidRPr="001547C1" w:rsidRDefault="006139C9" w:rsidP="00AC131F">
      <w:pPr>
        <w:pStyle w:val="BodyText-nospacebelow"/>
        <w:jc w:val="both"/>
      </w:pPr>
      <w:r>
        <w:t>The</w:t>
      </w:r>
      <w:r w:rsidRPr="001547C1">
        <w:t xml:space="preserve"> mayor or president </w:t>
      </w:r>
      <w:r>
        <w:t>has</w:t>
      </w:r>
      <w:r w:rsidR="001547C1" w:rsidRPr="001547C1">
        <w:t xml:space="preserve"> the following additional roles:</w:t>
      </w:r>
    </w:p>
    <w:p w14:paraId="7A7610E0" w14:textId="6A3B3DD3" w:rsidR="001547C1" w:rsidRPr="001547C1" w:rsidRDefault="001547C1" w:rsidP="00AC131F">
      <w:pPr>
        <w:pStyle w:val="BodyText-nospacebelow"/>
        <w:numPr>
          <w:ilvl w:val="0"/>
          <w:numId w:val="8"/>
        </w:numPr>
        <w:jc w:val="both"/>
      </w:pPr>
      <w:r w:rsidRPr="001547C1">
        <w:t>presiding at meetings in accordance with th</w:t>
      </w:r>
      <w:r w:rsidR="00B36904">
        <w:t>e</w:t>
      </w:r>
      <w:r w:rsidRPr="001547C1">
        <w:t xml:space="preserve"> Act;</w:t>
      </w:r>
    </w:p>
    <w:p w14:paraId="1E725C69" w14:textId="2B3DC547" w:rsidR="001547C1" w:rsidRPr="001547C1" w:rsidRDefault="001547C1" w:rsidP="00AC131F">
      <w:pPr>
        <w:pStyle w:val="BodyText-nospacebelow"/>
        <w:numPr>
          <w:ilvl w:val="0"/>
          <w:numId w:val="8"/>
        </w:numPr>
        <w:jc w:val="both"/>
      </w:pPr>
      <w:r w:rsidRPr="001547C1">
        <w:t>providing leadership and guidance to the community in the district;</w:t>
      </w:r>
    </w:p>
    <w:p w14:paraId="244FE583" w14:textId="65A21E51" w:rsidR="001547C1" w:rsidRPr="001547C1" w:rsidRDefault="001547C1" w:rsidP="00AC131F">
      <w:pPr>
        <w:pStyle w:val="BodyText-nospacebelow"/>
        <w:numPr>
          <w:ilvl w:val="0"/>
          <w:numId w:val="8"/>
        </w:numPr>
        <w:jc w:val="both"/>
      </w:pPr>
      <w:r w:rsidRPr="001547C1">
        <w:t xml:space="preserve">carrying out civic and ceremonial duties on behalf of the local government; </w:t>
      </w:r>
    </w:p>
    <w:p w14:paraId="2824A35D" w14:textId="522058CD" w:rsidR="001547C1" w:rsidRPr="001547C1" w:rsidRDefault="001547C1" w:rsidP="00AC131F">
      <w:pPr>
        <w:pStyle w:val="BodyText-nospacebelow"/>
        <w:numPr>
          <w:ilvl w:val="0"/>
          <w:numId w:val="8"/>
        </w:numPr>
        <w:jc w:val="both"/>
      </w:pPr>
      <w:r w:rsidRPr="001547C1">
        <w:t>speaking on behalf of the local government;</w:t>
      </w:r>
    </w:p>
    <w:p w14:paraId="209BF949" w14:textId="2E73164B" w:rsidR="001547C1" w:rsidRPr="001547C1" w:rsidRDefault="001547C1" w:rsidP="00AC131F">
      <w:pPr>
        <w:pStyle w:val="BodyText-nospacebelow"/>
        <w:numPr>
          <w:ilvl w:val="0"/>
          <w:numId w:val="8"/>
        </w:numPr>
        <w:jc w:val="both"/>
      </w:pPr>
      <w:r w:rsidRPr="001547C1">
        <w:t>performing such other functions as are given to the mayor or president by th</w:t>
      </w:r>
      <w:r w:rsidR="00B36904">
        <w:t>e</w:t>
      </w:r>
      <w:r w:rsidRPr="001547C1">
        <w:t xml:space="preserve"> Act or any other written law; and </w:t>
      </w:r>
    </w:p>
    <w:p w14:paraId="1AB71879" w14:textId="77777777" w:rsidR="001547C1" w:rsidRDefault="001547C1" w:rsidP="00AC131F">
      <w:pPr>
        <w:pStyle w:val="BodyText-nospacebelow"/>
        <w:numPr>
          <w:ilvl w:val="0"/>
          <w:numId w:val="8"/>
        </w:numPr>
        <w:jc w:val="both"/>
      </w:pPr>
      <w:r w:rsidRPr="001547C1">
        <w:t xml:space="preserve">liaising with the CEO on the local government’s affairs and the performance of its functions. </w:t>
      </w:r>
    </w:p>
    <w:p w14:paraId="7D32A136" w14:textId="77777777" w:rsidR="004A0642" w:rsidRPr="001547C1" w:rsidRDefault="004A0642" w:rsidP="00AC131F">
      <w:pPr>
        <w:pStyle w:val="BodyText-nospacebelow"/>
        <w:ind w:left="720"/>
        <w:jc w:val="both"/>
      </w:pPr>
    </w:p>
    <w:p w14:paraId="1A5F8ADB" w14:textId="77777777" w:rsidR="001547C1" w:rsidRPr="001547C1" w:rsidRDefault="001547C1" w:rsidP="00AC131F">
      <w:pPr>
        <w:pStyle w:val="BodyText-nospacebelow"/>
        <w:jc w:val="both"/>
      </w:pPr>
      <w:r w:rsidRPr="001547C1">
        <w:t>The CEO’s functions under the Act are to:</w:t>
      </w:r>
    </w:p>
    <w:p w14:paraId="5E5EBF4F" w14:textId="5C6E6724" w:rsidR="001547C1" w:rsidRPr="001547C1" w:rsidRDefault="001547C1" w:rsidP="00AC131F">
      <w:pPr>
        <w:pStyle w:val="BodyText-nospacebelow"/>
        <w:numPr>
          <w:ilvl w:val="0"/>
          <w:numId w:val="9"/>
        </w:numPr>
        <w:jc w:val="both"/>
      </w:pPr>
      <w:r w:rsidRPr="001547C1">
        <w:t xml:space="preserve">advise the council in relation to the functions of a local government under this Act and other written laws; </w:t>
      </w:r>
    </w:p>
    <w:p w14:paraId="73DE2C09" w14:textId="308D2E59" w:rsidR="001547C1" w:rsidRPr="001547C1" w:rsidRDefault="001547C1" w:rsidP="00AC131F">
      <w:pPr>
        <w:pStyle w:val="BodyText-nospacebelow"/>
        <w:numPr>
          <w:ilvl w:val="0"/>
          <w:numId w:val="9"/>
        </w:numPr>
        <w:jc w:val="both"/>
      </w:pPr>
      <w:r w:rsidRPr="001547C1">
        <w:t xml:space="preserve">ensure that advice and information is available to the council so that informed decisions can be made; </w:t>
      </w:r>
    </w:p>
    <w:p w14:paraId="2D4C5C84" w14:textId="4320B123" w:rsidR="001547C1" w:rsidRPr="001547C1" w:rsidRDefault="001547C1" w:rsidP="00AC131F">
      <w:pPr>
        <w:pStyle w:val="BodyText-nospacebelow"/>
        <w:numPr>
          <w:ilvl w:val="0"/>
          <w:numId w:val="9"/>
        </w:numPr>
        <w:jc w:val="both"/>
      </w:pPr>
      <w:r w:rsidRPr="001547C1">
        <w:t xml:space="preserve">cause council decisions to be implemented; </w:t>
      </w:r>
    </w:p>
    <w:p w14:paraId="6586088C" w14:textId="58E9F137" w:rsidR="001547C1" w:rsidRPr="001547C1" w:rsidRDefault="001547C1" w:rsidP="00AC131F">
      <w:pPr>
        <w:pStyle w:val="BodyText-nospacebelow"/>
        <w:numPr>
          <w:ilvl w:val="0"/>
          <w:numId w:val="9"/>
        </w:numPr>
        <w:jc w:val="both"/>
      </w:pPr>
      <w:r w:rsidRPr="001547C1">
        <w:t xml:space="preserve">manage the day to day operations of the local government; </w:t>
      </w:r>
    </w:p>
    <w:p w14:paraId="6202BF78" w14:textId="5E3F6740" w:rsidR="001547C1" w:rsidRPr="001547C1" w:rsidRDefault="001547C1" w:rsidP="00AC131F">
      <w:pPr>
        <w:pStyle w:val="BodyText-nospacebelow"/>
        <w:numPr>
          <w:ilvl w:val="0"/>
          <w:numId w:val="9"/>
        </w:numPr>
        <w:jc w:val="both"/>
      </w:pPr>
      <w:r w:rsidRPr="001547C1">
        <w:t xml:space="preserve">liaise with the mayor or president on the local government’s affairs and the performance of the local government’s functions; </w:t>
      </w:r>
    </w:p>
    <w:p w14:paraId="1E784BEB" w14:textId="77777777" w:rsidR="001547C1" w:rsidRPr="001547C1" w:rsidRDefault="001547C1" w:rsidP="00AC131F">
      <w:pPr>
        <w:pStyle w:val="BodyText-nospacebelow"/>
        <w:numPr>
          <w:ilvl w:val="0"/>
          <w:numId w:val="9"/>
        </w:numPr>
        <w:jc w:val="both"/>
      </w:pPr>
      <w:r w:rsidRPr="001547C1">
        <w:t xml:space="preserve">speak on behalf of the local government if the mayor or president agrees;  </w:t>
      </w:r>
    </w:p>
    <w:p w14:paraId="08052A60" w14:textId="4F38AE51" w:rsidR="001547C1" w:rsidRPr="001547C1" w:rsidRDefault="001547C1" w:rsidP="00AC131F">
      <w:pPr>
        <w:pStyle w:val="BodyText-nospacebelow"/>
        <w:numPr>
          <w:ilvl w:val="0"/>
          <w:numId w:val="9"/>
        </w:numPr>
        <w:jc w:val="both"/>
      </w:pPr>
      <w:r w:rsidRPr="001547C1">
        <w:t>be responsible for the employment, management</w:t>
      </w:r>
      <w:r w:rsidR="006139C9">
        <w:t>,</w:t>
      </w:r>
      <w:r w:rsidRPr="001547C1">
        <w:t xml:space="preserve"> supervision, direction and dismissal of other employees; </w:t>
      </w:r>
    </w:p>
    <w:p w14:paraId="49375A99" w14:textId="604177FA" w:rsidR="001547C1" w:rsidRPr="001547C1" w:rsidRDefault="001547C1" w:rsidP="00AC131F">
      <w:pPr>
        <w:pStyle w:val="BodyText-nospacebelow"/>
        <w:numPr>
          <w:ilvl w:val="0"/>
          <w:numId w:val="9"/>
        </w:numPr>
        <w:jc w:val="both"/>
      </w:pPr>
      <w:r w:rsidRPr="001547C1">
        <w:t>ensure that records and documents of the local government are properly kept for the purposes of th</w:t>
      </w:r>
      <w:r w:rsidR="00B36904">
        <w:t>e</w:t>
      </w:r>
      <w:r w:rsidRPr="001547C1">
        <w:t xml:space="preserve"> Act and any other written law; and </w:t>
      </w:r>
    </w:p>
    <w:p w14:paraId="6B9B827C" w14:textId="77777777" w:rsidR="001547C1" w:rsidRDefault="001547C1" w:rsidP="00AC131F">
      <w:pPr>
        <w:pStyle w:val="BodyText-nospacebelow"/>
        <w:numPr>
          <w:ilvl w:val="0"/>
          <w:numId w:val="9"/>
        </w:numPr>
        <w:jc w:val="both"/>
      </w:pPr>
      <w:r w:rsidRPr="001547C1">
        <w:t>perform any other function specified or delegated by the local government or imposed under th</w:t>
      </w:r>
      <w:r w:rsidR="00B36904">
        <w:t>e</w:t>
      </w:r>
      <w:r w:rsidRPr="001547C1">
        <w:t xml:space="preserve"> Act or any other written law as a function to be performed by the CEO. </w:t>
      </w:r>
    </w:p>
    <w:p w14:paraId="47E9C642" w14:textId="77777777" w:rsidR="004A0642" w:rsidRPr="001547C1" w:rsidRDefault="004A0642" w:rsidP="00AC131F">
      <w:pPr>
        <w:pStyle w:val="BodyText-nospacebelow"/>
        <w:ind w:left="720"/>
        <w:jc w:val="both"/>
      </w:pPr>
    </w:p>
    <w:p w14:paraId="6E67AB83" w14:textId="77777777" w:rsidR="001547C1" w:rsidRDefault="001547C1" w:rsidP="00AC131F">
      <w:pPr>
        <w:pStyle w:val="BodyText-nospacebelow"/>
        <w:jc w:val="both"/>
      </w:pPr>
      <w:r w:rsidRPr="001547C1">
        <w:t>Despite th</w:t>
      </w:r>
      <w:r w:rsidR="006139C9">
        <w:t>is</w:t>
      </w:r>
      <w:r w:rsidRPr="001547C1">
        <w:t>, tension still arises</w:t>
      </w:r>
      <w:r w:rsidRPr="001547C1" w:rsidDel="00802529">
        <w:t xml:space="preserve"> </w:t>
      </w:r>
      <w:r w:rsidRPr="001547C1">
        <w:t>within local governments</w:t>
      </w:r>
      <w:r w:rsidR="006139C9">
        <w:t>.</w:t>
      </w:r>
      <w:r w:rsidRPr="001547C1">
        <w:t xml:space="preserve"> </w:t>
      </w:r>
      <w:r w:rsidR="006139C9">
        <w:t xml:space="preserve"> This</w:t>
      </w:r>
      <w:r w:rsidRPr="001547C1">
        <w:t xml:space="preserve"> </w:t>
      </w:r>
      <w:r w:rsidR="006139C9">
        <w:t>appear</w:t>
      </w:r>
      <w:r w:rsidR="00112717">
        <w:t>s</w:t>
      </w:r>
      <w:r w:rsidR="006139C9">
        <w:t xml:space="preserve"> to be due to</w:t>
      </w:r>
      <w:r w:rsidRPr="001547C1">
        <w:t xml:space="preserve"> a lack of understanding of</w:t>
      </w:r>
      <w:r w:rsidRPr="001547C1" w:rsidDel="00275B46">
        <w:t xml:space="preserve"> </w:t>
      </w:r>
      <w:r w:rsidR="008B26A1">
        <w:t xml:space="preserve">the </w:t>
      </w:r>
      <w:r w:rsidR="008D4152">
        <w:t>separation of powers between</w:t>
      </w:r>
      <w:r w:rsidR="008B26A1">
        <w:t xml:space="preserve"> the </w:t>
      </w:r>
      <w:r w:rsidRPr="001547C1">
        <w:t>council and the administration</w:t>
      </w:r>
      <w:r w:rsidR="00B36904">
        <w:t>,</w:t>
      </w:r>
      <w:r w:rsidRPr="001547C1">
        <w:t xml:space="preserve"> or deliberate attempt</w:t>
      </w:r>
      <w:r w:rsidR="00B36904">
        <w:t>s</w:t>
      </w:r>
      <w:r w:rsidRPr="001547C1">
        <w:t xml:space="preserve"> to act outside </w:t>
      </w:r>
      <w:r w:rsidR="008D4152">
        <w:t>this separation</w:t>
      </w:r>
      <w:r w:rsidRPr="001547C1">
        <w:t xml:space="preserve">. </w:t>
      </w:r>
    </w:p>
    <w:p w14:paraId="1A2BC31E" w14:textId="77777777" w:rsidR="008E495F" w:rsidRPr="001547C1" w:rsidRDefault="008E495F" w:rsidP="00AC131F">
      <w:pPr>
        <w:pStyle w:val="BodyText-nospacebelow"/>
        <w:jc w:val="both"/>
      </w:pPr>
    </w:p>
    <w:p w14:paraId="1BE91990" w14:textId="77777777" w:rsidR="004A0642" w:rsidRDefault="001547C1" w:rsidP="00AC131F">
      <w:pPr>
        <w:pStyle w:val="BodyText-nospacebelow"/>
        <w:jc w:val="both"/>
      </w:pPr>
      <w:r w:rsidRPr="001547C1">
        <w:t xml:space="preserve">The diagram below sets outs how the </w:t>
      </w:r>
      <w:r w:rsidR="007817C6">
        <w:t>Department</w:t>
      </w:r>
      <w:r w:rsidRPr="001547C1">
        <w:t xml:space="preserve"> believes an effective relationship between a local government council and the administration should operate:</w:t>
      </w:r>
    </w:p>
    <w:p w14:paraId="58865D9C" w14:textId="77777777" w:rsidR="004A0642" w:rsidRDefault="004A0642" w:rsidP="001547C1">
      <w:pPr>
        <w:pStyle w:val="BodyText-nospacebelow"/>
      </w:pPr>
    </w:p>
    <w:p w14:paraId="35C221A2" w14:textId="77777777" w:rsidR="001547C1" w:rsidRPr="001547C1" w:rsidRDefault="00B337CC" w:rsidP="008E495F">
      <w:pPr>
        <w:pStyle w:val="BodyText-nospacebelow"/>
        <w:jc w:val="center"/>
      </w:pPr>
      <w:r>
        <w:rPr>
          <w:noProof/>
          <w:lang w:eastAsia="en-AU"/>
        </w:rPr>
        <w:lastRenderedPageBreak/>
        <w:drawing>
          <wp:inline distT="0" distB="0" distL="0" distR="0" wp14:anchorId="12D5EF09" wp14:editId="3AC2AC57">
            <wp:extent cx="3352809" cy="2488557"/>
            <wp:effectExtent l="0" t="0" r="0" b="7620"/>
            <wp:docPr id="3" name="Picture 3" descr="The CEO presents a report to the council. The council considers the report and makes a decision. The decision is used to form policy and plans. The policy and plans determine what actions the CEO must complete. The CEO delegates his actions to the staff. The staff complete their tasks. When needed, the staff prepare reports for the CEO. The CEO presents the reports to council and the process begins again." title="Diagram of separation of p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parationGraphic.jpg"/>
                    <pic:cNvPicPr/>
                  </pic:nvPicPr>
                  <pic:blipFill>
                    <a:blip r:embed="rId16">
                      <a:extLst>
                        <a:ext uri="{28A0092B-C50C-407E-A947-70E740481C1C}">
                          <a14:useLocalDpi xmlns:a14="http://schemas.microsoft.com/office/drawing/2010/main" val="0"/>
                        </a:ext>
                      </a:extLst>
                    </a:blip>
                    <a:stretch>
                      <a:fillRect/>
                    </a:stretch>
                  </pic:blipFill>
                  <pic:spPr>
                    <a:xfrm>
                      <a:off x="0" y="0"/>
                      <a:ext cx="3369582" cy="2501006"/>
                    </a:xfrm>
                    <a:prstGeom prst="rect">
                      <a:avLst/>
                    </a:prstGeom>
                  </pic:spPr>
                </pic:pic>
              </a:graphicData>
            </a:graphic>
          </wp:inline>
        </w:drawing>
      </w:r>
    </w:p>
    <w:p w14:paraId="73911645" w14:textId="77777777" w:rsidR="001547C1" w:rsidRDefault="001547C1" w:rsidP="00AC131F">
      <w:pPr>
        <w:pStyle w:val="BodyText-nospacebelow"/>
        <w:jc w:val="both"/>
      </w:pPr>
      <w:r w:rsidRPr="001547C1">
        <w:t>While it is expected that training and education would clarify the role</w:t>
      </w:r>
      <w:r w:rsidR="008B26A1">
        <w:t>s</w:t>
      </w:r>
      <w:r w:rsidRPr="001547C1">
        <w:t xml:space="preserve"> of a council and the administration, the roles as currently defined are drafted </w:t>
      </w:r>
      <w:r w:rsidR="008B26A1">
        <w:t>broadly</w:t>
      </w:r>
      <w:r w:rsidR="006139C9">
        <w:t>.  V</w:t>
      </w:r>
      <w:r w:rsidRPr="001547C1">
        <w:t xml:space="preserve">ery little detail </w:t>
      </w:r>
      <w:r w:rsidR="006139C9">
        <w:t xml:space="preserve">is provided </w:t>
      </w:r>
      <w:r w:rsidRPr="001547C1">
        <w:t xml:space="preserve">about the tasks that should be undertaken by </w:t>
      </w:r>
      <w:r w:rsidR="006139C9">
        <w:t xml:space="preserve">the </w:t>
      </w:r>
      <w:r w:rsidRPr="001547C1">
        <w:t xml:space="preserve">council and the CEO. </w:t>
      </w:r>
    </w:p>
    <w:p w14:paraId="20104DC7" w14:textId="77777777" w:rsidR="00DE00DA" w:rsidRDefault="00DE00DA" w:rsidP="001547C1">
      <w:pPr>
        <w:pStyle w:val="BodyText-nospacebelow"/>
      </w:pPr>
    </w:p>
    <w:tbl>
      <w:tblPr>
        <w:tblStyle w:val="DLGCTable-Data"/>
        <w:tblW w:w="0" w:type="auto"/>
        <w:tblLook w:val="04A0" w:firstRow="1" w:lastRow="0" w:firstColumn="1" w:lastColumn="0" w:noHBand="0" w:noVBand="1"/>
      </w:tblPr>
      <w:tblGrid>
        <w:gridCol w:w="9016"/>
      </w:tblGrid>
      <w:tr w:rsidR="00DE00DA" w14:paraId="7E1E0955" w14:textId="77777777" w:rsidTr="007B5D94">
        <w:trPr>
          <w:cnfStyle w:val="100000000000" w:firstRow="1" w:lastRow="0" w:firstColumn="0" w:lastColumn="0" w:oddVBand="0" w:evenVBand="0" w:oddHBand="0" w:evenHBand="0" w:firstRowFirstColumn="0" w:firstRowLastColumn="0" w:lastRowFirstColumn="0" w:lastRowLastColumn="0"/>
        </w:trPr>
        <w:tc>
          <w:tcPr>
            <w:tcW w:w="9016" w:type="dxa"/>
          </w:tcPr>
          <w:p w14:paraId="2C8496BF" w14:textId="77777777" w:rsidR="00DE00DA" w:rsidRPr="00DE00DA" w:rsidRDefault="00DE00DA" w:rsidP="00DE00DA">
            <w:pPr>
              <w:pStyle w:val="Caption"/>
              <w:rPr>
                <w:b/>
              </w:rPr>
            </w:pPr>
            <w:r w:rsidRPr="00DE00DA">
              <w:rPr>
                <w:b/>
              </w:rPr>
              <w:t>Delegations</w:t>
            </w:r>
          </w:p>
          <w:p w14:paraId="7597F3DA" w14:textId="77777777" w:rsidR="00DE00DA" w:rsidRPr="00DE00DA" w:rsidRDefault="00DE00DA" w:rsidP="00AC131F">
            <w:pPr>
              <w:pStyle w:val="BodyText-nospacebelow"/>
              <w:jc w:val="both"/>
              <w:rPr>
                <w:b w:val="0"/>
              </w:rPr>
            </w:pPr>
            <w:r w:rsidRPr="00DE00DA">
              <w:rPr>
                <w:b w:val="0"/>
              </w:rPr>
              <w:t>Councils may delegate certain functions and powers to the CEO</w:t>
            </w:r>
            <w:r w:rsidR="008B26A1">
              <w:rPr>
                <w:b w:val="0"/>
              </w:rPr>
              <w:t xml:space="preserve"> or senior staff</w:t>
            </w:r>
            <w:r w:rsidRPr="00DE00DA">
              <w:rPr>
                <w:b w:val="0"/>
              </w:rPr>
              <w:t xml:space="preserve">.  Delegations are an important tool for local governments as they mean that many matters do not need to be considered by council, </w:t>
            </w:r>
            <w:r w:rsidR="008B26A1">
              <w:rPr>
                <w:b w:val="0"/>
              </w:rPr>
              <w:t>which saves time</w:t>
            </w:r>
            <w:r w:rsidRPr="00DE00DA">
              <w:rPr>
                <w:b w:val="0"/>
              </w:rPr>
              <w:t>.</w:t>
            </w:r>
          </w:p>
          <w:p w14:paraId="6172E38F" w14:textId="77777777" w:rsidR="008D4152" w:rsidRDefault="008D4152" w:rsidP="00AC131F">
            <w:pPr>
              <w:pStyle w:val="BodyText-nospacebelow"/>
              <w:jc w:val="both"/>
              <w:rPr>
                <w:b w:val="0"/>
              </w:rPr>
            </w:pPr>
            <w:r>
              <w:rPr>
                <w:b w:val="0"/>
              </w:rPr>
              <w:t>Different l</w:t>
            </w:r>
            <w:r w:rsidRPr="00DE00DA">
              <w:rPr>
                <w:b w:val="0"/>
              </w:rPr>
              <w:t xml:space="preserve">ocal governments delegate </w:t>
            </w:r>
            <w:r>
              <w:rPr>
                <w:b w:val="0"/>
              </w:rPr>
              <w:t xml:space="preserve">different </w:t>
            </w:r>
            <w:r w:rsidRPr="00DE00DA">
              <w:rPr>
                <w:b w:val="0"/>
              </w:rPr>
              <w:t>powers</w:t>
            </w:r>
            <w:r>
              <w:rPr>
                <w:b w:val="0"/>
              </w:rPr>
              <w:t>,</w:t>
            </w:r>
            <w:r w:rsidRPr="00DE00DA">
              <w:rPr>
                <w:b w:val="0"/>
              </w:rPr>
              <w:t xml:space="preserve"> </w:t>
            </w:r>
            <w:r>
              <w:rPr>
                <w:b w:val="0"/>
              </w:rPr>
              <w:t>with some only delegating very limited powers to the CEO, while o</w:t>
            </w:r>
            <w:r w:rsidRPr="00DE00DA">
              <w:rPr>
                <w:b w:val="0"/>
              </w:rPr>
              <w:t>ther local governments d</w:t>
            </w:r>
            <w:r>
              <w:rPr>
                <w:b w:val="0"/>
              </w:rPr>
              <w:t>elegate</w:t>
            </w:r>
            <w:r w:rsidRPr="00DE00DA">
              <w:rPr>
                <w:b w:val="0"/>
              </w:rPr>
              <w:t xml:space="preserve"> </w:t>
            </w:r>
            <w:r>
              <w:rPr>
                <w:b w:val="0"/>
              </w:rPr>
              <w:t>everything, retaining only</w:t>
            </w:r>
            <w:r w:rsidRPr="00DE00DA">
              <w:rPr>
                <w:b w:val="0"/>
              </w:rPr>
              <w:t xml:space="preserve"> specific, stated powers</w:t>
            </w:r>
            <w:r>
              <w:rPr>
                <w:b w:val="0"/>
              </w:rPr>
              <w:t>.</w:t>
            </w:r>
            <w:r w:rsidRPr="00DE00DA">
              <w:rPr>
                <w:b w:val="0"/>
              </w:rPr>
              <w:t xml:space="preserve"> </w:t>
            </w:r>
          </w:p>
          <w:p w14:paraId="0F90DE69" w14:textId="77777777" w:rsidR="00DE00DA" w:rsidRPr="00DE00DA" w:rsidRDefault="00DE00DA" w:rsidP="00AC131F">
            <w:pPr>
              <w:pStyle w:val="BodyText-nospacebelow"/>
              <w:jc w:val="both"/>
              <w:rPr>
                <w:b w:val="0"/>
              </w:rPr>
            </w:pPr>
            <w:r w:rsidRPr="00DE00DA">
              <w:rPr>
                <w:b w:val="0"/>
              </w:rPr>
              <w:t>Delegations are occasionally a point of contention between council and administration</w:t>
            </w:r>
            <w:r w:rsidR="008D4152">
              <w:rPr>
                <w:b w:val="0"/>
              </w:rPr>
              <w:t>, and t</w:t>
            </w:r>
            <w:r w:rsidR="008D4152" w:rsidRPr="00DE00DA">
              <w:rPr>
                <w:b w:val="0"/>
              </w:rPr>
              <w:t xml:space="preserve">he decision whether to delegate certain powers is sometimes viewed as a test of </w:t>
            </w:r>
            <w:r w:rsidR="008D4152">
              <w:rPr>
                <w:b w:val="0"/>
              </w:rPr>
              <w:t xml:space="preserve">the </w:t>
            </w:r>
            <w:r w:rsidR="008D4152" w:rsidRPr="00DE00DA">
              <w:rPr>
                <w:b w:val="0"/>
              </w:rPr>
              <w:t>council</w:t>
            </w:r>
            <w:r w:rsidR="008D4152">
              <w:rPr>
                <w:b w:val="0"/>
              </w:rPr>
              <w:t>’s</w:t>
            </w:r>
            <w:r w:rsidR="008D4152" w:rsidRPr="00DE00DA">
              <w:rPr>
                <w:b w:val="0"/>
              </w:rPr>
              <w:t xml:space="preserve"> confidence in the CEO.  </w:t>
            </w:r>
          </w:p>
          <w:p w14:paraId="43B1267B" w14:textId="77777777" w:rsidR="00DE00DA" w:rsidRDefault="00DE00DA" w:rsidP="001547C1">
            <w:pPr>
              <w:pStyle w:val="BodyText-nospacebelow"/>
            </w:pPr>
          </w:p>
        </w:tc>
      </w:tr>
    </w:tbl>
    <w:p w14:paraId="6158FB1C" w14:textId="77777777" w:rsidR="001547C1" w:rsidRPr="001547C1" w:rsidRDefault="001547C1" w:rsidP="00DE00DA">
      <w:pPr>
        <w:pStyle w:val="Heading2"/>
      </w:pPr>
      <w:bookmarkStart w:id="103" w:name="_Toc492368869"/>
      <w:bookmarkStart w:id="104" w:name="_Toc492386597"/>
      <w:bookmarkStart w:id="105" w:name="_Toc492468839"/>
      <w:bookmarkStart w:id="106" w:name="_Toc492470514"/>
      <w:bookmarkStart w:id="107" w:name="_Toc492471194"/>
      <w:bookmarkStart w:id="108" w:name="_Toc492471319"/>
      <w:bookmarkStart w:id="109" w:name="_Toc493746610"/>
      <w:bookmarkStart w:id="110" w:name="_Toc493768826"/>
      <w:bookmarkStart w:id="111" w:name="_Toc493859898"/>
      <w:bookmarkStart w:id="112" w:name="_Toc495491799"/>
      <w:bookmarkStart w:id="113" w:name="_Toc495497579"/>
      <w:bookmarkStart w:id="114" w:name="_Toc495671427"/>
      <w:bookmarkStart w:id="115" w:name="_Toc495676025"/>
      <w:bookmarkStart w:id="116" w:name="_Toc495678320"/>
      <w:bookmarkStart w:id="117" w:name="_Toc495998318"/>
      <w:bookmarkStart w:id="118" w:name="_Toc497741790"/>
      <w:bookmarkStart w:id="119" w:name="_Toc491097221"/>
      <w:bookmarkStart w:id="120" w:name="_Toc491097611"/>
      <w:bookmarkStart w:id="121" w:name="_Toc491857066"/>
      <w:bookmarkStart w:id="122" w:name="_Toc491872685"/>
      <w:bookmarkStart w:id="123" w:name="_Toc491873619"/>
      <w:bookmarkStart w:id="124" w:name="_Toc491934247"/>
      <w:r w:rsidRPr="001547C1">
        <w:t>Across Australia</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1547C1">
        <w:t xml:space="preserve"> </w:t>
      </w:r>
      <w:bookmarkEnd w:id="119"/>
      <w:bookmarkEnd w:id="120"/>
      <w:bookmarkEnd w:id="121"/>
      <w:bookmarkEnd w:id="122"/>
      <w:bookmarkEnd w:id="123"/>
      <w:bookmarkEnd w:id="124"/>
    </w:p>
    <w:p w14:paraId="2DA65D7B" w14:textId="77777777" w:rsidR="001547C1" w:rsidRDefault="001547C1" w:rsidP="00AC131F">
      <w:pPr>
        <w:pStyle w:val="BodyText-nospacebelow"/>
        <w:jc w:val="both"/>
      </w:pPr>
      <w:r w:rsidRPr="001547C1">
        <w:t>Each Australian jurisdiction has a broadly similar set of roles</w:t>
      </w:r>
      <w:r w:rsidR="008D4152">
        <w:t xml:space="preserve"> and </w:t>
      </w:r>
      <w:r w:rsidRPr="001547C1">
        <w:t xml:space="preserve">responsibilities for their members of council. </w:t>
      </w:r>
      <w:r w:rsidR="006139C9">
        <w:t xml:space="preserve"> The table below highlights the differences.</w:t>
      </w:r>
    </w:p>
    <w:p w14:paraId="625CF845" w14:textId="77777777" w:rsidR="00DE00DA" w:rsidRPr="001547C1" w:rsidRDefault="00DE00DA" w:rsidP="001547C1">
      <w:pPr>
        <w:pStyle w:val="BodyText-nospacebelow"/>
      </w:pPr>
    </w:p>
    <w:tbl>
      <w:tblPr>
        <w:tblStyle w:val="DLGCTable-Data"/>
        <w:tblW w:w="8931" w:type="dxa"/>
        <w:tblLayout w:type="fixed"/>
        <w:tblLook w:val="04A0" w:firstRow="1" w:lastRow="0" w:firstColumn="1" w:lastColumn="0" w:noHBand="0" w:noVBand="1"/>
      </w:tblPr>
      <w:tblGrid>
        <w:gridCol w:w="1980"/>
        <w:gridCol w:w="6951"/>
      </w:tblGrid>
      <w:tr w:rsidR="001547C1" w:rsidRPr="001547C1" w14:paraId="59ABAEE2" w14:textId="77777777" w:rsidTr="00B776D8">
        <w:trPr>
          <w:cnfStyle w:val="100000000000" w:firstRow="1" w:lastRow="0" w:firstColumn="0" w:lastColumn="0" w:oddVBand="0" w:evenVBand="0" w:oddHBand="0" w:evenHBand="0" w:firstRowFirstColumn="0" w:firstRowLastColumn="0" w:lastRowFirstColumn="0" w:lastRowLastColumn="0"/>
          <w:trHeight w:val="796"/>
        </w:trPr>
        <w:tc>
          <w:tcPr>
            <w:tcW w:w="1980" w:type="dxa"/>
          </w:tcPr>
          <w:p w14:paraId="23AD5EF0" w14:textId="77777777" w:rsidR="001547C1" w:rsidRPr="001547C1" w:rsidRDefault="001547C1" w:rsidP="001547C1">
            <w:pPr>
              <w:pStyle w:val="BodyText-nospacebelow"/>
            </w:pPr>
            <w:r w:rsidRPr="001547C1">
              <w:t>Jurisdiction</w:t>
            </w:r>
          </w:p>
        </w:tc>
        <w:tc>
          <w:tcPr>
            <w:tcW w:w="6951" w:type="dxa"/>
          </w:tcPr>
          <w:p w14:paraId="4D1FD7EE" w14:textId="4A340AEA" w:rsidR="001547C1" w:rsidRPr="001547C1" w:rsidRDefault="006139C9" w:rsidP="00332EB0">
            <w:pPr>
              <w:pStyle w:val="BodyText-nospacebelow"/>
            </w:pPr>
            <w:r>
              <w:t>Additional p</w:t>
            </w:r>
            <w:r w:rsidR="001547C1" w:rsidRPr="001547C1">
              <w:t xml:space="preserve">rovisions relating to </w:t>
            </w:r>
            <w:r w:rsidR="00246B9A">
              <w:t>elected member</w:t>
            </w:r>
            <w:r w:rsidR="001547C1" w:rsidRPr="001547C1">
              <w:t>s</w:t>
            </w:r>
            <w:r>
              <w:t>, not included in the W</w:t>
            </w:r>
            <w:r w:rsidR="00332EB0">
              <w:t>estern Australian</w:t>
            </w:r>
            <w:r>
              <w:t xml:space="preserve"> legislation</w:t>
            </w:r>
          </w:p>
        </w:tc>
      </w:tr>
      <w:tr w:rsidR="001547C1" w:rsidRPr="001547C1" w14:paraId="0D585451" w14:textId="77777777" w:rsidTr="00B776D8">
        <w:trPr>
          <w:trHeight w:val="481"/>
        </w:trPr>
        <w:tc>
          <w:tcPr>
            <w:tcW w:w="1980" w:type="dxa"/>
          </w:tcPr>
          <w:p w14:paraId="2A6103BF" w14:textId="77777777" w:rsidR="001547C1" w:rsidRPr="001547C1" w:rsidRDefault="001547C1" w:rsidP="001547C1">
            <w:pPr>
              <w:pStyle w:val="BodyText-nospacebelow"/>
            </w:pPr>
            <w:r w:rsidRPr="001547C1">
              <w:t>New South Wales</w:t>
            </w:r>
          </w:p>
        </w:tc>
        <w:tc>
          <w:tcPr>
            <w:tcW w:w="6951" w:type="dxa"/>
          </w:tcPr>
          <w:p w14:paraId="66D98296" w14:textId="77777777" w:rsidR="001547C1" w:rsidRPr="001547C1" w:rsidRDefault="009C1DE4" w:rsidP="00124F78">
            <w:pPr>
              <w:pStyle w:val="BodyText-nospacebelow"/>
              <w:numPr>
                <w:ilvl w:val="0"/>
                <w:numId w:val="10"/>
              </w:numPr>
            </w:pPr>
            <w:r>
              <w:t xml:space="preserve">To </w:t>
            </w:r>
            <w:r w:rsidR="001547C1" w:rsidRPr="001547C1">
              <w:t>participate in the development of the integrated planning and reporting framework</w:t>
            </w:r>
          </w:p>
          <w:p w14:paraId="4173AA48" w14:textId="77777777" w:rsidR="001547C1" w:rsidRPr="001547C1" w:rsidRDefault="009C1DE4" w:rsidP="00124F78">
            <w:pPr>
              <w:pStyle w:val="BodyText-nospacebelow"/>
              <w:numPr>
                <w:ilvl w:val="0"/>
                <w:numId w:val="10"/>
              </w:numPr>
              <w:spacing w:after="40"/>
              <w:ind w:left="714" w:hanging="357"/>
            </w:pPr>
            <w:r>
              <w:lastRenderedPageBreak/>
              <w:t xml:space="preserve">To </w:t>
            </w:r>
            <w:r w:rsidR="001547C1" w:rsidRPr="001547C1">
              <w:t>make all reasonable efforts to acquire and maintain the skills necessary to perform the role of a councillor</w:t>
            </w:r>
          </w:p>
        </w:tc>
      </w:tr>
      <w:tr w:rsidR="001547C1" w:rsidRPr="001547C1" w14:paraId="236981BB" w14:textId="77777777" w:rsidTr="00B776D8">
        <w:trPr>
          <w:trHeight w:val="481"/>
        </w:trPr>
        <w:tc>
          <w:tcPr>
            <w:tcW w:w="1980" w:type="dxa"/>
          </w:tcPr>
          <w:p w14:paraId="10A757D5" w14:textId="77777777" w:rsidR="001547C1" w:rsidRPr="001547C1" w:rsidRDefault="001547C1" w:rsidP="001547C1">
            <w:pPr>
              <w:pStyle w:val="BodyText-nospacebelow"/>
            </w:pPr>
            <w:r w:rsidRPr="001547C1">
              <w:lastRenderedPageBreak/>
              <w:t xml:space="preserve">Victoria </w:t>
            </w:r>
          </w:p>
        </w:tc>
        <w:tc>
          <w:tcPr>
            <w:tcW w:w="6951" w:type="dxa"/>
          </w:tcPr>
          <w:p w14:paraId="7EE146E3" w14:textId="77777777" w:rsidR="001547C1" w:rsidRPr="001547C1" w:rsidRDefault="001547C1" w:rsidP="00124F78">
            <w:pPr>
              <w:pStyle w:val="BodyText-nospacebelow"/>
              <w:numPr>
                <w:ilvl w:val="0"/>
                <w:numId w:val="12"/>
              </w:numPr>
              <w:spacing w:after="40"/>
              <w:ind w:left="714" w:hanging="357"/>
            </w:pPr>
            <w:r w:rsidRPr="001547C1">
              <w:t xml:space="preserve">The role of a councillor does not include the performance of any functions that are specified as functions of </w:t>
            </w:r>
            <w:r w:rsidR="009C1DE4">
              <w:t xml:space="preserve">the </w:t>
            </w:r>
            <w:r w:rsidRPr="001547C1">
              <w:t>CEO</w:t>
            </w:r>
          </w:p>
        </w:tc>
      </w:tr>
      <w:tr w:rsidR="001547C1" w:rsidRPr="001547C1" w14:paraId="5DB6D28B" w14:textId="77777777" w:rsidTr="00B776D8">
        <w:trPr>
          <w:trHeight w:val="481"/>
        </w:trPr>
        <w:tc>
          <w:tcPr>
            <w:tcW w:w="1980" w:type="dxa"/>
          </w:tcPr>
          <w:p w14:paraId="21A2A1CD" w14:textId="77777777" w:rsidR="001547C1" w:rsidRPr="001547C1" w:rsidRDefault="001547C1" w:rsidP="001547C1">
            <w:pPr>
              <w:pStyle w:val="BodyText-nospacebelow"/>
            </w:pPr>
            <w:r w:rsidRPr="001547C1">
              <w:t>Queensland</w:t>
            </w:r>
          </w:p>
        </w:tc>
        <w:tc>
          <w:tcPr>
            <w:tcW w:w="6951" w:type="dxa"/>
          </w:tcPr>
          <w:p w14:paraId="7725F828" w14:textId="788818C0" w:rsidR="001547C1" w:rsidRPr="001547C1" w:rsidRDefault="009C1DE4" w:rsidP="00124F78">
            <w:pPr>
              <w:pStyle w:val="BodyText-nospacebelow"/>
              <w:numPr>
                <w:ilvl w:val="0"/>
                <w:numId w:val="11"/>
              </w:numPr>
            </w:pPr>
            <w:r>
              <w:t xml:space="preserve">To </w:t>
            </w:r>
            <w:r w:rsidR="001547C1" w:rsidRPr="001547C1">
              <w:t>participat</w:t>
            </w:r>
            <w:r>
              <w:t xml:space="preserve">e </w:t>
            </w:r>
            <w:r w:rsidR="001547C1" w:rsidRPr="001547C1">
              <w:t>in council meetings, policy development, and decision-making, for the benefit of the local government area</w:t>
            </w:r>
          </w:p>
          <w:p w14:paraId="06AE09B3" w14:textId="77777777" w:rsidR="001547C1" w:rsidRPr="001547C1" w:rsidRDefault="001547C1" w:rsidP="00124F78">
            <w:pPr>
              <w:pStyle w:val="BodyText-nospacebelow"/>
              <w:numPr>
                <w:ilvl w:val="0"/>
                <w:numId w:val="11"/>
              </w:numPr>
              <w:spacing w:after="40"/>
              <w:ind w:left="714" w:hanging="357"/>
            </w:pPr>
            <w:r w:rsidRPr="001547C1">
              <w:t>A member of a council has no direct authority over an employee of the council with respect to the way in which the employee performs his or her duties</w:t>
            </w:r>
          </w:p>
        </w:tc>
      </w:tr>
      <w:tr w:rsidR="001547C1" w:rsidRPr="001547C1" w14:paraId="0543A8B7" w14:textId="77777777" w:rsidTr="00B776D8">
        <w:trPr>
          <w:trHeight w:val="481"/>
        </w:trPr>
        <w:tc>
          <w:tcPr>
            <w:tcW w:w="1980" w:type="dxa"/>
          </w:tcPr>
          <w:p w14:paraId="49B81961" w14:textId="77777777" w:rsidR="001547C1" w:rsidRPr="001547C1" w:rsidRDefault="001547C1" w:rsidP="00FC39D8">
            <w:pPr>
              <w:pStyle w:val="BodyText-nospacebelow"/>
              <w:spacing w:after="240"/>
            </w:pPr>
            <w:r w:rsidRPr="001547C1">
              <w:t>South Australia</w:t>
            </w:r>
          </w:p>
        </w:tc>
        <w:tc>
          <w:tcPr>
            <w:tcW w:w="6951" w:type="dxa"/>
          </w:tcPr>
          <w:p w14:paraId="36B273E2" w14:textId="674DB037" w:rsidR="001547C1" w:rsidRPr="001547C1" w:rsidRDefault="009C1DE4" w:rsidP="000B0F55">
            <w:pPr>
              <w:pStyle w:val="BodyText-nospacebelow"/>
              <w:numPr>
                <w:ilvl w:val="0"/>
                <w:numId w:val="13"/>
              </w:numPr>
              <w:spacing w:after="240"/>
            </w:pPr>
            <w:r>
              <w:t>T</w:t>
            </w:r>
            <w:r w:rsidR="001547C1" w:rsidRPr="001547C1">
              <w:t xml:space="preserve">o participate in the deliberations and civic activities of the council </w:t>
            </w:r>
          </w:p>
          <w:p w14:paraId="7714702D" w14:textId="5C1276A7" w:rsidR="001547C1" w:rsidRPr="001547C1" w:rsidRDefault="00E42FF4">
            <w:pPr>
              <w:pStyle w:val="BodyText-nospacebelow"/>
              <w:numPr>
                <w:ilvl w:val="0"/>
                <w:numId w:val="13"/>
              </w:numPr>
              <w:spacing w:after="240"/>
            </w:pPr>
            <w:r w:rsidRPr="001547C1">
              <w:t xml:space="preserve">To </w:t>
            </w:r>
            <w:r w:rsidR="001547C1" w:rsidRPr="001547C1">
              <w:t>keep the council’s objectives and policies under review to ensure that the</w:t>
            </w:r>
            <w:r w:rsidR="006139C9">
              <w:t>y are appropriate and effective</w:t>
            </w:r>
            <w:r w:rsidR="001547C1" w:rsidRPr="001547C1">
              <w:t xml:space="preserve"> </w:t>
            </w:r>
          </w:p>
          <w:p w14:paraId="66206EB3" w14:textId="0C749644" w:rsidR="001547C1" w:rsidRPr="001547C1" w:rsidRDefault="00E42FF4">
            <w:pPr>
              <w:pStyle w:val="BodyText-nospacebelow"/>
              <w:numPr>
                <w:ilvl w:val="0"/>
                <w:numId w:val="13"/>
              </w:numPr>
              <w:spacing w:after="240"/>
              <w:ind w:left="714" w:hanging="357"/>
            </w:pPr>
            <w:r w:rsidRPr="001547C1">
              <w:t xml:space="preserve">To </w:t>
            </w:r>
            <w:r w:rsidR="001547C1" w:rsidRPr="001547C1">
              <w:t xml:space="preserve">keep the council’s resource allocation, expenditure and activities, and the efficiency and effectiveness of its </w:t>
            </w:r>
            <w:r w:rsidR="006139C9">
              <w:t>service delivery, under review</w:t>
            </w:r>
          </w:p>
        </w:tc>
      </w:tr>
      <w:tr w:rsidR="001547C1" w:rsidRPr="001547C1" w14:paraId="0C3DB7F4" w14:textId="77777777" w:rsidTr="00B776D8">
        <w:trPr>
          <w:trHeight w:val="481"/>
        </w:trPr>
        <w:tc>
          <w:tcPr>
            <w:tcW w:w="1980" w:type="dxa"/>
          </w:tcPr>
          <w:p w14:paraId="0FAC263C" w14:textId="77777777" w:rsidR="001547C1" w:rsidRPr="001547C1" w:rsidRDefault="001547C1" w:rsidP="001547C1">
            <w:pPr>
              <w:pStyle w:val="BodyText-nospacebelow"/>
            </w:pPr>
            <w:r w:rsidRPr="001547C1">
              <w:t>Tasmania</w:t>
            </w:r>
          </w:p>
        </w:tc>
        <w:tc>
          <w:tcPr>
            <w:tcW w:w="6951" w:type="dxa"/>
          </w:tcPr>
          <w:p w14:paraId="5A4396A6" w14:textId="77777777" w:rsidR="001547C1" w:rsidRPr="001547C1" w:rsidRDefault="009C1DE4" w:rsidP="00124F78">
            <w:pPr>
              <w:pStyle w:val="BodyText-nospacebelow"/>
              <w:numPr>
                <w:ilvl w:val="0"/>
                <w:numId w:val="14"/>
              </w:numPr>
            </w:pPr>
            <w:r>
              <w:t xml:space="preserve">To </w:t>
            </w:r>
            <w:r w:rsidR="001547C1" w:rsidRPr="001547C1">
              <w:t xml:space="preserve">develop and monitor the implementation of strategic plans and budgets </w:t>
            </w:r>
          </w:p>
          <w:p w14:paraId="6DF749C0" w14:textId="72DD13F5" w:rsidR="001547C1" w:rsidRPr="001547C1" w:rsidRDefault="009C1DE4" w:rsidP="00124F78">
            <w:pPr>
              <w:pStyle w:val="BodyText-nospacebelow"/>
              <w:numPr>
                <w:ilvl w:val="0"/>
                <w:numId w:val="14"/>
              </w:numPr>
            </w:pPr>
            <w:r>
              <w:t xml:space="preserve">To </w:t>
            </w:r>
            <w:r w:rsidR="001547C1" w:rsidRPr="001547C1">
              <w:t>determine and monitor the application of policies, plans and programs for</w:t>
            </w:r>
            <w:r w:rsidR="009A7F5D">
              <w:t>:</w:t>
            </w:r>
          </w:p>
          <w:p w14:paraId="42D536B9" w14:textId="2653924B" w:rsidR="001547C1" w:rsidRPr="001547C1" w:rsidRDefault="001547C1" w:rsidP="00124F78">
            <w:pPr>
              <w:pStyle w:val="BodyText-nospacebelow"/>
              <w:numPr>
                <w:ilvl w:val="0"/>
                <w:numId w:val="16"/>
              </w:numPr>
            </w:pPr>
            <w:r w:rsidRPr="001547C1">
              <w:t>the efficient and effective provision of services and facilities</w:t>
            </w:r>
          </w:p>
          <w:p w14:paraId="08A1274F" w14:textId="3EB1EA8C" w:rsidR="001547C1" w:rsidRPr="001547C1" w:rsidRDefault="001547C1" w:rsidP="00124F78">
            <w:pPr>
              <w:pStyle w:val="BodyText-nospacebelow"/>
              <w:numPr>
                <w:ilvl w:val="0"/>
                <w:numId w:val="16"/>
              </w:numPr>
            </w:pPr>
            <w:r w:rsidRPr="001547C1">
              <w:t>the efficient and effective management of assets</w:t>
            </w:r>
          </w:p>
          <w:p w14:paraId="296DBBD8" w14:textId="77777777" w:rsidR="001547C1" w:rsidRPr="001547C1" w:rsidRDefault="001547C1" w:rsidP="00124F78">
            <w:pPr>
              <w:pStyle w:val="BodyText-nospacebelow"/>
              <w:numPr>
                <w:ilvl w:val="0"/>
                <w:numId w:val="16"/>
              </w:numPr>
            </w:pPr>
            <w:r w:rsidRPr="001547C1">
              <w:t xml:space="preserve">the fair and equitable treatment of employees of the council </w:t>
            </w:r>
          </w:p>
          <w:p w14:paraId="71CC2582" w14:textId="77777777" w:rsidR="001547C1" w:rsidRPr="001547C1" w:rsidRDefault="009C1DE4" w:rsidP="00124F78">
            <w:pPr>
              <w:pStyle w:val="BodyText-nospacebelow"/>
              <w:numPr>
                <w:ilvl w:val="0"/>
                <w:numId w:val="15"/>
              </w:numPr>
            </w:pPr>
            <w:r>
              <w:t xml:space="preserve">To </w:t>
            </w:r>
            <w:r w:rsidR="001547C1" w:rsidRPr="001547C1">
              <w:t>facilitate and encourage the planning and development of the municipal area in the b</w:t>
            </w:r>
            <w:r w:rsidR="006139C9">
              <w:t>est interests of the community</w:t>
            </w:r>
          </w:p>
          <w:p w14:paraId="3FC7D67A" w14:textId="77777777" w:rsidR="001547C1" w:rsidRPr="001547C1" w:rsidRDefault="009C1DE4" w:rsidP="00124F78">
            <w:pPr>
              <w:pStyle w:val="BodyText-nospacebelow"/>
              <w:numPr>
                <w:ilvl w:val="0"/>
                <w:numId w:val="15"/>
              </w:numPr>
            </w:pPr>
            <w:r>
              <w:t xml:space="preserve">To </w:t>
            </w:r>
            <w:r w:rsidR="001547C1" w:rsidRPr="001547C1">
              <w:t>appoint and monitor the per</w:t>
            </w:r>
            <w:r w:rsidR="006139C9">
              <w:t>formance of the general manager</w:t>
            </w:r>
            <w:r w:rsidR="001547C1" w:rsidRPr="001547C1">
              <w:t xml:space="preserve"> </w:t>
            </w:r>
          </w:p>
          <w:p w14:paraId="707BCFAC" w14:textId="77777777" w:rsidR="001547C1" w:rsidRPr="001547C1" w:rsidRDefault="009C1DE4" w:rsidP="00124F78">
            <w:pPr>
              <w:pStyle w:val="BodyText-nospacebelow"/>
              <w:numPr>
                <w:ilvl w:val="0"/>
                <w:numId w:val="15"/>
              </w:numPr>
            </w:pPr>
            <w:r>
              <w:t xml:space="preserve">To </w:t>
            </w:r>
            <w:r w:rsidR="001547C1" w:rsidRPr="001547C1">
              <w:t>determine and review the council's resource allocat</w:t>
            </w:r>
            <w:r w:rsidR="006139C9">
              <w:t>ion and expenditure activities</w:t>
            </w:r>
          </w:p>
          <w:p w14:paraId="58DAF304" w14:textId="77777777" w:rsidR="001547C1" w:rsidRPr="001547C1" w:rsidRDefault="009C1DE4" w:rsidP="00124F78">
            <w:pPr>
              <w:pStyle w:val="BodyText-nospacebelow"/>
              <w:numPr>
                <w:ilvl w:val="0"/>
                <w:numId w:val="15"/>
              </w:numPr>
            </w:pPr>
            <w:r>
              <w:t xml:space="preserve">To </w:t>
            </w:r>
            <w:r w:rsidR="001547C1" w:rsidRPr="001547C1">
              <w:t xml:space="preserve">monitor the manner in which services are provided by the council </w:t>
            </w:r>
          </w:p>
          <w:p w14:paraId="62A9D244" w14:textId="77777777" w:rsidR="001547C1" w:rsidRPr="001547C1" w:rsidRDefault="001547C1" w:rsidP="00124F78">
            <w:pPr>
              <w:pStyle w:val="BodyText-nospacebelow"/>
              <w:numPr>
                <w:ilvl w:val="0"/>
                <w:numId w:val="15"/>
              </w:numPr>
            </w:pPr>
            <w:r w:rsidRPr="001547C1">
              <w:lastRenderedPageBreak/>
              <w:t xml:space="preserve">In performing any function under this Act or any other Act, a councillor must not– </w:t>
            </w:r>
          </w:p>
          <w:p w14:paraId="27F47789" w14:textId="77777777" w:rsidR="001547C1" w:rsidRPr="001547C1" w:rsidRDefault="001547C1" w:rsidP="00124F78">
            <w:pPr>
              <w:pStyle w:val="BodyText-nospacebelow"/>
              <w:numPr>
                <w:ilvl w:val="0"/>
                <w:numId w:val="17"/>
              </w:numPr>
            </w:pPr>
            <w:r w:rsidRPr="001547C1">
              <w:t xml:space="preserve">direct or attempt to direct an employee of the council in relation to the discharge of the employee's duties; or </w:t>
            </w:r>
          </w:p>
          <w:p w14:paraId="689A8DC5" w14:textId="77777777" w:rsidR="001547C1" w:rsidRPr="001547C1" w:rsidRDefault="001547C1" w:rsidP="00124F78">
            <w:pPr>
              <w:pStyle w:val="BodyText-nospacebelow"/>
              <w:numPr>
                <w:ilvl w:val="0"/>
                <w:numId w:val="17"/>
              </w:numPr>
              <w:spacing w:after="40"/>
              <w:ind w:left="1077" w:hanging="357"/>
            </w:pPr>
            <w:r w:rsidRPr="001547C1">
              <w:t>perform any function of the mayor wit</w:t>
            </w:r>
            <w:r w:rsidR="006139C9">
              <w:t>hout the approval of the mayor</w:t>
            </w:r>
          </w:p>
        </w:tc>
      </w:tr>
      <w:tr w:rsidR="001547C1" w:rsidRPr="001547C1" w14:paraId="4E71C1F4" w14:textId="77777777" w:rsidTr="00B776D8">
        <w:trPr>
          <w:trHeight w:val="481"/>
        </w:trPr>
        <w:tc>
          <w:tcPr>
            <w:tcW w:w="1980" w:type="dxa"/>
          </w:tcPr>
          <w:p w14:paraId="36C6C902" w14:textId="77777777" w:rsidR="001547C1" w:rsidRPr="001547C1" w:rsidRDefault="001547C1" w:rsidP="001547C1">
            <w:pPr>
              <w:pStyle w:val="BodyText-nospacebelow"/>
            </w:pPr>
            <w:r w:rsidRPr="001547C1">
              <w:lastRenderedPageBreak/>
              <w:t>Northern Territory</w:t>
            </w:r>
          </w:p>
        </w:tc>
        <w:tc>
          <w:tcPr>
            <w:tcW w:w="6951" w:type="dxa"/>
          </w:tcPr>
          <w:p w14:paraId="031A2281" w14:textId="77777777" w:rsidR="001547C1" w:rsidRPr="001547C1" w:rsidRDefault="009A7F5D" w:rsidP="00124F78">
            <w:pPr>
              <w:pStyle w:val="BodyText-nospacebelow"/>
              <w:numPr>
                <w:ilvl w:val="0"/>
                <w:numId w:val="18"/>
              </w:numPr>
            </w:pPr>
            <w:r>
              <w:t xml:space="preserve">To </w:t>
            </w:r>
            <w:r w:rsidR="001547C1" w:rsidRPr="001547C1">
              <w:t xml:space="preserve">ensure, as far as practicable, that the council acts honestly, efficiently and appropriately in carrying out its statutory responsibilities </w:t>
            </w:r>
          </w:p>
          <w:p w14:paraId="1CAA5B00" w14:textId="77777777" w:rsidR="001547C1" w:rsidRPr="001547C1" w:rsidRDefault="001547C1" w:rsidP="00124F78">
            <w:pPr>
              <w:pStyle w:val="BodyText-nospacebelow"/>
              <w:numPr>
                <w:ilvl w:val="0"/>
                <w:numId w:val="18"/>
              </w:numPr>
              <w:spacing w:after="40"/>
              <w:ind w:left="714" w:hanging="357"/>
            </w:pPr>
            <w:r w:rsidRPr="001547C1">
              <w:t xml:space="preserve">However, a member of the council has no power to direct or control staff, or to interfere with the management of staff </w:t>
            </w:r>
          </w:p>
        </w:tc>
      </w:tr>
    </w:tbl>
    <w:p w14:paraId="7D2A8BE6" w14:textId="77777777" w:rsidR="001547C1" w:rsidRDefault="001547C1" w:rsidP="001547C1">
      <w:pPr>
        <w:pStyle w:val="BodyText-nospacebelow"/>
      </w:pPr>
    </w:p>
    <w:p w14:paraId="6445E3B9" w14:textId="6C0C4CB1" w:rsidR="00DE00DA" w:rsidRPr="006139C9" w:rsidRDefault="009A7F5D" w:rsidP="00DE00DA">
      <w:pPr>
        <w:pStyle w:val="IntenseQuote"/>
        <w:rPr>
          <w:b/>
          <w:sz w:val="28"/>
        </w:rPr>
      </w:pPr>
      <w:r>
        <w:rPr>
          <w:b/>
          <w:sz w:val="28"/>
        </w:rPr>
        <w:t>Defining the r</w:t>
      </w:r>
      <w:r w:rsidR="006139C9" w:rsidRPr="006139C9">
        <w:rPr>
          <w:b/>
          <w:sz w:val="28"/>
        </w:rPr>
        <w:t>ole</w:t>
      </w:r>
      <w:r>
        <w:rPr>
          <w:b/>
          <w:sz w:val="28"/>
        </w:rPr>
        <w:t>s</w:t>
      </w:r>
      <w:r w:rsidR="006139C9" w:rsidRPr="006139C9">
        <w:rPr>
          <w:b/>
          <w:sz w:val="28"/>
        </w:rPr>
        <w:t xml:space="preserve"> of council and administration: G</w:t>
      </w:r>
      <w:r w:rsidR="00DE00DA" w:rsidRPr="006139C9">
        <w:rPr>
          <w:b/>
          <w:sz w:val="28"/>
        </w:rPr>
        <w:t>uidance questions</w:t>
      </w:r>
    </w:p>
    <w:p w14:paraId="683E2312" w14:textId="4DC145EC" w:rsidR="00DE00DA" w:rsidRPr="00DE00DA" w:rsidRDefault="00886E85" w:rsidP="00F840FA">
      <w:pPr>
        <w:pStyle w:val="BodyText2-nospacebelow"/>
        <w:numPr>
          <w:ilvl w:val="0"/>
          <w:numId w:val="19"/>
        </w:numPr>
        <w:spacing w:after="120"/>
        <w:ind w:hanging="607"/>
        <w:rPr>
          <w:lang w:eastAsia="en-AU"/>
        </w:rPr>
      </w:pPr>
      <w:r>
        <w:rPr>
          <w:lang w:eastAsia="en-AU"/>
        </w:rPr>
        <w:t>How s</w:t>
      </w:r>
      <w:r w:rsidR="00DE00DA" w:rsidRPr="00DE00DA">
        <w:rPr>
          <w:lang w:eastAsia="en-AU"/>
        </w:rPr>
        <w:t xml:space="preserve">hould </w:t>
      </w:r>
      <w:r>
        <w:rPr>
          <w:lang w:eastAsia="en-AU"/>
        </w:rPr>
        <w:t xml:space="preserve">a </w:t>
      </w:r>
      <w:r w:rsidR="00DE00DA" w:rsidRPr="00DE00DA">
        <w:rPr>
          <w:lang w:eastAsia="en-AU"/>
        </w:rPr>
        <w:t xml:space="preserve">council’s role be defined?  </w:t>
      </w:r>
      <w:r>
        <w:rPr>
          <w:lang w:eastAsia="en-AU"/>
        </w:rPr>
        <w:t>What should the definition</w:t>
      </w:r>
      <w:r w:rsidR="00DE00DA" w:rsidRPr="00DE00DA">
        <w:rPr>
          <w:lang w:eastAsia="en-AU"/>
        </w:rPr>
        <w:t xml:space="preserve"> include?</w:t>
      </w:r>
    </w:p>
    <w:p w14:paraId="32D454D6" w14:textId="3A9A3517" w:rsidR="00DE00DA" w:rsidRPr="00DE00DA" w:rsidRDefault="00886E85" w:rsidP="00F840FA">
      <w:pPr>
        <w:pStyle w:val="BodyText2-nospacebelow"/>
        <w:numPr>
          <w:ilvl w:val="0"/>
          <w:numId w:val="19"/>
        </w:numPr>
        <w:spacing w:after="120"/>
        <w:ind w:hanging="607"/>
        <w:rPr>
          <w:lang w:eastAsia="en-AU"/>
        </w:rPr>
      </w:pPr>
      <w:r>
        <w:rPr>
          <w:lang w:eastAsia="en-AU"/>
        </w:rPr>
        <w:t>How s</w:t>
      </w:r>
      <w:r w:rsidR="00DE00DA" w:rsidRPr="00DE00DA">
        <w:rPr>
          <w:lang w:eastAsia="en-AU"/>
        </w:rPr>
        <w:t>hould the role of the CEO and administration be defined?</w:t>
      </w:r>
    </w:p>
    <w:p w14:paraId="16C773C8" w14:textId="77777777" w:rsidR="00DE00DA" w:rsidRPr="00DE00DA" w:rsidRDefault="00DE00DA" w:rsidP="00F840FA">
      <w:pPr>
        <w:pStyle w:val="BodyText2-nospacebelow"/>
        <w:numPr>
          <w:ilvl w:val="0"/>
          <w:numId w:val="19"/>
        </w:numPr>
        <w:spacing w:after="120"/>
        <w:ind w:hanging="607"/>
        <w:rPr>
          <w:lang w:eastAsia="en-AU"/>
        </w:rPr>
      </w:pPr>
      <w:r w:rsidRPr="00DE00DA">
        <w:rPr>
          <w:lang w:eastAsia="en-AU"/>
        </w:rPr>
        <w:t>What other comments would you like to make on the roles of council and administration?</w:t>
      </w:r>
    </w:p>
    <w:p w14:paraId="7CB1718E" w14:textId="77777777" w:rsidR="00DE00DA" w:rsidRDefault="00DE00DA" w:rsidP="00F840FA">
      <w:pPr>
        <w:pStyle w:val="BodyText2-nospacebelow"/>
        <w:numPr>
          <w:ilvl w:val="0"/>
          <w:numId w:val="19"/>
        </w:numPr>
        <w:spacing w:after="120"/>
        <w:ind w:hanging="607"/>
      </w:pPr>
      <w:r w:rsidRPr="00DE00DA">
        <w:rPr>
          <w:lang w:eastAsia="en-AU"/>
        </w:rPr>
        <w:t>Are there any areas where the separation of powers is particularly unclear?  How do you propose that these are improved?</w:t>
      </w:r>
    </w:p>
    <w:p w14:paraId="39F987E4" w14:textId="77777777" w:rsidR="00677010" w:rsidRDefault="00677010"/>
    <w:p w14:paraId="220FB6C2" w14:textId="0C351131" w:rsidR="00B2195B" w:rsidRPr="00B2195B" w:rsidRDefault="00677010" w:rsidP="00B2195B">
      <w:pPr>
        <w:pStyle w:val="IntenseQuote"/>
        <w:rPr>
          <w:b/>
          <w:sz w:val="28"/>
        </w:rPr>
      </w:pPr>
      <w:r w:rsidRPr="00677010">
        <w:rPr>
          <w:b/>
          <w:sz w:val="28"/>
        </w:rPr>
        <w:t xml:space="preserve">Improving </w:t>
      </w:r>
      <w:r w:rsidRPr="00B2195B">
        <w:rPr>
          <w:b/>
          <w:sz w:val="28"/>
        </w:rPr>
        <w:t>relationships</w:t>
      </w:r>
      <w:r w:rsidRPr="00677010">
        <w:rPr>
          <w:b/>
          <w:sz w:val="28"/>
        </w:rPr>
        <w:t xml:space="preserve"> between council and adm</w:t>
      </w:r>
      <w:r w:rsidRPr="00B2195B">
        <w:rPr>
          <w:b/>
          <w:sz w:val="28"/>
        </w:rPr>
        <w:t xml:space="preserve">inistration: Guidance </w:t>
      </w:r>
      <w:r w:rsidR="00B2195B" w:rsidRPr="00B2195B">
        <w:rPr>
          <w:b/>
          <w:sz w:val="28"/>
        </w:rPr>
        <w:t>question</w:t>
      </w:r>
    </w:p>
    <w:p w14:paraId="3E5E53BD" w14:textId="71406C07" w:rsidR="000A7357" w:rsidRPr="00B2195B" w:rsidRDefault="00B2195B" w:rsidP="00B2195B">
      <w:pPr>
        <w:pStyle w:val="BodyText2-nospacebelow"/>
        <w:numPr>
          <w:ilvl w:val="0"/>
          <w:numId w:val="19"/>
        </w:numPr>
        <w:spacing w:after="120"/>
        <w:ind w:hanging="607"/>
        <w:rPr>
          <w:lang w:eastAsia="en-AU"/>
        </w:rPr>
      </w:pPr>
      <w:r w:rsidRPr="00B2195B">
        <w:rPr>
          <w:lang w:eastAsia="en-AU"/>
        </w:rPr>
        <w:t>Do you h</w:t>
      </w:r>
      <w:r>
        <w:rPr>
          <w:lang w:eastAsia="en-AU"/>
        </w:rPr>
        <w:t xml:space="preserve">ave any other suggestions or comments on this topic? </w:t>
      </w:r>
      <w:r w:rsidR="000A7357">
        <w:rPr>
          <w:lang w:eastAsia="en-AU"/>
        </w:rPr>
        <w:br w:type="page"/>
      </w:r>
    </w:p>
    <w:p w14:paraId="43BF5CF1" w14:textId="601988A2" w:rsidR="000840CC" w:rsidRDefault="00FE089A" w:rsidP="00124F78">
      <w:pPr>
        <w:pStyle w:val="Heading1"/>
        <w:numPr>
          <w:ilvl w:val="0"/>
          <w:numId w:val="5"/>
        </w:numPr>
      </w:pPr>
      <w:r>
        <w:lastRenderedPageBreak/>
        <w:t xml:space="preserve"> </w:t>
      </w:r>
      <w:bookmarkStart w:id="125" w:name="_Toc497741791"/>
      <w:bookmarkStart w:id="126" w:name="_Toc493746611"/>
      <w:bookmarkStart w:id="127" w:name="_Toc493768827"/>
      <w:bookmarkStart w:id="128" w:name="_Toc493859899"/>
      <w:r w:rsidR="001936C9">
        <w:t>Training</w:t>
      </w:r>
      <w:bookmarkEnd w:id="125"/>
      <w:r w:rsidR="000840CC">
        <w:t xml:space="preserve"> </w:t>
      </w:r>
      <w:bookmarkEnd w:id="126"/>
      <w:bookmarkEnd w:id="127"/>
      <w:bookmarkEnd w:id="128"/>
    </w:p>
    <w:p w14:paraId="1F5D56E1" w14:textId="77777777" w:rsidR="000840CC" w:rsidRPr="000840CC" w:rsidRDefault="000840CC" w:rsidP="000840CC">
      <w:pPr>
        <w:pStyle w:val="Heading2"/>
      </w:pPr>
      <w:bookmarkStart w:id="129" w:name="_Toc493746612"/>
      <w:bookmarkStart w:id="130" w:name="_Toc493768828"/>
      <w:bookmarkStart w:id="131" w:name="_Toc493859900"/>
      <w:bookmarkStart w:id="132" w:name="_Toc495491801"/>
      <w:bookmarkStart w:id="133" w:name="_Toc495497581"/>
      <w:bookmarkStart w:id="134" w:name="_Toc495671429"/>
      <w:bookmarkStart w:id="135" w:name="_Toc495676027"/>
      <w:bookmarkStart w:id="136" w:name="_Toc495678322"/>
      <w:bookmarkStart w:id="137" w:name="_Toc495998320"/>
      <w:bookmarkStart w:id="138" w:name="_Toc497741792"/>
      <w:r>
        <w:t>Introduction</w:t>
      </w:r>
      <w:bookmarkEnd w:id="129"/>
      <w:bookmarkEnd w:id="130"/>
      <w:bookmarkEnd w:id="131"/>
      <w:bookmarkEnd w:id="132"/>
      <w:bookmarkEnd w:id="133"/>
      <w:bookmarkEnd w:id="134"/>
      <w:bookmarkEnd w:id="135"/>
      <w:bookmarkEnd w:id="136"/>
      <w:bookmarkEnd w:id="137"/>
      <w:bookmarkEnd w:id="138"/>
    </w:p>
    <w:p w14:paraId="5ADABA99" w14:textId="619A6473" w:rsidR="00D91EB1" w:rsidRDefault="00246B9A" w:rsidP="00AC131F">
      <w:pPr>
        <w:pStyle w:val="BodyText-nospacebelow"/>
        <w:jc w:val="both"/>
      </w:pPr>
      <w:r>
        <w:t>Elected member</w:t>
      </w:r>
      <w:r w:rsidR="000840CC" w:rsidRPr="000840CC">
        <w:t xml:space="preserve">s have a unique and </w:t>
      </w:r>
      <w:r w:rsidR="00936FCE">
        <w:t>challeng</w:t>
      </w:r>
      <w:r w:rsidR="00D57EDF">
        <w:t xml:space="preserve">ing </w:t>
      </w:r>
      <w:r w:rsidR="000840CC" w:rsidRPr="000840CC">
        <w:t xml:space="preserve">role. </w:t>
      </w:r>
      <w:r w:rsidR="00D91EB1">
        <w:t>I</w:t>
      </w:r>
      <w:r w:rsidR="00D91EB1" w:rsidRPr="000840CC">
        <w:t xml:space="preserve">nternal support available to </w:t>
      </w:r>
      <w:r>
        <w:t>elected member</w:t>
      </w:r>
      <w:r w:rsidR="00D91EB1" w:rsidRPr="000840CC">
        <w:t>s is often limited</w:t>
      </w:r>
      <w:r w:rsidR="00D91EB1">
        <w:t>, especially i</w:t>
      </w:r>
      <w:r w:rsidR="00D91EB1" w:rsidRPr="000840CC">
        <w:t>n</w:t>
      </w:r>
      <w:r w:rsidR="00D91EB1" w:rsidRPr="000840CC" w:rsidDel="004765EA">
        <w:t xml:space="preserve"> </w:t>
      </w:r>
      <w:r w:rsidR="00D91EB1" w:rsidRPr="000840CC">
        <w:t xml:space="preserve">smaller local governments. </w:t>
      </w:r>
    </w:p>
    <w:p w14:paraId="143556A7" w14:textId="77777777" w:rsidR="00D91EB1" w:rsidRDefault="00D91EB1" w:rsidP="00AC131F">
      <w:pPr>
        <w:pStyle w:val="BodyText-nospacebelow"/>
        <w:jc w:val="both"/>
      </w:pPr>
    </w:p>
    <w:p w14:paraId="5D49FAB1" w14:textId="7586E0FD" w:rsidR="000840CC" w:rsidRDefault="000840CC" w:rsidP="00AC131F">
      <w:pPr>
        <w:pStyle w:val="BodyText-nospacebelow"/>
        <w:jc w:val="both"/>
      </w:pPr>
      <w:r w:rsidRPr="000840CC">
        <w:t xml:space="preserve">They are elected officials who represent their often diverse communities and oversee multi-million dollar budgets. </w:t>
      </w:r>
      <w:r w:rsidR="00936FCE">
        <w:t>No qualifications are required t</w:t>
      </w:r>
      <w:r w:rsidRPr="000840CC">
        <w:t>o be a</w:t>
      </w:r>
      <w:r w:rsidRPr="000840CC" w:rsidDel="004765EA">
        <w:t xml:space="preserve"> </w:t>
      </w:r>
      <w:r w:rsidRPr="000840CC">
        <w:t>candidate</w:t>
      </w:r>
      <w:r w:rsidR="00936FCE">
        <w:t>.</w:t>
      </w:r>
      <w:r w:rsidRPr="000840CC">
        <w:t xml:space="preserve"> </w:t>
      </w:r>
      <w:r w:rsidR="00D91EB1">
        <w:t xml:space="preserve"> </w:t>
      </w:r>
      <w:r w:rsidR="00246B9A">
        <w:t>Elected member</w:t>
      </w:r>
      <w:r w:rsidRPr="000840CC">
        <w:t xml:space="preserve">s are </w:t>
      </w:r>
      <w:r w:rsidR="00936FCE">
        <w:t xml:space="preserve">often </w:t>
      </w:r>
      <w:r w:rsidRPr="000840CC">
        <w:t>elected in contests where less than one third of eligible voters cast a ballot</w:t>
      </w:r>
      <w:r w:rsidR="00936FCE">
        <w:t xml:space="preserve">.  </w:t>
      </w:r>
      <w:r w:rsidR="00246B9A">
        <w:t>Elected member</w:t>
      </w:r>
      <w:r w:rsidRPr="000840CC">
        <w:t xml:space="preserve">s are </w:t>
      </w:r>
      <w:r w:rsidR="00936FCE">
        <w:t xml:space="preserve">frequently </w:t>
      </w:r>
      <w:r w:rsidRPr="000840CC">
        <w:t>elected unopposed</w:t>
      </w:r>
      <w:r w:rsidR="00936FCE">
        <w:t xml:space="preserve"> in regional areas</w:t>
      </w:r>
      <w:r w:rsidRPr="000840CC">
        <w:t xml:space="preserve">. </w:t>
      </w:r>
      <w:r w:rsidR="00AD2D79">
        <w:t xml:space="preserve">The 2016 </w:t>
      </w:r>
      <w:r w:rsidR="00AD2D79" w:rsidRPr="00AD2D79">
        <w:t xml:space="preserve">Census of Western Australian Elected Members </w:t>
      </w:r>
      <w:r w:rsidRPr="000840CC">
        <w:t xml:space="preserve">conducted by the University of Western Australia on behalf of the </w:t>
      </w:r>
      <w:r w:rsidR="007817C6">
        <w:t>Department</w:t>
      </w:r>
      <w:r w:rsidRPr="000840CC">
        <w:t xml:space="preserve"> found that approximately one in four </w:t>
      </w:r>
      <w:r w:rsidR="00246B9A">
        <w:t>elected member</w:t>
      </w:r>
      <w:r w:rsidRPr="000840CC">
        <w:t>s completing the survey had not completed year 12.</w:t>
      </w:r>
    </w:p>
    <w:p w14:paraId="7A2330B7" w14:textId="77777777" w:rsidR="000840CC" w:rsidRPr="000840CC" w:rsidRDefault="000840CC" w:rsidP="00AC131F">
      <w:pPr>
        <w:pStyle w:val="BodyText-nospacebelow"/>
        <w:jc w:val="both"/>
      </w:pPr>
    </w:p>
    <w:p w14:paraId="3310C335" w14:textId="52724E9B" w:rsidR="000840CC" w:rsidRDefault="000840CC" w:rsidP="00AC131F">
      <w:pPr>
        <w:pStyle w:val="BodyText-nospacebelow"/>
        <w:jc w:val="both"/>
      </w:pPr>
      <w:r w:rsidRPr="000840CC">
        <w:t xml:space="preserve">It could be argued that </w:t>
      </w:r>
      <w:r w:rsidR="00246B9A">
        <w:t>elected member</w:t>
      </w:r>
      <w:r w:rsidRPr="000840CC">
        <w:t>s should be provided with the knowledge and skills to be able to properly understand and perform their role.</w:t>
      </w:r>
    </w:p>
    <w:p w14:paraId="251DA34B" w14:textId="77777777" w:rsidR="000840CC" w:rsidRPr="000840CC" w:rsidRDefault="000840CC" w:rsidP="00AC131F">
      <w:pPr>
        <w:pStyle w:val="BodyText-nospacebelow"/>
        <w:jc w:val="both"/>
      </w:pPr>
    </w:p>
    <w:p w14:paraId="7D0E4251" w14:textId="53882140" w:rsidR="000840CC" w:rsidRDefault="000840CC" w:rsidP="00AC131F">
      <w:pPr>
        <w:pStyle w:val="BodyText-nospacebelow"/>
        <w:jc w:val="both"/>
      </w:pPr>
      <w:r w:rsidRPr="000840CC">
        <w:t xml:space="preserve">Training for </w:t>
      </w:r>
      <w:r w:rsidR="00246B9A">
        <w:t>elected member</w:t>
      </w:r>
      <w:r w:rsidRPr="000840CC">
        <w:t xml:space="preserve">s has been recommended by successive inquiries and reports by the </w:t>
      </w:r>
      <w:r w:rsidR="00D91EB1">
        <w:t>Corruption and Crime Commission.</w:t>
      </w:r>
      <w:r w:rsidRPr="000840CC">
        <w:t xml:space="preserve">  </w:t>
      </w:r>
      <w:r w:rsidR="00D91EB1">
        <w:t>M</w:t>
      </w:r>
      <w:r w:rsidR="00E50BA1">
        <w:t>ak</w:t>
      </w:r>
      <w:r w:rsidR="00D91EB1">
        <w:t>ing</w:t>
      </w:r>
      <w:r w:rsidR="00E50BA1">
        <w:t xml:space="preserve"> </w:t>
      </w:r>
      <w:r w:rsidR="00246B9A">
        <w:t>elected member</w:t>
      </w:r>
      <w:r w:rsidRPr="000840CC">
        <w:t xml:space="preserve"> training </w:t>
      </w:r>
      <w:r w:rsidR="00E50BA1" w:rsidRPr="000840CC">
        <w:t xml:space="preserve">compulsory </w:t>
      </w:r>
      <w:r w:rsidRPr="000840CC">
        <w:t xml:space="preserve">has also been raised.  </w:t>
      </w:r>
    </w:p>
    <w:p w14:paraId="24F12964" w14:textId="7DAF33FE" w:rsidR="000840CC" w:rsidRDefault="000840CC" w:rsidP="000840CC">
      <w:pPr>
        <w:pStyle w:val="BodyText-nospacebelow"/>
      </w:pPr>
    </w:p>
    <w:tbl>
      <w:tblPr>
        <w:tblStyle w:val="DLGCTable-Data"/>
        <w:tblW w:w="0" w:type="auto"/>
        <w:tblLook w:val="04A0" w:firstRow="1" w:lastRow="0" w:firstColumn="1" w:lastColumn="0" w:noHBand="0" w:noVBand="1"/>
      </w:tblPr>
      <w:tblGrid>
        <w:gridCol w:w="9016"/>
      </w:tblGrid>
      <w:tr w:rsidR="000840CC" w14:paraId="5B2CCBB3" w14:textId="77777777" w:rsidTr="007B5D94">
        <w:trPr>
          <w:cnfStyle w:val="100000000000" w:firstRow="1" w:lastRow="0" w:firstColumn="0" w:lastColumn="0" w:oddVBand="0" w:evenVBand="0" w:oddHBand="0" w:evenHBand="0" w:firstRowFirstColumn="0" w:firstRowLastColumn="0" w:lastRowFirstColumn="0" w:lastRowLastColumn="0"/>
        </w:trPr>
        <w:tc>
          <w:tcPr>
            <w:tcW w:w="9016" w:type="dxa"/>
          </w:tcPr>
          <w:p w14:paraId="35CF3D9E" w14:textId="28707C54" w:rsidR="000840CC" w:rsidRPr="00EF35EC" w:rsidRDefault="00246B9A" w:rsidP="000840CC">
            <w:pPr>
              <w:pStyle w:val="Caption"/>
              <w:rPr>
                <w:b/>
              </w:rPr>
            </w:pPr>
            <w:r>
              <w:rPr>
                <w:b/>
              </w:rPr>
              <w:lastRenderedPageBreak/>
              <w:t>Elected member</w:t>
            </w:r>
            <w:r w:rsidR="000840CC" w:rsidRPr="00EF35EC">
              <w:rPr>
                <w:b/>
              </w:rPr>
              <w:t xml:space="preserve"> training through the Country Local Government Fund</w:t>
            </w:r>
          </w:p>
          <w:p w14:paraId="6A7BAF43" w14:textId="47C003C0" w:rsidR="000840CC" w:rsidRPr="000840CC" w:rsidRDefault="000840CC" w:rsidP="00AC131F">
            <w:pPr>
              <w:jc w:val="both"/>
              <w:rPr>
                <w:b w:val="0"/>
              </w:rPr>
            </w:pPr>
            <w:r w:rsidRPr="000840CC">
              <w:rPr>
                <w:b w:val="0"/>
              </w:rPr>
              <w:t xml:space="preserve">To encourage more </w:t>
            </w:r>
            <w:r w:rsidR="00246B9A">
              <w:rPr>
                <w:b w:val="0"/>
              </w:rPr>
              <w:t>elected member</w:t>
            </w:r>
            <w:r w:rsidRPr="000840CC">
              <w:rPr>
                <w:b w:val="0"/>
              </w:rPr>
              <w:t xml:space="preserve">s in regional Western Australia to participate in training, the State Government invested </w:t>
            </w:r>
            <w:r w:rsidR="00A53390">
              <w:rPr>
                <w:b w:val="0"/>
              </w:rPr>
              <w:t>more than</w:t>
            </w:r>
            <w:r w:rsidR="00A53390" w:rsidRPr="000840CC">
              <w:rPr>
                <w:b w:val="0"/>
              </w:rPr>
              <w:t xml:space="preserve"> </w:t>
            </w:r>
            <w:r w:rsidRPr="000840CC">
              <w:rPr>
                <w:b w:val="0"/>
              </w:rPr>
              <w:t>$1.5 million over four years</w:t>
            </w:r>
            <w:r w:rsidR="00E16D65">
              <w:rPr>
                <w:b w:val="0"/>
              </w:rPr>
              <w:t xml:space="preserve"> to provide </w:t>
            </w:r>
            <w:r w:rsidR="00362E11">
              <w:rPr>
                <w:b w:val="0"/>
              </w:rPr>
              <w:t>subsidised</w:t>
            </w:r>
            <w:r w:rsidR="00E16D65">
              <w:rPr>
                <w:b w:val="0"/>
              </w:rPr>
              <w:t xml:space="preserve"> training in four core areas</w:t>
            </w:r>
            <w:r w:rsidRPr="000840CC">
              <w:rPr>
                <w:b w:val="0"/>
              </w:rPr>
              <w:t>.</w:t>
            </w:r>
          </w:p>
          <w:p w14:paraId="25FF8784" w14:textId="33EA3776" w:rsidR="00E16D65" w:rsidRDefault="000840CC" w:rsidP="00AC131F">
            <w:pPr>
              <w:jc w:val="both"/>
              <w:rPr>
                <w:b w:val="0"/>
              </w:rPr>
            </w:pPr>
            <w:r w:rsidRPr="000840CC">
              <w:rPr>
                <w:b w:val="0"/>
              </w:rPr>
              <w:t>Between June 2014 and June 201</w:t>
            </w:r>
            <w:r w:rsidR="00F72963">
              <w:rPr>
                <w:b w:val="0"/>
              </w:rPr>
              <w:t>7</w:t>
            </w:r>
            <w:r w:rsidRPr="000840CC">
              <w:rPr>
                <w:b w:val="0"/>
              </w:rPr>
              <w:t xml:space="preserve">, </w:t>
            </w:r>
            <w:r w:rsidR="00362E11">
              <w:rPr>
                <w:b w:val="0"/>
              </w:rPr>
              <w:t>more than 500</w:t>
            </w:r>
            <w:r w:rsidR="00362E11" w:rsidRPr="000840CC">
              <w:rPr>
                <w:b w:val="0"/>
              </w:rPr>
              <w:t xml:space="preserve"> </w:t>
            </w:r>
            <w:r w:rsidRPr="000840CC">
              <w:rPr>
                <w:b w:val="0"/>
              </w:rPr>
              <w:t xml:space="preserve">individual </w:t>
            </w:r>
            <w:r w:rsidR="00246B9A">
              <w:rPr>
                <w:b w:val="0"/>
              </w:rPr>
              <w:t>elected member</w:t>
            </w:r>
            <w:r w:rsidR="00BA3FFF" w:rsidRPr="000840CC">
              <w:rPr>
                <w:b w:val="0"/>
              </w:rPr>
              <w:t>s participated</w:t>
            </w:r>
            <w:r w:rsidRPr="000840CC">
              <w:rPr>
                <w:b w:val="0"/>
              </w:rPr>
              <w:t xml:space="preserve"> in at least one training unit of the Country Local Government Fund (CLGF) </w:t>
            </w:r>
            <w:r w:rsidR="00246B9A">
              <w:rPr>
                <w:b w:val="0"/>
              </w:rPr>
              <w:t>elected member</w:t>
            </w:r>
            <w:r w:rsidRPr="000840CC">
              <w:rPr>
                <w:b w:val="0"/>
              </w:rPr>
              <w:t xml:space="preserve"> training program.</w:t>
            </w:r>
            <w:r w:rsidR="00E16D65">
              <w:rPr>
                <w:b w:val="0"/>
              </w:rPr>
              <w:t xml:space="preserve">  This represented </w:t>
            </w:r>
            <w:r w:rsidR="00E16D65" w:rsidRPr="000840CC">
              <w:rPr>
                <w:b w:val="0"/>
              </w:rPr>
              <w:t xml:space="preserve">approximately </w:t>
            </w:r>
            <w:r w:rsidR="00362E11">
              <w:rPr>
                <w:b w:val="0"/>
              </w:rPr>
              <w:t>55</w:t>
            </w:r>
            <w:r w:rsidR="00362E11" w:rsidRPr="000840CC">
              <w:rPr>
                <w:b w:val="0"/>
              </w:rPr>
              <w:t xml:space="preserve"> </w:t>
            </w:r>
            <w:r w:rsidR="00E16D65" w:rsidRPr="000840CC">
              <w:rPr>
                <w:b w:val="0"/>
              </w:rPr>
              <w:t xml:space="preserve">per cent of the more than 900 </w:t>
            </w:r>
            <w:r w:rsidR="00246B9A">
              <w:rPr>
                <w:b w:val="0"/>
              </w:rPr>
              <w:t>elected member</w:t>
            </w:r>
            <w:r w:rsidR="00E16D65">
              <w:rPr>
                <w:b w:val="0"/>
              </w:rPr>
              <w:t>s in regional areas who could have undertaken the training.</w:t>
            </w:r>
          </w:p>
          <w:p w14:paraId="56FE9530" w14:textId="3B5E7279" w:rsidR="000840CC" w:rsidRPr="000840CC" w:rsidRDefault="00504A59" w:rsidP="00AC131F">
            <w:pPr>
              <w:jc w:val="both"/>
              <w:rPr>
                <w:b w:val="0"/>
              </w:rPr>
            </w:pPr>
            <w:r>
              <w:rPr>
                <w:b w:val="0"/>
              </w:rPr>
              <w:t>The program has achieved a breadth, if not depth of coverage, w</w:t>
            </w:r>
            <w:r w:rsidR="000840CC" w:rsidRPr="000840CC">
              <w:rPr>
                <w:b w:val="0"/>
              </w:rPr>
              <w:t xml:space="preserve">ith </w:t>
            </w:r>
            <w:r w:rsidR="00362E11">
              <w:rPr>
                <w:b w:val="0"/>
              </w:rPr>
              <w:t>105</w:t>
            </w:r>
            <w:r w:rsidR="00362E11" w:rsidRPr="000840CC">
              <w:rPr>
                <w:b w:val="0"/>
              </w:rPr>
              <w:t xml:space="preserve"> </w:t>
            </w:r>
            <w:r w:rsidR="000840CC" w:rsidRPr="000840CC">
              <w:rPr>
                <w:b w:val="0"/>
              </w:rPr>
              <w:t>of the 109 country local governments represented at one or more sessions</w:t>
            </w:r>
            <w:r w:rsidR="00FC39D8">
              <w:rPr>
                <w:b w:val="0"/>
              </w:rPr>
              <w:t>.</w:t>
            </w:r>
            <w:r w:rsidR="00FC39D8" w:rsidRPr="000840CC">
              <w:rPr>
                <w:b w:val="0"/>
              </w:rPr>
              <w:t xml:space="preserve"> </w:t>
            </w:r>
            <w:r w:rsidR="00FC39D8">
              <w:rPr>
                <w:b w:val="0"/>
              </w:rPr>
              <w:t xml:space="preserve">There were </w:t>
            </w:r>
            <w:r w:rsidR="000840CC" w:rsidRPr="000840CC">
              <w:rPr>
                <w:b w:val="0"/>
              </w:rPr>
              <w:t xml:space="preserve">24 local governments </w:t>
            </w:r>
            <w:r w:rsidR="00F33B85">
              <w:rPr>
                <w:b w:val="0"/>
              </w:rPr>
              <w:t xml:space="preserve">which </w:t>
            </w:r>
            <w:r w:rsidR="00D91EB1">
              <w:rPr>
                <w:b w:val="0"/>
              </w:rPr>
              <w:t>did not have</w:t>
            </w:r>
            <w:r w:rsidR="000840CC" w:rsidRPr="000840CC">
              <w:rPr>
                <w:b w:val="0"/>
              </w:rPr>
              <w:t xml:space="preserve"> a single </w:t>
            </w:r>
            <w:r w:rsidR="00246B9A">
              <w:rPr>
                <w:b w:val="0"/>
              </w:rPr>
              <w:t>elected member</w:t>
            </w:r>
            <w:r w:rsidR="000840CC" w:rsidRPr="000840CC">
              <w:rPr>
                <w:b w:val="0"/>
              </w:rPr>
              <w:t xml:space="preserve"> attend a training session.</w:t>
            </w:r>
          </w:p>
          <w:p w14:paraId="7FAE4227" w14:textId="02CEEBE1" w:rsidR="000840CC" w:rsidRPr="000840CC" w:rsidRDefault="000840CC" w:rsidP="00AC131F">
            <w:pPr>
              <w:jc w:val="both"/>
              <w:rPr>
                <w:rFonts w:cs="Arial"/>
                <w:b w:val="0"/>
              </w:rPr>
            </w:pPr>
            <w:r w:rsidRPr="000840CC">
              <w:rPr>
                <w:rFonts w:cs="Arial"/>
                <w:b w:val="0"/>
              </w:rPr>
              <w:t xml:space="preserve">On average, </w:t>
            </w:r>
            <w:r w:rsidR="00246B9A">
              <w:rPr>
                <w:rFonts w:cs="Arial"/>
                <w:b w:val="0"/>
              </w:rPr>
              <w:t>elected member</w:t>
            </w:r>
            <w:r w:rsidRPr="000840CC">
              <w:rPr>
                <w:rFonts w:cs="Arial"/>
                <w:b w:val="0"/>
              </w:rPr>
              <w:t xml:space="preserve">s who have attended training through the CLGF participated in 2.4 units.  Some </w:t>
            </w:r>
            <w:r w:rsidR="00246B9A">
              <w:rPr>
                <w:rFonts w:cs="Arial"/>
                <w:b w:val="0"/>
              </w:rPr>
              <w:t>elected member</w:t>
            </w:r>
            <w:r w:rsidRPr="000840CC">
              <w:rPr>
                <w:rFonts w:cs="Arial"/>
                <w:b w:val="0"/>
              </w:rPr>
              <w:t xml:space="preserve">s </w:t>
            </w:r>
            <w:r w:rsidR="00E16D65">
              <w:rPr>
                <w:rFonts w:cs="Arial"/>
                <w:b w:val="0"/>
              </w:rPr>
              <w:t>a</w:t>
            </w:r>
            <w:r w:rsidRPr="000840CC">
              <w:rPr>
                <w:rFonts w:cs="Arial"/>
                <w:b w:val="0"/>
              </w:rPr>
              <w:t xml:space="preserve">ttended the same course on multiple occasions with two </w:t>
            </w:r>
            <w:r w:rsidR="00246B9A">
              <w:rPr>
                <w:rFonts w:cs="Arial"/>
                <w:b w:val="0"/>
              </w:rPr>
              <w:t>elected member</w:t>
            </w:r>
            <w:r w:rsidRPr="000840CC">
              <w:rPr>
                <w:rFonts w:cs="Arial"/>
                <w:b w:val="0"/>
              </w:rPr>
              <w:t>s attending all four o</w:t>
            </w:r>
            <w:r>
              <w:rPr>
                <w:rFonts w:cs="Arial"/>
                <w:b w:val="0"/>
              </w:rPr>
              <w:t xml:space="preserve">f the courses </w:t>
            </w:r>
            <w:r w:rsidR="00D91EB1">
              <w:rPr>
                <w:rFonts w:cs="Arial"/>
                <w:b w:val="0"/>
              </w:rPr>
              <w:t>twice</w:t>
            </w:r>
            <w:r>
              <w:rPr>
                <w:rFonts w:cs="Arial"/>
                <w:b w:val="0"/>
              </w:rPr>
              <w:t>.</w:t>
            </w:r>
          </w:p>
        </w:tc>
      </w:tr>
    </w:tbl>
    <w:p w14:paraId="608F83D7" w14:textId="77777777" w:rsidR="000840CC" w:rsidRPr="000840CC" w:rsidRDefault="000840CC" w:rsidP="000840CC">
      <w:pPr>
        <w:pStyle w:val="BodyText-nospacebelow"/>
      </w:pPr>
    </w:p>
    <w:p w14:paraId="591D2961" w14:textId="77777777" w:rsidR="00512477" w:rsidRPr="000840CC" w:rsidRDefault="00512477" w:rsidP="00512477">
      <w:pPr>
        <w:pStyle w:val="BodyText-nospacebelow"/>
      </w:pPr>
    </w:p>
    <w:p w14:paraId="663299ED" w14:textId="3B2BF26B" w:rsidR="00512477" w:rsidRDefault="00246B9A" w:rsidP="00AC131F">
      <w:pPr>
        <w:pStyle w:val="BodyText-nospacebelow"/>
        <w:jc w:val="both"/>
      </w:pPr>
      <w:r>
        <w:t>Elected member</w:t>
      </w:r>
      <w:r w:rsidR="00512477" w:rsidRPr="000840CC">
        <w:t xml:space="preserve">s currently have access to training provided on a commercial basis by WALGA.  WALGA provides training courses in </w:t>
      </w:r>
      <w:r w:rsidR="00512477">
        <w:t>topics</w:t>
      </w:r>
      <w:r w:rsidR="00512477" w:rsidRPr="000840CC">
        <w:t xml:space="preserve"> including</w:t>
      </w:r>
      <w:r w:rsidR="00512477">
        <w:t>,</w:t>
      </w:r>
      <w:r w:rsidR="00512477" w:rsidRPr="000840CC">
        <w:t xml:space="preserve"> but not limited to</w:t>
      </w:r>
      <w:r w:rsidR="00512477">
        <w:t>,</w:t>
      </w:r>
      <w:r w:rsidR="00512477" w:rsidRPr="000840CC">
        <w:t xml:space="preserve"> serving on council; meeting procedures and debating; effective community leadership</w:t>
      </w:r>
      <w:r w:rsidR="00512477">
        <w:t xml:space="preserve">; </w:t>
      </w:r>
      <w:r w:rsidR="00512477" w:rsidRPr="000840CC">
        <w:t xml:space="preserve">and land use planning.  WALGA’s suite of training for </w:t>
      </w:r>
      <w:r>
        <w:t>elected member</w:t>
      </w:r>
      <w:r w:rsidR="00512477" w:rsidRPr="000840CC">
        <w:t>s culminates in a</w:t>
      </w:r>
      <w:r w:rsidR="00512477">
        <w:t>n Elected Member Diploma,</w:t>
      </w:r>
      <w:r w:rsidR="00512477" w:rsidRPr="000840CC">
        <w:t xml:space="preserve"> through the Western Australian Training Accreditation Council.  Undertaking </w:t>
      </w:r>
      <w:r w:rsidR="00512477">
        <w:t>any of these</w:t>
      </w:r>
      <w:r w:rsidR="00512477" w:rsidRPr="000840CC">
        <w:t xml:space="preserve"> courses is currently voluntary.</w:t>
      </w:r>
    </w:p>
    <w:p w14:paraId="6A7BE4A2" w14:textId="77777777" w:rsidR="00512477" w:rsidRDefault="00512477" w:rsidP="00AC131F">
      <w:pPr>
        <w:pStyle w:val="BodyText-nospacebelow"/>
        <w:jc w:val="both"/>
      </w:pPr>
    </w:p>
    <w:p w14:paraId="7CC1CBEF" w14:textId="2E6B74E4" w:rsidR="000840CC" w:rsidRPr="000840CC" w:rsidRDefault="000840CC" w:rsidP="00AC131F">
      <w:pPr>
        <w:pStyle w:val="BodyText-nospacebelow"/>
        <w:jc w:val="both"/>
      </w:pPr>
      <w:r w:rsidRPr="000840CC">
        <w:t xml:space="preserve">Since 2013-14, WALGA has delivered more than 340 training courses to </w:t>
      </w:r>
      <w:r w:rsidR="00246B9A">
        <w:t>elected member</w:t>
      </w:r>
      <w:r w:rsidRPr="000840CC">
        <w:t xml:space="preserve">s across the State.  Over the same period, approximately 70 </w:t>
      </w:r>
      <w:r w:rsidR="00246B9A">
        <w:t>elected member</w:t>
      </w:r>
      <w:r w:rsidRPr="000840CC">
        <w:t xml:space="preserve">s have enrolled in the </w:t>
      </w:r>
      <w:r w:rsidR="002818C6">
        <w:t>Elected</w:t>
      </w:r>
      <w:r w:rsidR="007F4ECC">
        <w:t xml:space="preserve"> </w:t>
      </w:r>
      <w:r w:rsidR="002818C6">
        <w:t>M</w:t>
      </w:r>
      <w:r w:rsidR="007F4ECC">
        <w:t>ember</w:t>
      </w:r>
      <w:r w:rsidRPr="000840CC">
        <w:t xml:space="preserve"> </w:t>
      </w:r>
      <w:r w:rsidR="002818C6">
        <w:t>D</w:t>
      </w:r>
      <w:r w:rsidRPr="000840CC">
        <w:t xml:space="preserve">iploma.   </w:t>
      </w:r>
    </w:p>
    <w:p w14:paraId="31B98131" w14:textId="6B700AFE" w:rsidR="000840CC" w:rsidRPr="000840CC" w:rsidRDefault="000840CC" w:rsidP="007C2C03">
      <w:pPr>
        <w:pStyle w:val="Caption"/>
      </w:pPr>
      <w:r w:rsidRPr="000840CC">
        <w:t xml:space="preserve">WALGA </w:t>
      </w:r>
      <w:r w:rsidR="00246B9A">
        <w:t>elected member</w:t>
      </w:r>
      <w:r w:rsidRPr="000840CC">
        <w:t xml:space="preserve"> training</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2268"/>
        <w:gridCol w:w="1985"/>
        <w:gridCol w:w="1979"/>
      </w:tblGrid>
      <w:tr w:rsidR="000840CC" w:rsidRPr="000840CC" w14:paraId="49F46D54" w14:textId="77777777" w:rsidTr="00A7265E">
        <w:trPr>
          <w:trHeight w:val="497"/>
          <w:tblHeader/>
          <w:jc w:val="center"/>
        </w:trPr>
        <w:tc>
          <w:tcPr>
            <w:tcW w:w="1701" w:type="dxa"/>
            <w:tcBorders>
              <w:bottom w:val="single" w:sz="4" w:space="0" w:color="auto"/>
            </w:tcBorders>
            <w:shd w:val="clear" w:color="auto" w:fill="E1F4FD"/>
          </w:tcPr>
          <w:p w14:paraId="349E07E6" w14:textId="77777777" w:rsidR="000840CC" w:rsidRPr="000840CC" w:rsidRDefault="000840CC" w:rsidP="000840CC">
            <w:pPr>
              <w:pStyle w:val="BodyText-nospacebelow"/>
            </w:pPr>
          </w:p>
        </w:tc>
        <w:tc>
          <w:tcPr>
            <w:tcW w:w="1843" w:type="dxa"/>
            <w:tcBorders>
              <w:bottom w:val="single" w:sz="4" w:space="0" w:color="auto"/>
            </w:tcBorders>
            <w:shd w:val="clear" w:color="auto" w:fill="E1F4FD"/>
          </w:tcPr>
          <w:p w14:paraId="2DA1C6E4" w14:textId="77777777" w:rsidR="000840CC" w:rsidRPr="000840CC" w:rsidRDefault="000840CC" w:rsidP="000840CC">
            <w:pPr>
              <w:pStyle w:val="BodyText-nospacebelow"/>
              <w:rPr>
                <w:b/>
              </w:rPr>
            </w:pPr>
            <w:r w:rsidRPr="000840CC">
              <w:rPr>
                <w:b/>
              </w:rPr>
              <w:t>2013-14</w:t>
            </w:r>
          </w:p>
        </w:tc>
        <w:tc>
          <w:tcPr>
            <w:tcW w:w="2268" w:type="dxa"/>
            <w:tcBorders>
              <w:bottom w:val="single" w:sz="4" w:space="0" w:color="auto"/>
            </w:tcBorders>
            <w:shd w:val="clear" w:color="auto" w:fill="E1F4FD"/>
          </w:tcPr>
          <w:p w14:paraId="3257E57B" w14:textId="77777777" w:rsidR="000840CC" w:rsidRPr="000840CC" w:rsidRDefault="000840CC" w:rsidP="000840CC">
            <w:pPr>
              <w:pStyle w:val="BodyText-nospacebelow"/>
              <w:rPr>
                <w:b/>
              </w:rPr>
            </w:pPr>
            <w:r w:rsidRPr="000840CC">
              <w:rPr>
                <w:b/>
              </w:rPr>
              <w:t>2014-15</w:t>
            </w:r>
          </w:p>
        </w:tc>
        <w:tc>
          <w:tcPr>
            <w:tcW w:w="1985" w:type="dxa"/>
            <w:tcBorders>
              <w:bottom w:val="single" w:sz="4" w:space="0" w:color="auto"/>
            </w:tcBorders>
            <w:shd w:val="clear" w:color="auto" w:fill="E1F4FD"/>
          </w:tcPr>
          <w:p w14:paraId="710B728D" w14:textId="77777777" w:rsidR="000840CC" w:rsidRPr="000840CC" w:rsidRDefault="000840CC" w:rsidP="000840CC">
            <w:pPr>
              <w:pStyle w:val="BodyText-nospacebelow"/>
              <w:rPr>
                <w:b/>
              </w:rPr>
            </w:pPr>
            <w:r w:rsidRPr="000840CC">
              <w:rPr>
                <w:b/>
              </w:rPr>
              <w:t>2015-16</w:t>
            </w:r>
          </w:p>
        </w:tc>
        <w:tc>
          <w:tcPr>
            <w:tcW w:w="1979" w:type="dxa"/>
            <w:tcBorders>
              <w:bottom w:val="single" w:sz="4" w:space="0" w:color="auto"/>
            </w:tcBorders>
            <w:shd w:val="clear" w:color="auto" w:fill="E1F4FD"/>
          </w:tcPr>
          <w:p w14:paraId="5F368761" w14:textId="77777777" w:rsidR="000840CC" w:rsidRPr="000840CC" w:rsidRDefault="000840CC" w:rsidP="000840CC">
            <w:pPr>
              <w:pStyle w:val="BodyText-nospacebelow"/>
              <w:rPr>
                <w:b/>
              </w:rPr>
            </w:pPr>
            <w:r w:rsidRPr="000840CC">
              <w:rPr>
                <w:b/>
              </w:rPr>
              <w:t>2016-17</w:t>
            </w:r>
          </w:p>
        </w:tc>
      </w:tr>
      <w:tr w:rsidR="000840CC" w:rsidRPr="000840CC" w14:paraId="563FF2FA" w14:textId="77777777" w:rsidTr="007C2C03">
        <w:trPr>
          <w:trHeight w:val="494"/>
          <w:jc w:val="center"/>
        </w:trPr>
        <w:tc>
          <w:tcPr>
            <w:tcW w:w="1701" w:type="dxa"/>
            <w:shd w:val="clear" w:color="auto" w:fill="auto"/>
          </w:tcPr>
          <w:p w14:paraId="4113083B" w14:textId="77777777" w:rsidR="000840CC" w:rsidRPr="000840CC" w:rsidRDefault="000840CC" w:rsidP="000840CC">
            <w:pPr>
              <w:pStyle w:val="BodyText-nospacebelow"/>
              <w:rPr>
                <w:b/>
              </w:rPr>
            </w:pPr>
            <w:r w:rsidRPr="000840CC">
              <w:rPr>
                <w:b/>
              </w:rPr>
              <w:t>Courses delivered</w:t>
            </w:r>
          </w:p>
        </w:tc>
        <w:tc>
          <w:tcPr>
            <w:tcW w:w="1843" w:type="dxa"/>
            <w:shd w:val="clear" w:color="auto" w:fill="auto"/>
          </w:tcPr>
          <w:p w14:paraId="122F9BAC" w14:textId="77777777" w:rsidR="000840CC" w:rsidRPr="000840CC" w:rsidRDefault="000840CC" w:rsidP="000840CC">
            <w:pPr>
              <w:pStyle w:val="BodyText-nospacebelow"/>
            </w:pPr>
            <w:r w:rsidRPr="000840CC">
              <w:t>61</w:t>
            </w:r>
          </w:p>
          <w:p w14:paraId="4773DFF7" w14:textId="77777777" w:rsidR="000840CC" w:rsidRPr="000840CC" w:rsidRDefault="000840CC" w:rsidP="000840CC">
            <w:pPr>
              <w:pStyle w:val="BodyText-nospacebelow"/>
            </w:pPr>
            <w:r w:rsidRPr="000840CC">
              <w:t>(including 8 CLGF funded courses)</w:t>
            </w:r>
          </w:p>
        </w:tc>
        <w:tc>
          <w:tcPr>
            <w:tcW w:w="2268" w:type="dxa"/>
            <w:shd w:val="clear" w:color="auto" w:fill="auto"/>
          </w:tcPr>
          <w:p w14:paraId="4363CF56" w14:textId="77777777" w:rsidR="000840CC" w:rsidRPr="000840CC" w:rsidRDefault="000840CC" w:rsidP="000840CC">
            <w:pPr>
              <w:pStyle w:val="BodyText-nospacebelow"/>
            </w:pPr>
            <w:r w:rsidRPr="000840CC">
              <w:t>89</w:t>
            </w:r>
          </w:p>
          <w:p w14:paraId="6715F074" w14:textId="77777777" w:rsidR="000840CC" w:rsidRPr="000840CC" w:rsidRDefault="000840CC" w:rsidP="000840CC">
            <w:pPr>
              <w:pStyle w:val="BodyText-nospacebelow"/>
            </w:pPr>
            <w:r w:rsidRPr="000840CC">
              <w:t>(including 31 CLGF funded courses)</w:t>
            </w:r>
          </w:p>
        </w:tc>
        <w:tc>
          <w:tcPr>
            <w:tcW w:w="1985" w:type="dxa"/>
            <w:shd w:val="clear" w:color="auto" w:fill="auto"/>
          </w:tcPr>
          <w:p w14:paraId="4FB686A7" w14:textId="77777777" w:rsidR="000840CC" w:rsidRPr="000840CC" w:rsidRDefault="000840CC" w:rsidP="000840CC">
            <w:pPr>
              <w:pStyle w:val="BodyText-nospacebelow"/>
            </w:pPr>
            <w:r w:rsidRPr="000840CC">
              <w:t xml:space="preserve">90 </w:t>
            </w:r>
          </w:p>
          <w:p w14:paraId="28589FD1" w14:textId="77777777" w:rsidR="000840CC" w:rsidRPr="000840CC" w:rsidRDefault="000840CC" w:rsidP="000840CC">
            <w:pPr>
              <w:pStyle w:val="BodyText-nospacebelow"/>
            </w:pPr>
            <w:r w:rsidRPr="000840CC">
              <w:t>(including 41 CLGF funded courses)</w:t>
            </w:r>
          </w:p>
        </w:tc>
        <w:tc>
          <w:tcPr>
            <w:tcW w:w="1979" w:type="dxa"/>
            <w:shd w:val="clear" w:color="auto" w:fill="auto"/>
          </w:tcPr>
          <w:p w14:paraId="6AF7E506" w14:textId="77777777" w:rsidR="000840CC" w:rsidRPr="000840CC" w:rsidRDefault="000840CC" w:rsidP="000840CC">
            <w:pPr>
              <w:pStyle w:val="BodyText-nospacebelow"/>
            </w:pPr>
            <w:r w:rsidRPr="000840CC">
              <w:t>106</w:t>
            </w:r>
          </w:p>
          <w:p w14:paraId="4319F7B0" w14:textId="77777777" w:rsidR="000840CC" w:rsidRPr="000840CC" w:rsidRDefault="000840CC" w:rsidP="000840CC">
            <w:pPr>
              <w:pStyle w:val="BodyText-nospacebelow"/>
            </w:pPr>
            <w:r w:rsidRPr="000840CC">
              <w:t>(including 76 CLGF funded courses)</w:t>
            </w:r>
          </w:p>
        </w:tc>
      </w:tr>
      <w:tr w:rsidR="000840CC" w:rsidRPr="000840CC" w14:paraId="4FE2E61C" w14:textId="77777777" w:rsidTr="007C2C03">
        <w:trPr>
          <w:trHeight w:val="481"/>
          <w:jc w:val="center"/>
        </w:trPr>
        <w:tc>
          <w:tcPr>
            <w:tcW w:w="1701" w:type="dxa"/>
            <w:shd w:val="clear" w:color="auto" w:fill="auto"/>
          </w:tcPr>
          <w:p w14:paraId="6E594B11" w14:textId="77777777" w:rsidR="000840CC" w:rsidRPr="000840CC" w:rsidRDefault="000840CC" w:rsidP="000840CC">
            <w:pPr>
              <w:pStyle w:val="BodyText-nospacebelow"/>
              <w:rPr>
                <w:b/>
              </w:rPr>
            </w:pPr>
            <w:r w:rsidRPr="000840CC">
              <w:rPr>
                <w:b/>
              </w:rPr>
              <w:t>Individual registrations</w:t>
            </w:r>
          </w:p>
        </w:tc>
        <w:tc>
          <w:tcPr>
            <w:tcW w:w="1843" w:type="dxa"/>
            <w:shd w:val="clear" w:color="auto" w:fill="auto"/>
          </w:tcPr>
          <w:p w14:paraId="72A1BABE" w14:textId="77777777" w:rsidR="000840CC" w:rsidRPr="000840CC" w:rsidRDefault="000840CC" w:rsidP="000840CC">
            <w:pPr>
              <w:pStyle w:val="BodyText-nospacebelow"/>
            </w:pPr>
            <w:r w:rsidRPr="000840CC">
              <w:t>625</w:t>
            </w:r>
          </w:p>
          <w:p w14:paraId="4185F6B2" w14:textId="77777777" w:rsidR="000840CC" w:rsidRPr="000840CC" w:rsidRDefault="000840CC" w:rsidP="000840CC">
            <w:pPr>
              <w:pStyle w:val="BodyText-nospacebelow"/>
            </w:pPr>
            <w:r w:rsidRPr="000840CC">
              <w:t xml:space="preserve">(including 41 registrations at </w:t>
            </w:r>
            <w:r w:rsidRPr="000840CC">
              <w:lastRenderedPageBreak/>
              <w:t>CLGF funded courses)</w:t>
            </w:r>
          </w:p>
        </w:tc>
        <w:tc>
          <w:tcPr>
            <w:tcW w:w="2268" w:type="dxa"/>
            <w:shd w:val="clear" w:color="auto" w:fill="auto"/>
          </w:tcPr>
          <w:p w14:paraId="4B55E541" w14:textId="77777777" w:rsidR="000840CC" w:rsidRPr="000840CC" w:rsidRDefault="000840CC" w:rsidP="000840CC">
            <w:pPr>
              <w:pStyle w:val="BodyText-nospacebelow"/>
            </w:pPr>
            <w:r w:rsidRPr="000840CC">
              <w:lastRenderedPageBreak/>
              <w:t xml:space="preserve">899 </w:t>
            </w:r>
          </w:p>
          <w:p w14:paraId="3948B93E" w14:textId="77777777" w:rsidR="000840CC" w:rsidRPr="000840CC" w:rsidRDefault="000840CC" w:rsidP="000840CC">
            <w:pPr>
              <w:pStyle w:val="BodyText-nospacebelow"/>
            </w:pPr>
            <w:r w:rsidRPr="000840CC">
              <w:t xml:space="preserve">(including 308 registrations at </w:t>
            </w:r>
            <w:r w:rsidRPr="000840CC">
              <w:lastRenderedPageBreak/>
              <w:t>CLGF funded courses)</w:t>
            </w:r>
          </w:p>
        </w:tc>
        <w:tc>
          <w:tcPr>
            <w:tcW w:w="1985" w:type="dxa"/>
            <w:shd w:val="clear" w:color="auto" w:fill="auto"/>
          </w:tcPr>
          <w:p w14:paraId="35F75611" w14:textId="77777777" w:rsidR="000840CC" w:rsidRPr="000840CC" w:rsidRDefault="000840CC" w:rsidP="000840CC">
            <w:pPr>
              <w:pStyle w:val="BodyText-nospacebelow"/>
            </w:pPr>
            <w:r w:rsidRPr="000840CC">
              <w:lastRenderedPageBreak/>
              <w:t xml:space="preserve">838 </w:t>
            </w:r>
          </w:p>
          <w:p w14:paraId="6CAD9C25" w14:textId="77777777" w:rsidR="000840CC" w:rsidRPr="000840CC" w:rsidRDefault="000840CC" w:rsidP="000840CC">
            <w:pPr>
              <w:pStyle w:val="BodyText-nospacebelow"/>
            </w:pPr>
            <w:r w:rsidRPr="000840CC">
              <w:t>(including 423 at CLGF funded courses)</w:t>
            </w:r>
          </w:p>
          <w:p w14:paraId="5B4C2CB4" w14:textId="77777777" w:rsidR="000840CC" w:rsidRPr="000840CC" w:rsidRDefault="000840CC" w:rsidP="000840CC">
            <w:pPr>
              <w:pStyle w:val="BodyText-nospacebelow"/>
            </w:pPr>
          </w:p>
        </w:tc>
        <w:tc>
          <w:tcPr>
            <w:tcW w:w="1979" w:type="dxa"/>
            <w:shd w:val="clear" w:color="auto" w:fill="auto"/>
          </w:tcPr>
          <w:p w14:paraId="145BD993" w14:textId="77777777" w:rsidR="000840CC" w:rsidRPr="000840CC" w:rsidRDefault="000840CC" w:rsidP="000840CC">
            <w:pPr>
              <w:pStyle w:val="BodyText-nospacebelow"/>
            </w:pPr>
            <w:r w:rsidRPr="000840CC">
              <w:lastRenderedPageBreak/>
              <w:t>930</w:t>
            </w:r>
          </w:p>
          <w:p w14:paraId="22B68A43" w14:textId="77777777" w:rsidR="000840CC" w:rsidRPr="000840CC" w:rsidRDefault="000840CC" w:rsidP="000840CC">
            <w:pPr>
              <w:pStyle w:val="BodyText-nospacebelow"/>
            </w:pPr>
            <w:r w:rsidRPr="000840CC">
              <w:t>(including 595 at CLGF funded courses)</w:t>
            </w:r>
          </w:p>
        </w:tc>
      </w:tr>
    </w:tbl>
    <w:p w14:paraId="4EA29BBC" w14:textId="77777777" w:rsidR="000840CC" w:rsidRPr="000840CC" w:rsidRDefault="000840CC" w:rsidP="000840CC">
      <w:pPr>
        <w:pStyle w:val="BodyText-nospacebelow"/>
      </w:pPr>
    </w:p>
    <w:p w14:paraId="4F3D53C9" w14:textId="33609D20" w:rsidR="000840CC" w:rsidRPr="000840CC" w:rsidRDefault="000840CC" w:rsidP="00AC131F">
      <w:pPr>
        <w:pStyle w:val="BodyText-nospacebelow"/>
        <w:jc w:val="both"/>
      </w:pPr>
      <w:bookmarkStart w:id="139" w:name="_Toc486861259"/>
      <w:bookmarkStart w:id="140" w:name="_Toc486926698"/>
      <w:bookmarkStart w:id="141" w:name="_Toc487553353"/>
      <w:bookmarkStart w:id="142" w:name="_Toc487625880"/>
      <w:bookmarkStart w:id="143" w:name="_Toc487711015"/>
      <w:bookmarkStart w:id="144" w:name="_Toc487727807"/>
      <w:bookmarkStart w:id="145" w:name="_Toc487728178"/>
      <w:bookmarkStart w:id="146" w:name="_Toc491097227"/>
      <w:bookmarkStart w:id="147" w:name="_Toc491097617"/>
      <w:bookmarkStart w:id="148" w:name="_Toc491857072"/>
      <w:bookmarkStart w:id="149" w:name="_Toc491872689"/>
      <w:bookmarkStart w:id="150" w:name="_Toc491873623"/>
      <w:bookmarkStart w:id="151" w:name="_Toc491934251"/>
      <w:r w:rsidRPr="000840CC">
        <w:t xml:space="preserve">In some circumstances, </w:t>
      </w:r>
      <w:r w:rsidR="00246B9A">
        <w:t>elected member</w:t>
      </w:r>
      <w:r w:rsidRPr="000840CC">
        <w:t xml:space="preserve">s are required to receive training.  Under the </w:t>
      </w:r>
      <w:r w:rsidRPr="00D11D33">
        <w:rPr>
          <w:i/>
        </w:rPr>
        <w:t>Planning and Development (Development Assessment Panels) Regulations 2011</w:t>
      </w:r>
      <w:r w:rsidRPr="000840CC">
        <w:t xml:space="preserve">, </w:t>
      </w:r>
      <w:r w:rsidR="00246B9A">
        <w:t>elected member</w:t>
      </w:r>
      <w:r w:rsidRPr="000840CC">
        <w:t>s appointed as a Development Assessment Panel (DAP) members are required to complete training approved by the Department of Planning</w:t>
      </w:r>
      <w:r w:rsidR="00F71CB4">
        <w:t>, Lands and Heritage</w:t>
      </w:r>
      <w:r w:rsidRPr="000840CC">
        <w:t xml:space="preserve">.  This requirement reflects that to perform certain duties </w:t>
      </w:r>
      <w:r w:rsidR="00246B9A">
        <w:t>elected member</w:t>
      </w:r>
      <w:r w:rsidRPr="000840CC">
        <w:t>s require specialist skills that</w:t>
      </w:r>
      <w:r w:rsidR="00FE0B6E">
        <w:t xml:space="preserve"> they</w:t>
      </w:r>
      <w:r w:rsidRPr="000840CC">
        <w:t xml:space="preserve"> may not yet possess.</w:t>
      </w:r>
    </w:p>
    <w:p w14:paraId="4800CA52" w14:textId="77777777" w:rsidR="000840CC" w:rsidRPr="000840CC" w:rsidRDefault="000840CC" w:rsidP="00913940">
      <w:pPr>
        <w:pStyle w:val="Heading2"/>
      </w:pPr>
      <w:bookmarkStart w:id="152" w:name="_Toc492368873"/>
      <w:bookmarkStart w:id="153" w:name="_Toc492386601"/>
      <w:bookmarkStart w:id="154" w:name="_Toc492468843"/>
      <w:bookmarkStart w:id="155" w:name="_Toc492470518"/>
      <w:bookmarkStart w:id="156" w:name="_Toc492471198"/>
      <w:bookmarkStart w:id="157" w:name="_Toc492471323"/>
      <w:bookmarkStart w:id="158" w:name="_Toc493746613"/>
      <w:bookmarkStart w:id="159" w:name="_Toc493768829"/>
      <w:bookmarkStart w:id="160" w:name="_Toc493859901"/>
      <w:bookmarkStart w:id="161" w:name="_Toc495491802"/>
      <w:bookmarkStart w:id="162" w:name="_Toc495497582"/>
      <w:bookmarkStart w:id="163" w:name="_Toc495671430"/>
      <w:bookmarkStart w:id="164" w:name="_Toc495676028"/>
      <w:bookmarkStart w:id="165" w:name="_Toc495678323"/>
      <w:bookmarkStart w:id="166" w:name="_Toc495998321"/>
      <w:bookmarkStart w:id="167" w:name="_Toc497741793"/>
      <w:bookmarkEnd w:id="139"/>
      <w:bookmarkEnd w:id="140"/>
      <w:bookmarkEnd w:id="141"/>
      <w:bookmarkEnd w:id="142"/>
      <w:bookmarkEnd w:id="143"/>
      <w:bookmarkEnd w:id="144"/>
      <w:bookmarkEnd w:id="145"/>
      <w:bookmarkEnd w:id="146"/>
      <w:bookmarkEnd w:id="147"/>
      <w:bookmarkEnd w:id="148"/>
      <w:bookmarkEnd w:id="149"/>
      <w:bookmarkEnd w:id="150"/>
      <w:bookmarkEnd w:id="151"/>
      <w:r w:rsidRPr="000840CC">
        <w:t>Across Australia</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615E99B5" w14:textId="5C204488" w:rsidR="000840CC" w:rsidRDefault="000840CC" w:rsidP="00AC131F">
      <w:pPr>
        <w:pStyle w:val="BodyText-nospacebelow"/>
        <w:jc w:val="both"/>
      </w:pPr>
      <w:r w:rsidRPr="000840CC">
        <w:t xml:space="preserve">Until recently, South Australia was the only State that required </w:t>
      </w:r>
      <w:r w:rsidR="00246B9A">
        <w:t>elected member</w:t>
      </w:r>
      <w:r w:rsidRPr="000840CC">
        <w:t>s to be trained. However, across Australia, moves are underway to introduce mandatory training. New South Wales has amended its legislation to require councils to implement induction programs and professional development, and serious consideration is being given to the concept in Tasmania and the Northern Territory.</w:t>
      </w:r>
    </w:p>
    <w:p w14:paraId="053BA081" w14:textId="77777777" w:rsidR="00913940" w:rsidRPr="000840CC" w:rsidRDefault="00913940" w:rsidP="00AC131F">
      <w:pPr>
        <w:pStyle w:val="BodyText-nospacebelow"/>
        <w:jc w:val="both"/>
      </w:pPr>
    </w:p>
    <w:p w14:paraId="5B892FFB" w14:textId="1B6778C2" w:rsidR="000840CC" w:rsidRPr="000840CC" w:rsidRDefault="000840CC" w:rsidP="00AC131F">
      <w:pPr>
        <w:pStyle w:val="BodyText-nospacebelow"/>
        <w:jc w:val="both"/>
      </w:pPr>
      <w:r w:rsidRPr="000840CC">
        <w:t xml:space="preserve">While training in Queensland </w:t>
      </w:r>
      <w:r w:rsidR="00183CF2">
        <w:t>is not mandatory</w:t>
      </w:r>
      <w:r w:rsidRPr="000840CC">
        <w:t>, a culture of professional development has been embedded in the State, with 90</w:t>
      </w:r>
      <w:r w:rsidR="00183CF2">
        <w:t xml:space="preserve"> per cent</w:t>
      </w:r>
      <w:r w:rsidRPr="000840CC">
        <w:t xml:space="preserve"> of </w:t>
      </w:r>
      <w:r w:rsidR="00246B9A">
        <w:t>elected member</w:t>
      </w:r>
      <w:r w:rsidR="00F71CB4">
        <w:t>s</w:t>
      </w:r>
      <w:r w:rsidR="00F71CB4" w:rsidRPr="000840CC">
        <w:t xml:space="preserve"> </w:t>
      </w:r>
      <w:r w:rsidRPr="000840CC">
        <w:t xml:space="preserve">and a high percentage of candidates </w:t>
      </w:r>
      <w:r w:rsidR="00183CF2">
        <w:t xml:space="preserve">voluntarily </w:t>
      </w:r>
      <w:r w:rsidRPr="000840CC">
        <w:t>undergoing training.</w:t>
      </w:r>
    </w:p>
    <w:p w14:paraId="39029616" w14:textId="77777777" w:rsidR="000840CC" w:rsidRPr="000840CC" w:rsidRDefault="000840CC" w:rsidP="00AC131F">
      <w:pPr>
        <w:pStyle w:val="BodyText-nospacebelow"/>
        <w:jc w:val="both"/>
      </w:pPr>
    </w:p>
    <w:tbl>
      <w:tblPr>
        <w:tblStyle w:val="DLGCTable-Data"/>
        <w:tblW w:w="8931" w:type="dxa"/>
        <w:tblLayout w:type="fixed"/>
        <w:tblLook w:val="04A0" w:firstRow="1" w:lastRow="0" w:firstColumn="1" w:lastColumn="0" w:noHBand="0" w:noVBand="1"/>
      </w:tblPr>
      <w:tblGrid>
        <w:gridCol w:w="4465"/>
        <w:gridCol w:w="4466"/>
      </w:tblGrid>
      <w:tr w:rsidR="000840CC" w:rsidRPr="000840CC" w14:paraId="0CFF0E5E" w14:textId="77777777" w:rsidTr="00A7265E">
        <w:trPr>
          <w:cnfStyle w:val="100000000000" w:firstRow="1" w:lastRow="0" w:firstColumn="0" w:lastColumn="0" w:oddVBand="0" w:evenVBand="0" w:oddHBand="0" w:evenHBand="0" w:firstRowFirstColumn="0" w:firstRowLastColumn="0" w:lastRowFirstColumn="0" w:lastRowLastColumn="0"/>
          <w:trHeight w:val="338"/>
        </w:trPr>
        <w:tc>
          <w:tcPr>
            <w:tcW w:w="0" w:type="dxa"/>
            <w:tcMar>
              <w:top w:w="113" w:type="dxa"/>
              <w:bottom w:w="113" w:type="dxa"/>
            </w:tcMar>
          </w:tcPr>
          <w:p w14:paraId="3344A508" w14:textId="77777777" w:rsidR="000840CC" w:rsidRPr="00D11D33" w:rsidRDefault="000840CC" w:rsidP="000840CC">
            <w:pPr>
              <w:pStyle w:val="BodyText-nospacebelow"/>
              <w:spacing w:before="0" w:line="276" w:lineRule="auto"/>
            </w:pPr>
            <w:r w:rsidRPr="00D11D33">
              <w:t>Jurisdiction</w:t>
            </w:r>
          </w:p>
        </w:tc>
        <w:tc>
          <w:tcPr>
            <w:tcW w:w="0" w:type="dxa"/>
            <w:tcMar>
              <w:top w:w="113" w:type="dxa"/>
              <w:bottom w:w="113" w:type="dxa"/>
            </w:tcMar>
          </w:tcPr>
          <w:p w14:paraId="6B7BF1FB" w14:textId="77777777" w:rsidR="000840CC" w:rsidRPr="00D11D33" w:rsidRDefault="000840CC" w:rsidP="000840CC">
            <w:pPr>
              <w:pStyle w:val="BodyText-nospacebelow"/>
              <w:spacing w:before="0" w:line="276" w:lineRule="auto"/>
            </w:pPr>
            <w:r w:rsidRPr="00D11D33">
              <w:t>Status</w:t>
            </w:r>
          </w:p>
        </w:tc>
      </w:tr>
      <w:tr w:rsidR="000840CC" w:rsidRPr="000840CC" w14:paraId="20A8A598" w14:textId="77777777" w:rsidTr="00A7265E">
        <w:trPr>
          <w:trHeight w:val="494"/>
        </w:trPr>
        <w:tc>
          <w:tcPr>
            <w:tcW w:w="0" w:type="dxa"/>
            <w:tcMar>
              <w:top w:w="113" w:type="dxa"/>
              <w:bottom w:w="113" w:type="dxa"/>
            </w:tcMar>
          </w:tcPr>
          <w:p w14:paraId="2FD6DA15" w14:textId="77777777" w:rsidR="000840CC" w:rsidRPr="000840CC" w:rsidRDefault="000840CC" w:rsidP="00D91EB1">
            <w:pPr>
              <w:pStyle w:val="BodyText-nospacebelow"/>
              <w:spacing w:after="40"/>
            </w:pPr>
            <w:r w:rsidRPr="000840CC">
              <w:t>Western Australia</w:t>
            </w:r>
          </w:p>
        </w:tc>
        <w:tc>
          <w:tcPr>
            <w:tcW w:w="0" w:type="dxa"/>
            <w:tcMar>
              <w:top w:w="113" w:type="dxa"/>
              <w:bottom w:w="113" w:type="dxa"/>
            </w:tcMar>
          </w:tcPr>
          <w:p w14:paraId="6079185E" w14:textId="77777777" w:rsidR="000840CC" w:rsidRPr="000840CC" w:rsidRDefault="000840CC" w:rsidP="000840CC">
            <w:pPr>
              <w:pStyle w:val="BodyText-nospacebelow"/>
            </w:pPr>
            <w:r w:rsidRPr="000840CC">
              <w:t xml:space="preserve">Voluntary </w:t>
            </w:r>
          </w:p>
        </w:tc>
      </w:tr>
      <w:tr w:rsidR="000840CC" w:rsidRPr="000840CC" w14:paraId="07A15EFC" w14:textId="77777777" w:rsidTr="00A7265E">
        <w:trPr>
          <w:trHeight w:val="481"/>
        </w:trPr>
        <w:tc>
          <w:tcPr>
            <w:tcW w:w="0" w:type="dxa"/>
            <w:tcMar>
              <w:top w:w="113" w:type="dxa"/>
              <w:bottom w:w="113" w:type="dxa"/>
            </w:tcMar>
          </w:tcPr>
          <w:p w14:paraId="00E56AB9" w14:textId="77777777" w:rsidR="000840CC" w:rsidRPr="000840CC" w:rsidRDefault="000840CC" w:rsidP="000840CC">
            <w:pPr>
              <w:pStyle w:val="BodyText-nospacebelow"/>
            </w:pPr>
            <w:r w:rsidRPr="000840CC">
              <w:t>New South Wales</w:t>
            </w:r>
          </w:p>
        </w:tc>
        <w:tc>
          <w:tcPr>
            <w:tcW w:w="0" w:type="dxa"/>
            <w:tcMar>
              <w:top w:w="113" w:type="dxa"/>
              <w:bottom w:w="113" w:type="dxa"/>
            </w:tcMar>
          </w:tcPr>
          <w:p w14:paraId="7C3BFF04" w14:textId="77777777" w:rsidR="000840CC" w:rsidRPr="000840CC" w:rsidRDefault="000840CC" w:rsidP="000840CC">
            <w:pPr>
              <w:pStyle w:val="BodyText-nospacebelow"/>
            </w:pPr>
            <w:r w:rsidRPr="000840CC">
              <w:t>Mandatory</w:t>
            </w:r>
          </w:p>
          <w:p w14:paraId="24B3250E" w14:textId="5AFA05B3" w:rsidR="000840CC" w:rsidRPr="000840CC" w:rsidRDefault="000840CC" w:rsidP="00D91EB1">
            <w:pPr>
              <w:pStyle w:val="BodyText-nospacebelow"/>
              <w:spacing w:after="40"/>
            </w:pPr>
            <w:r w:rsidRPr="000840CC">
              <w:t>Regulations under development</w:t>
            </w:r>
          </w:p>
        </w:tc>
      </w:tr>
      <w:tr w:rsidR="000840CC" w:rsidRPr="000840CC" w14:paraId="310FA9D9" w14:textId="77777777" w:rsidTr="00A7265E">
        <w:trPr>
          <w:trHeight w:val="481"/>
        </w:trPr>
        <w:tc>
          <w:tcPr>
            <w:tcW w:w="0" w:type="dxa"/>
            <w:tcMar>
              <w:top w:w="113" w:type="dxa"/>
              <w:bottom w:w="113" w:type="dxa"/>
            </w:tcMar>
          </w:tcPr>
          <w:p w14:paraId="54C5954E" w14:textId="77777777" w:rsidR="000840CC" w:rsidRPr="000840CC" w:rsidRDefault="000840CC" w:rsidP="000840CC">
            <w:pPr>
              <w:pStyle w:val="BodyText-nospacebelow"/>
            </w:pPr>
            <w:r w:rsidRPr="000840CC">
              <w:t xml:space="preserve">Victoria </w:t>
            </w:r>
          </w:p>
        </w:tc>
        <w:tc>
          <w:tcPr>
            <w:tcW w:w="0" w:type="dxa"/>
            <w:tcMar>
              <w:top w:w="113" w:type="dxa"/>
              <w:bottom w:w="113" w:type="dxa"/>
            </w:tcMar>
          </w:tcPr>
          <w:p w14:paraId="3AFDAE2C" w14:textId="77777777" w:rsidR="000840CC" w:rsidRPr="000840CC" w:rsidRDefault="000840CC" w:rsidP="000840CC">
            <w:pPr>
              <w:pStyle w:val="BodyText-nospacebelow"/>
            </w:pPr>
            <w:r w:rsidRPr="000840CC">
              <w:t>Voluntary</w:t>
            </w:r>
          </w:p>
        </w:tc>
      </w:tr>
      <w:tr w:rsidR="000840CC" w:rsidRPr="000840CC" w14:paraId="168DD033" w14:textId="77777777" w:rsidTr="00A7265E">
        <w:trPr>
          <w:trHeight w:val="481"/>
        </w:trPr>
        <w:tc>
          <w:tcPr>
            <w:tcW w:w="0" w:type="dxa"/>
            <w:tcMar>
              <w:top w:w="113" w:type="dxa"/>
              <w:bottom w:w="113" w:type="dxa"/>
            </w:tcMar>
          </w:tcPr>
          <w:p w14:paraId="40F3B7D5" w14:textId="77777777" w:rsidR="000840CC" w:rsidRPr="000840CC" w:rsidRDefault="000840CC" w:rsidP="000840CC">
            <w:pPr>
              <w:pStyle w:val="BodyText-nospacebelow"/>
            </w:pPr>
            <w:r w:rsidRPr="000840CC">
              <w:t>Queensland</w:t>
            </w:r>
          </w:p>
        </w:tc>
        <w:tc>
          <w:tcPr>
            <w:tcW w:w="0" w:type="dxa"/>
            <w:tcMar>
              <w:top w:w="113" w:type="dxa"/>
              <w:bottom w:w="113" w:type="dxa"/>
            </w:tcMar>
          </w:tcPr>
          <w:p w14:paraId="60E04397" w14:textId="44B98A9B" w:rsidR="000840CC" w:rsidRPr="000840CC" w:rsidRDefault="000840CC" w:rsidP="00D91EB1">
            <w:pPr>
              <w:pStyle w:val="BodyText-nospacebelow"/>
              <w:spacing w:after="40"/>
            </w:pPr>
            <w:r w:rsidRPr="000840CC">
              <w:t xml:space="preserve">Voluntary – high participation rates due to use of </w:t>
            </w:r>
            <w:r w:rsidR="00A53390">
              <w:t xml:space="preserve">an </w:t>
            </w:r>
            <w:r w:rsidRPr="000840CC">
              <w:t>in-house training unit</w:t>
            </w:r>
          </w:p>
        </w:tc>
      </w:tr>
      <w:tr w:rsidR="000840CC" w:rsidRPr="000840CC" w14:paraId="45EAFF69" w14:textId="77777777" w:rsidTr="00A7265E">
        <w:trPr>
          <w:trHeight w:val="481"/>
        </w:trPr>
        <w:tc>
          <w:tcPr>
            <w:tcW w:w="0" w:type="dxa"/>
            <w:tcMar>
              <w:top w:w="113" w:type="dxa"/>
              <w:bottom w:w="113" w:type="dxa"/>
            </w:tcMar>
          </w:tcPr>
          <w:p w14:paraId="5978EDEC" w14:textId="77777777" w:rsidR="000840CC" w:rsidRPr="000840CC" w:rsidRDefault="000840CC" w:rsidP="000840CC">
            <w:pPr>
              <w:pStyle w:val="BodyText-nospacebelow"/>
            </w:pPr>
            <w:r w:rsidRPr="000840CC">
              <w:t>South Australia</w:t>
            </w:r>
          </w:p>
        </w:tc>
        <w:tc>
          <w:tcPr>
            <w:tcW w:w="0" w:type="dxa"/>
            <w:tcMar>
              <w:top w:w="113" w:type="dxa"/>
              <w:bottom w:w="113" w:type="dxa"/>
            </w:tcMar>
          </w:tcPr>
          <w:p w14:paraId="0F4C55D2" w14:textId="77777777" w:rsidR="000840CC" w:rsidRPr="000840CC" w:rsidRDefault="000840CC" w:rsidP="000840CC">
            <w:pPr>
              <w:pStyle w:val="BodyText-nospacebelow"/>
            </w:pPr>
            <w:r w:rsidRPr="000840CC">
              <w:t>Mandatory:</w:t>
            </w:r>
          </w:p>
          <w:p w14:paraId="7E852005" w14:textId="1D072956" w:rsidR="000840CC" w:rsidRPr="000840CC" w:rsidRDefault="000840CC" w:rsidP="00163351">
            <w:pPr>
              <w:pStyle w:val="BodyText-nospacebelow"/>
              <w:numPr>
                <w:ilvl w:val="0"/>
                <w:numId w:val="23"/>
              </w:numPr>
            </w:pPr>
            <w:r w:rsidRPr="000840CC">
              <w:lastRenderedPageBreak/>
              <w:t>A council must prepare and adopt a training and development policy for its members</w:t>
            </w:r>
          </w:p>
          <w:p w14:paraId="542A4BA3" w14:textId="36C99798" w:rsidR="000840CC" w:rsidRPr="000840CC" w:rsidRDefault="000840CC" w:rsidP="00163351">
            <w:pPr>
              <w:pStyle w:val="BodyText-nospacebelow"/>
              <w:numPr>
                <w:ilvl w:val="0"/>
                <w:numId w:val="23"/>
              </w:numPr>
            </w:pPr>
            <w:r w:rsidRPr="000840CC">
              <w:t>Council policies must comply with training standards</w:t>
            </w:r>
          </w:p>
          <w:p w14:paraId="75A494BD" w14:textId="6EC96367" w:rsidR="000840CC" w:rsidRPr="000840CC" w:rsidRDefault="000840CC" w:rsidP="00163351">
            <w:pPr>
              <w:pStyle w:val="BodyText-nospacebelow"/>
              <w:numPr>
                <w:ilvl w:val="0"/>
                <w:numId w:val="23"/>
              </w:numPr>
              <w:spacing w:after="40"/>
              <w:ind w:left="527" w:hanging="357"/>
            </w:pPr>
            <w:r w:rsidRPr="000840CC">
              <w:t>The training standards cover i</w:t>
            </w:r>
            <w:r w:rsidR="00D91EB1">
              <w:t>ntroduction to local government,</w:t>
            </w:r>
            <w:r w:rsidRPr="000840CC">
              <w:t xml:space="preserve"> legal responsibilities</w:t>
            </w:r>
            <w:r w:rsidR="00D91EB1">
              <w:t>,</w:t>
            </w:r>
            <w:r w:rsidRPr="000840CC">
              <w:t xml:space="preserve"> council and committee meetings</w:t>
            </w:r>
            <w:r w:rsidR="00D91EB1">
              <w:t>,</w:t>
            </w:r>
            <w:r w:rsidRPr="000840CC">
              <w:t xml:space="preserve"> fin</w:t>
            </w:r>
            <w:r w:rsidR="00D91EB1">
              <w:t>ancial management and reporting</w:t>
            </w:r>
          </w:p>
        </w:tc>
      </w:tr>
      <w:tr w:rsidR="000840CC" w:rsidRPr="000840CC" w14:paraId="66071A3B" w14:textId="77777777" w:rsidTr="00A7265E">
        <w:trPr>
          <w:trHeight w:val="481"/>
        </w:trPr>
        <w:tc>
          <w:tcPr>
            <w:tcW w:w="0" w:type="dxa"/>
            <w:tcMar>
              <w:top w:w="113" w:type="dxa"/>
              <w:bottom w:w="113" w:type="dxa"/>
            </w:tcMar>
          </w:tcPr>
          <w:p w14:paraId="63553696" w14:textId="77777777" w:rsidR="000840CC" w:rsidRPr="000840CC" w:rsidRDefault="000840CC" w:rsidP="000840CC">
            <w:pPr>
              <w:pStyle w:val="BodyText-nospacebelow"/>
            </w:pPr>
            <w:r w:rsidRPr="000840CC">
              <w:lastRenderedPageBreak/>
              <w:t>Tasmania</w:t>
            </w:r>
          </w:p>
        </w:tc>
        <w:tc>
          <w:tcPr>
            <w:tcW w:w="0" w:type="dxa"/>
            <w:tcMar>
              <w:top w:w="113" w:type="dxa"/>
              <w:bottom w:w="113" w:type="dxa"/>
            </w:tcMar>
          </w:tcPr>
          <w:p w14:paraId="571BF15B" w14:textId="3EF767AB" w:rsidR="000840CC" w:rsidRPr="000840CC" w:rsidRDefault="000840CC" w:rsidP="000840CC">
            <w:pPr>
              <w:pStyle w:val="BodyText-nospacebelow"/>
            </w:pPr>
            <w:r w:rsidRPr="000840CC">
              <w:t>Voluntary - but under consideration</w:t>
            </w:r>
          </w:p>
        </w:tc>
      </w:tr>
      <w:tr w:rsidR="000840CC" w:rsidRPr="000840CC" w14:paraId="139A694C" w14:textId="77777777" w:rsidTr="00A7265E">
        <w:trPr>
          <w:trHeight w:val="481"/>
        </w:trPr>
        <w:tc>
          <w:tcPr>
            <w:tcW w:w="0" w:type="dxa"/>
            <w:tcMar>
              <w:top w:w="113" w:type="dxa"/>
              <w:bottom w:w="113" w:type="dxa"/>
            </w:tcMar>
          </w:tcPr>
          <w:p w14:paraId="39863209" w14:textId="77777777" w:rsidR="000840CC" w:rsidRPr="000840CC" w:rsidRDefault="000840CC" w:rsidP="00D91EB1">
            <w:pPr>
              <w:pStyle w:val="BodyText-nospacebelow"/>
              <w:spacing w:after="40"/>
            </w:pPr>
            <w:r w:rsidRPr="000840CC">
              <w:t>Northern Territory</w:t>
            </w:r>
          </w:p>
        </w:tc>
        <w:tc>
          <w:tcPr>
            <w:tcW w:w="0" w:type="dxa"/>
            <w:tcMar>
              <w:top w:w="113" w:type="dxa"/>
              <w:bottom w:w="113" w:type="dxa"/>
            </w:tcMar>
          </w:tcPr>
          <w:p w14:paraId="6C3A4C9F" w14:textId="3450F1B3" w:rsidR="000840CC" w:rsidRPr="000840CC" w:rsidRDefault="000840CC" w:rsidP="000840CC">
            <w:pPr>
              <w:pStyle w:val="BodyText-nospacebelow"/>
            </w:pPr>
            <w:r w:rsidRPr="000840CC">
              <w:t>Voluntary - but under consideration</w:t>
            </w:r>
          </w:p>
        </w:tc>
      </w:tr>
    </w:tbl>
    <w:p w14:paraId="25C65410" w14:textId="77777777" w:rsidR="000840CC" w:rsidRPr="000840CC" w:rsidRDefault="000840CC" w:rsidP="000840CC">
      <w:pPr>
        <w:pStyle w:val="BodyText-nospacebelow"/>
      </w:pPr>
    </w:p>
    <w:p w14:paraId="4493C048" w14:textId="4273745A" w:rsidR="000840CC" w:rsidRPr="000840CC" w:rsidRDefault="000840CC" w:rsidP="003A1777">
      <w:pPr>
        <w:pStyle w:val="Heading2"/>
        <w:numPr>
          <w:ilvl w:val="1"/>
          <w:numId w:val="85"/>
        </w:numPr>
      </w:pPr>
      <w:bookmarkStart w:id="168" w:name="_Toc493768830"/>
      <w:bookmarkStart w:id="169" w:name="_Toc491097228"/>
      <w:bookmarkStart w:id="170" w:name="_Toc491097618"/>
      <w:bookmarkStart w:id="171" w:name="_Toc491857073"/>
      <w:bookmarkStart w:id="172" w:name="_Toc491872690"/>
      <w:bookmarkStart w:id="173" w:name="_Toc491873624"/>
      <w:bookmarkStart w:id="174" w:name="_Toc491934252"/>
      <w:bookmarkStart w:id="175" w:name="_Toc492368874"/>
      <w:bookmarkStart w:id="176" w:name="_Toc492386602"/>
      <w:bookmarkStart w:id="177" w:name="_Toc492468844"/>
      <w:bookmarkStart w:id="178" w:name="_Toc492470519"/>
      <w:bookmarkStart w:id="179" w:name="_Toc492471199"/>
      <w:bookmarkStart w:id="180" w:name="_Toc492471324"/>
      <w:bookmarkStart w:id="181" w:name="_Toc493746614"/>
      <w:bookmarkStart w:id="182" w:name="_Toc493859902"/>
      <w:bookmarkStart w:id="183" w:name="_Toc495491803"/>
      <w:bookmarkStart w:id="184" w:name="_Toc495497583"/>
      <w:bookmarkStart w:id="185" w:name="_Toc495671431"/>
      <w:bookmarkStart w:id="186" w:name="_Toc495676029"/>
      <w:bookmarkStart w:id="187" w:name="_Toc495678324"/>
      <w:bookmarkStart w:id="188" w:name="_Toc495998322"/>
      <w:bookmarkStart w:id="189" w:name="_Toc497741794"/>
      <w:bookmarkStart w:id="190" w:name="_Toc486861262"/>
      <w:bookmarkStart w:id="191" w:name="_Toc486926701"/>
      <w:bookmarkStart w:id="192" w:name="_Toc487553356"/>
      <w:bookmarkStart w:id="193" w:name="_Toc487625883"/>
      <w:bookmarkStart w:id="194" w:name="_Toc487711018"/>
      <w:bookmarkStart w:id="195" w:name="_Toc487727810"/>
      <w:bookmarkStart w:id="196" w:name="_Toc487728181"/>
      <w:r w:rsidRPr="000840CC">
        <w:t>Competencies required to be a</w:t>
      </w:r>
      <w:r w:rsidR="00246B9A">
        <w:t>n</w:t>
      </w:r>
      <w:r w:rsidRPr="000840CC">
        <w:t xml:space="preserve">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00246B9A">
        <w:t>elected member</w:t>
      </w:r>
      <w:bookmarkEnd w:id="189"/>
    </w:p>
    <w:p w14:paraId="73445528" w14:textId="77777777" w:rsidR="000840CC" w:rsidRDefault="000840CC" w:rsidP="00AC131F">
      <w:pPr>
        <w:pStyle w:val="BodyText-nospacebelow"/>
        <w:jc w:val="both"/>
      </w:pPr>
      <w:r w:rsidRPr="000840CC">
        <w:t>With an operating budget of over $4 billion and assets worth over $40 billion, Western Australian local government is a big business.</w:t>
      </w:r>
    </w:p>
    <w:p w14:paraId="1F83D8EB" w14:textId="77777777" w:rsidR="00D11D33" w:rsidRPr="000840CC" w:rsidRDefault="00D11D33" w:rsidP="00AC131F">
      <w:pPr>
        <w:pStyle w:val="BodyText-nospacebelow"/>
        <w:jc w:val="both"/>
      </w:pPr>
    </w:p>
    <w:p w14:paraId="20256CBD" w14:textId="2F60B3E2" w:rsidR="000840CC" w:rsidRDefault="000840CC" w:rsidP="00AC131F">
      <w:pPr>
        <w:pStyle w:val="BodyText-nospacebelow"/>
        <w:jc w:val="both"/>
      </w:pPr>
      <w:r w:rsidRPr="000840CC">
        <w:t xml:space="preserve">Local government </w:t>
      </w:r>
      <w:r w:rsidR="00246B9A">
        <w:t>elected member</w:t>
      </w:r>
      <w:r w:rsidRPr="000840CC">
        <w:t xml:space="preserve">s take on a uniquely challenging role. They are responsible for representing their district and providing oversight for the complex operations of a local government, with varying levels of support from local government administration.  The complex role of </w:t>
      </w:r>
      <w:r w:rsidR="00246B9A">
        <w:t>elected member</w:t>
      </w:r>
      <w:r w:rsidRPr="000840CC">
        <w:t xml:space="preserve">s is summarised in the </w:t>
      </w:r>
      <w:r w:rsidR="00674A8A">
        <w:t>councillor position description</w:t>
      </w:r>
      <w:r w:rsidR="005D6B78">
        <w:t xml:space="preserve"> </w:t>
      </w:r>
      <w:r w:rsidRPr="005D6B78">
        <w:t>in</w:t>
      </w:r>
      <w:r w:rsidR="005D6B78">
        <w:t>cluded as</w:t>
      </w:r>
      <w:r w:rsidRPr="005D6B78">
        <w:t xml:space="preserve"> </w:t>
      </w:r>
      <w:r w:rsidR="005D6B78" w:rsidRPr="005D6B78">
        <w:t>A</w:t>
      </w:r>
      <w:r w:rsidRPr="005D6B78">
        <w:t xml:space="preserve">ttachment </w:t>
      </w:r>
      <w:r w:rsidR="005D6B78">
        <w:t>1.  This was</w:t>
      </w:r>
      <w:r w:rsidRPr="000840CC">
        <w:t xml:space="preserve"> developed by the </w:t>
      </w:r>
      <w:r w:rsidR="007817C6">
        <w:t>Department</w:t>
      </w:r>
      <w:r w:rsidRPr="000840CC">
        <w:t xml:space="preserve"> in 2015 to assist potential candidates better understand the role.</w:t>
      </w:r>
    </w:p>
    <w:p w14:paraId="56C95F6F" w14:textId="77777777" w:rsidR="00D11D33" w:rsidRPr="000840CC" w:rsidRDefault="00D11D33" w:rsidP="00D11D33">
      <w:pPr>
        <w:pStyle w:val="BodyText-nospacebelow"/>
        <w:ind w:left="360"/>
      </w:pPr>
    </w:p>
    <w:p w14:paraId="065EF7D3" w14:textId="610D1883" w:rsidR="000840CC" w:rsidRDefault="000840CC" w:rsidP="00AC131F">
      <w:pPr>
        <w:pStyle w:val="BodyText-nospacebelow"/>
        <w:jc w:val="both"/>
      </w:pPr>
      <w:r w:rsidRPr="000840CC">
        <w:t>In Western Australia, WALGA has developed a</w:t>
      </w:r>
      <w:r w:rsidR="00AC131F">
        <w:t>n</w:t>
      </w:r>
      <w:r w:rsidRPr="000840CC">
        <w:t xml:space="preserve"> </w:t>
      </w:r>
      <w:r w:rsidR="00246B9A">
        <w:t>elected member</w:t>
      </w:r>
      <w:r w:rsidRPr="000840CC">
        <w:t xml:space="preserve"> learning and development pathway that includes courses covering matters like ‘serving on council’, ‘effective community leadership’ and ‘meeting procedures and debating’.  Many of these modules are linked to units of competency under the National Training Qualification Framework.</w:t>
      </w:r>
    </w:p>
    <w:p w14:paraId="04560C9C" w14:textId="77777777" w:rsidR="00C3390C" w:rsidRPr="000840CC" w:rsidRDefault="00C3390C" w:rsidP="00AC131F">
      <w:pPr>
        <w:pStyle w:val="BodyText-nospacebelow"/>
        <w:jc w:val="both"/>
      </w:pPr>
    </w:p>
    <w:p w14:paraId="742E5D90" w14:textId="6876A775" w:rsidR="000840CC" w:rsidRDefault="000840CC" w:rsidP="00AC131F">
      <w:pPr>
        <w:pStyle w:val="BodyText-nospacebelow"/>
        <w:jc w:val="both"/>
      </w:pPr>
      <w:r w:rsidRPr="000840CC">
        <w:t xml:space="preserve">In considering ways to provide </w:t>
      </w:r>
      <w:r w:rsidR="00246B9A">
        <w:t>elected member</w:t>
      </w:r>
      <w:r w:rsidRPr="000840CC">
        <w:t xml:space="preserve">s across Western Australia with the competencies required to do their difficult role, there may be benefits in identifying core training units as part of a new </w:t>
      </w:r>
      <w:r w:rsidR="00246B9A">
        <w:t>elected member</w:t>
      </w:r>
      <w:r w:rsidRPr="000840CC">
        <w:t xml:space="preserve"> professional development training package </w:t>
      </w:r>
      <w:r w:rsidR="00BF398A">
        <w:t>along with</w:t>
      </w:r>
      <w:r w:rsidRPr="000840CC">
        <w:t xml:space="preserve"> training units which provide advanced skills.</w:t>
      </w:r>
      <w:r w:rsidR="008A4158">
        <w:t xml:space="preserve">  These skills could include matters such as:</w:t>
      </w:r>
    </w:p>
    <w:p w14:paraId="31C8538D" w14:textId="6AA0279E" w:rsidR="008A4158" w:rsidRDefault="00E01D9F" w:rsidP="00AC131F">
      <w:pPr>
        <w:pStyle w:val="BodyText-nospacebelow"/>
        <w:numPr>
          <w:ilvl w:val="0"/>
          <w:numId w:val="98"/>
        </w:numPr>
        <w:jc w:val="both"/>
      </w:pPr>
      <w:r>
        <w:lastRenderedPageBreak/>
        <w:t>the role of a</w:t>
      </w:r>
      <w:r w:rsidR="00246B9A">
        <w:t>n</w:t>
      </w:r>
      <w:r>
        <w:t xml:space="preserve"> </w:t>
      </w:r>
      <w:r w:rsidR="00246B9A">
        <w:t>elected member</w:t>
      </w:r>
    </w:p>
    <w:p w14:paraId="6D3A13F9" w14:textId="49859EAE" w:rsidR="00E01D9F" w:rsidRDefault="00E01D9F" w:rsidP="00AC131F">
      <w:pPr>
        <w:pStyle w:val="BodyText-nospacebelow"/>
        <w:numPr>
          <w:ilvl w:val="0"/>
          <w:numId w:val="98"/>
        </w:numPr>
        <w:jc w:val="both"/>
      </w:pPr>
      <w:r>
        <w:t>meeting procedures</w:t>
      </w:r>
    </w:p>
    <w:p w14:paraId="681D29CC" w14:textId="34806B5D" w:rsidR="00E01D9F" w:rsidRDefault="00E01D9F" w:rsidP="00AC131F">
      <w:pPr>
        <w:pStyle w:val="BodyText-nospacebelow"/>
        <w:numPr>
          <w:ilvl w:val="0"/>
          <w:numId w:val="98"/>
        </w:numPr>
        <w:jc w:val="both"/>
      </w:pPr>
      <w:r>
        <w:t>knowledge of the Local Government Act and other legislation</w:t>
      </w:r>
    </w:p>
    <w:p w14:paraId="41D95824" w14:textId="760B830B" w:rsidR="00E01D9F" w:rsidRDefault="00E01D9F" w:rsidP="00AC131F">
      <w:pPr>
        <w:pStyle w:val="BodyText-nospacebelow"/>
        <w:numPr>
          <w:ilvl w:val="0"/>
          <w:numId w:val="98"/>
        </w:numPr>
        <w:jc w:val="both"/>
      </w:pPr>
      <w:r>
        <w:t>understanding financial reports</w:t>
      </w:r>
    </w:p>
    <w:p w14:paraId="4A173F89" w14:textId="538CA7D7" w:rsidR="00E01D9F" w:rsidRDefault="00E01D9F" w:rsidP="00AC131F">
      <w:pPr>
        <w:pStyle w:val="BodyText-nospacebelow"/>
        <w:numPr>
          <w:ilvl w:val="0"/>
          <w:numId w:val="98"/>
        </w:numPr>
        <w:jc w:val="both"/>
      </w:pPr>
      <w:r>
        <w:t>budgeting and rates setting</w:t>
      </w:r>
    </w:p>
    <w:p w14:paraId="78ED382B" w14:textId="3B61AF29" w:rsidR="00E01D9F" w:rsidRDefault="00E01D9F" w:rsidP="00AC131F">
      <w:pPr>
        <w:pStyle w:val="BodyText-nospacebelow"/>
        <w:numPr>
          <w:ilvl w:val="0"/>
          <w:numId w:val="98"/>
        </w:numPr>
        <w:jc w:val="both"/>
      </w:pPr>
      <w:r>
        <w:t>long term financial planning</w:t>
      </w:r>
    </w:p>
    <w:p w14:paraId="3F90BBD0" w14:textId="619F07D6" w:rsidR="00E01D9F" w:rsidRDefault="00E01D9F" w:rsidP="00AC131F">
      <w:pPr>
        <w:pStyle w:val="BodyText-nospacebelow"/>
        <w:numPr>
          <w:ilvl w:val="0"/>
          <w:numId w:val="98"/>
        </w:numPr>
        <w:jc w:val="both"/>
      </w:pPr>
      <w:r>
        <w:t>town planning and approvals</w:t>
      </w:r>
    </w:p>
    <w:p w14:paraId="2E81ED82" w14:textId="6162679F" w:rsidR="00E01D9F" w:rsidRDefault="00E01D9F" w:rsidP="00AC131F">
      <w:pPr>
        <w:pStyle w:val="BodyText-nospacebelow"/>
        <w:numPr>
          <w:ilvl w:val="0"/>
          <w:numId w:val="98"/>
        </w:numPr>
        <w:jc w:val="both"/>
      </w:pPr>
      <w:r>
        <w:t>engaging with the community</w:t>
      </w:r>
    </w:p>
    <w:p w14:paraId="498170FD" w14:textId="40270665" w:rsidR="00C37EB3" w:rsidRDefault="00C37EB3" w:rsidP="00AC131F">
      <w:pPr>
        <w:pStyle w:val="BodyText-nospacebelow"/>
        <w:numPr>
          <w:ilvl w:val="0"/>
          <w:numId w:val="98"/>
        </w:numPr>
        <w:jc w:val="both"/>
      </w:pPr>
      <w:r>
        <w:t>policy development</w:t>
      </w:r>
    </w:p>
    <w:p w14:paraId="05D86ECF" w14:textId="77777777" w:rsidR="00C37EB3" w:rsidRDefault="00C37EB3" w:rsidP="00AC131F">
      <w:pPr>
        <w:pStyle w:val="BodyText-nospacebelow"/>
        <w:numPr>
          <w:ilvl w:val="0"/>
          <w:numId w:val="98"/>
        </w:numPr>
        <w:jc w:val="both"/>
      </w:pPr>
      <w:r>
        <w:t>recruitment and performance appraisal.</w:t>
      </w:r>
    </w:p>
    <w:p w14:paraId="5B1FA6F5" w14:textId="77777777" w:rsidR="00C3390C" w:rsidRPr="000840CC" w:rsidRDefault="00C3390C" w:rsidP="000840CC">
      <w:pPr>
        <w:pStyle w:val="BodyText-nospacebelow"/>
      </w:pPr>
    </w:p>
    <w:p w14:paraId="6854E1D7" w14:textId="1D1CCC2A" w:rsidR="009B6E56" w:rsidRDefault="00246B9A" w:rsidP="00B55377">
      <w:pPr>
        <w:pStyle w:val="IntenseQuote"/>
        <w:rPr>
          <w:b/>
          <w:sz w:val="28"/>
        </w:rPr>
      </w:pPr>
      <w:r>
        <w:rPr>
          <w:b/>
          <w:sz w:val="28"/>
        </w:rPr>
        <w:t>Elected member</w:t>
      </w:r>
      <w:r w:rsidR="009B6E56">
        <w:rPr>
          <w:b/>
          <w:sz w:val="28"/>
        </w:rPr>
        <w:t xml:space="preserve"> competencies: Guidance questions</w:t>
      </w:r>
    </w:p>
    <w:p w14:paraId="1B68D0F8" w14:textId="677B05D8" w:rsidR="00CD16B8" w:rsidRDefault="00CD16B8" w:rsidP="00F840FA">
      <w:pPr>
        <w:pStyle w:val="BodyText2-nospacebelow"/>
        <w:numPr>
          <w:ilvl w:val="0"/>
          <w:numId w:val="19"/>
        </w:numPr>
        <w:spacing w:after="120"/>
        <w:ind w:hanging="607"/>
        <w:rPr>
          <w:lang w:eastAsia="en-AU"/>
        </w:rPr>
      </w:pPr>
      <w:r>
        <w:rPr>
          <w:lang w:eastAsia="en-AU"/>
        </w:rPr>
        <w:t xml:space="preserve">What competencies </w:t>
      </w:r>
      <w:r w:rsidR="00BA3FFF">
        <w:rPr>
          <w:lang w:eastAsia="en-AU"/>
        </w:rPr>
        <w:t xml:space="preserve">(skills and knowledge) </w:t>
      </w:r>
      <w:r w:rsidR="00886E85">
        <w:rPr>
          <w:lang w:eastAsia="en-AU"/>
        </w:rPr>
        <w:t xml:space="preserve">do you think </w:t>
      </w:r>
      <w:r>
        <w:rPr>
          <w:lang w:eastAsia="en-AU"/>
        </w:rPr>
        <w:t>a</w:t>
      </w:r>
      <w:r w:rsidR="00246B9A">
        <w:rPr>
          <w:lang w:eastAsia="en-AU"/>
        </w:rPr>
        <w:t>n</w:t>
      </w:r>
      <w:r>
        <w:rPr>
          <w:lang w:eastAsia="en-AU"/>
        </w:rPr>
        <w:t xml:space="preserve"> </w:t>
      </w:r>
      <w:r w:rsidR="00246B9A">
        <w:rPr>
          <w:lang w:eastAsia="en-AU"/>
        </w:rPr>
        <w:t>elected member</w:t>
      </w:r>
      <w:r>
        <w:rPr>
          <w:lang w:eastAsia="en-AU"/>
        </w:rPr>
        <w:t xml:space="preserve"> require</w:t>
      </w:r>
      <w:r w:rsidR="00886E85">
        <w:rPr>
          <w:lang w:eastAsia="en-AU"/>
        </w:rPr>
        <w:t>s</w:t>
      </w:r>
      <w:r>
        <w:rPr>
          <w:lang w:eastAsia="en-AU"/>
        </w:rPr>
        <w:t xml:space="preserve"> to perform their role?</w:t>
      </w:r>
    </w:p>
    <w:p w14:paraId="7DE2DDED" w14:textId="77777777" w:rsidR="00FB20D3" w:rsidRDefault="00CD16B8" w:rsidP="00F840FA">
      <w:pPr>
        <w:pStyle w:val="BodyText2-nospacebelow"/>
        <w:numPr>
          <w:ilvl w:val="0"/>
          <w:numId w:val="19"/>
        </w:numPr>
        <w:spacing w:after="120"/>
        <w:ind w:hanging="607"/>
        <w:rPr>
          <w:lang w:eastAsia="en-AU"/>
        </w:rPr>
      </w:pPr>
      <w:r>
        <w:rPr>
          <w:lang w:eastAsia="en-AU"/>
        </w:rPr>
        <w:t>Do the</w:t>
      </w:r>
      <w:r w:rsidR="00BA3FFF">
        <w:rPr>
          <w:lang w:eastAsia="en-AU"/>
        </w:rPr>
        <w:t>se</w:t>
      </w:r>
      <w:r>
        <w:rPr>
          <w:lang w:eastAsia="en-AU"/>
        </w:rPr>
        <w:t xml:space="preserve"> vary between local governments?</w:t>
      </w:r>
      <w:r w:rsidR="009B6E56">
        <w:rPr>
          <w:lang w:eastAsia="en-AU"/>
        </w:rPr>
        <w:t xml:space="preserve">  If so, </w:t>
      </w:r>
      <w:r w:rsidR="00FB20D3">
        <w:rPr>
          <w:lang w:eastAsia="en-AU"/>
        </w:rPr>
        <w:t>in what way</w:t>
      </w:r>
      <w:r w:rsidR="009B6E56">
        <w:rPr>
          <w:lang w:eastAsia="en-AU"/>
        </w:rPr>
        <w:t>?</w:t>
      </w:r>
    </w:p>
    <w:p w14:paraId="72A53163" w14:textId="77777777" w:rsidR="001D536A" w:rsidRDefault="001D536A" w:rsidP="003A1777">
      <w:pPr>
        <w:pStyle w:val="Heading2"/>
        <w:numPr>
          <w:ilvl w:val="1"/>
          <w:numId w:val="85"/>
        </w:numPr>
      </w:pPr>
      <w:bookmarkStart w:id="197" w:name="_Toc493746615"/>
      <w:bookmarkStart w:id="198" w:name="_Toc493768831"/>
      <w:bookmarkStart w:id="199" w:name="_Toc493859903"/>
      <w:bookmarkStart w:id="200" w:name="_Toc495491804"/>
      <w:bookmarkStart w:id="201" w:name="_Toc495497584"/>
      <w:bookmarkStart w:id="202" w:name="_Toc495671432"/>
      <w:bookmarkStart w:id="203" w:name="_Toc495676030"/>
      <w:bookmarkStart w:id="204" w:name="_Toc495678325"/>
      <w:bookmarkStart w:id="205" w:name="_Toc495998323"/>
      <w:bookmarkStart w:id="206" w:name="_Toc497741795"/>
      <w:bookmarkStart w:id="207" w:name="_Toc491872691"/>
      <w:bookmarkStart w:id="208" w:name="_Toc491873625"/>
      <w:bookmarkStart w:id="209" w:name="_Toc491934253"/>
      <w:bookmarkStart w:id="210" w:name="_Toc492368875"/>
      <w:bookmarkStart w:id="211" w:name="_Toc492386603"/>
      <w:bookmarkStart w:id="212" w:name="_Toc492468845"/>
      <w:bookmarkStart w:id="213" w:name="_Toc492470520"/>
      <w:bookmarkStart w:id="214" w:name="_Toc492471200"/>
      <w:bookmarkStart w:id="215" w:name="_Toc492471325"/>
      <w:bookmarkStart w:id="216" w:name="_Toc491097229"/>
      <w:bookmarkStart w:id="217" w:name="_Toc491097619"/>
      <w:bookmarkStart w:id="218" w:name="_Toc491857074"/>
      <w:r>
        <w:t>Funding training</w:t>
      </w:r>
      <w:bookmarkEnd w:id="197"/>
      <w:bookmarkEnd w:id="198"/>
      <w:bookmarkEnd w:id="199"/>
      <w:bookmarkEnd w:id="200"/>
      <w:bookmarkEnd w:id="201"/>
      <w:bookmarkEnd w:id="202"/>
      <w:bookmarkEnd w:id="203"/>
      <w:bookmarkEnd w:id="204"/>
      <w:bookmarkEnd w:id="205"/>
      <w:bookmarkEnd w:id="206"/>
    </w:p>
    <w:p w14:paraId="46648BF0" w14:textId="1CF08781" w:rsidR="001D536A" w:rsidRDefault="001D536A" w:rsidP="00AC131F">
      <w:pPr>
        <w:jc w:val="both"/>
      </w:pPr>
      <w:r>
        <w:rPr>
          <w:lang w:eastAsia="en-AU"/>
        </w:rPr>
        <w:t>While the benefits of training are widely recognised, there is a cost to training.</w:t>
      </w:r>
      <w:r w:rsidR="00E53305">
        <w:rPr>
          <w:lang w:eastAsia="en-AU"/>
        </w:rPr>
        <w:t xml:space="preserve">  </w:t>
      </w:r>
      <w:r w:rsidR="008163F3">
        <w:rPr>
          <w:lang w:eastAsia="en-AU"/>
        </w:rPr>
        <w:t xml:space="preserve">These costs include the actual fees for the training courses, travel costs (particularly for those in regional areas) and lost time from the </w:t>
      </w:r>
      <w:r w:rsidR="00246B9A">
        <w:rPr>
          <w:lang w:eastAsia="en-AU"/>
        </w:rPr>
        <w:t>elected member</w:t>
      </w:r>
      <w:r w:rsidR="008163F3">
        <w:rPr>
          <w:lang w:eastAsia="en-AU"/>
        </w:rPr>
        <w:t xml:space="preserve">’s job or business.  </w:t>
      </w:r>
      <w:r w:rsidR="00E53305">
        <w:rPr>
          <w:lang w:eastAsia="en-AU"/>
        </w:rPr>
        <w:t xml:space="preserve">Currently, the costs associated with training are variously met by local governments </w:t>
      </w:r>
      <w:r w:rsidR="00BA3FFF">
        <w:rPr>
          <w:lang w:eastAsia="en-AU"/>
        </w:rPr>
        <w:t xml:space="preserve">(the community) </w:t>
      </w:r>
      <w:r w:rsidR="00E53305">
        <w:rPr>
          <w:lang w:eastAsia="en-AU"/>
        </w:rPr>
        <w:t xml:space="preserve">and individual </w:t>
      </w:r>
      <w:r w:rsidR="00246B9A">
        <w:rPr>
          <w:lang w:eastAsia="en-AU"/>
        </w:rPr>
        <w:t>elected member</w:t>
      </w:r>
      <w:r w:rsidR="00E53305">
        <w:rPr>
          <w:lang w:eastAsia="en-AU"/>
        </w:rPr>
        <w:t>s.</w:t>
      </w:r>
    </w:p>
    <w:p w14:paraId="1A596276" w14:textId="20BE914E" w:rsidR="00E53305" w:rsidRDefault="00E53305" w:rsidP="00AC131F">
      <w:pPr>
        <w:jc w:val="both"/>
      </w:pPr>
      <w:r>
        <w:rPr>
          <w:lang w:eastAsia="en-AU"/>
        </w:rPr>
        <w:t xml:space="preserve">Some councils allocate funds towards the professional development of </w:t>
      </w:r>
      <w:r w:rsidR="00246B9A">
        <w:rPr>
          <w:lang w:eastAsia="en-AU"/>
        </w:rPr>
        <w:t>elected member</w:t>
      </w:r>
      <w:r>
        <w:rPr>
          <w:lang w:eastAsia="en-AU"/>
        </w:rPr>
        <w:t xml:space="preserve">s and directly fund all or part of </w:t>
      </w:r>
      <w:r w:rsidR="00246B9A">
        <w:rPr>
          <w:lang w:eastAsia="en-AU"/>
        </w:rPr>
        <w:t>elected member</w:t>
      </w:r>
      <w:r>
        <w:rPr>
          <w:lang w:eastAsia="en-AU"/>
        </w:rPr>
        <w:t xml:space="preserve"> training.  In other cases, </w:t>
      </w:r>
      <w:r w:rsidR="00246B9A">
        <w:rPr>
          <w:lang w:eastAsia="en-AU"/>
        </w:rPr>
        <w:t>elected member</w:t>
      </w:r>
      <w:r>
        <w:rPr>
          <w:lang w:eastAsia="en-AU"/>
        </w:rPr>
        <w:t xml:space="preserve">s undertake </w:t>
      </w:r>
      <w:r w:rsidR="00CC6390">
        <w:rPr>
          <w:lang w:eastAsia="en-AU"/>
        </w:rPr>
        <w:t xml:space="preserve">and pay for </w:t>
      </w:r>
      <w:r w:rsidR="00BF398A">
        <w:rPr>
          <w:lang w:eastAsia="en-AU"/>
        </w:rPr>
        <w:t>training</w:t>
      </w:r>
      <w:r>
        <w:rPr>
          <w:lang w:eastAsia="en-AU"/>
        </w:rPr>
        <w:t xml:space="preserve"> as part of their role as a</w:t>
      </w:r>
      <w:r w:rsidR="00246B9A">
        <w:rPr>
          <w:lang w:eastAsia="en-AU"/>
        </w:rPr>
        <w:t>n</w:t>
      </w:r>
      <w:r>
        <w:rPr>
          <w:lang w:eastAsia="en-AU"/>
        </w:rPr>
        <w:t xml:space="preserve"> </w:t>
      </w:r>
      <w:r w:rsidR="00246B9A">
        <w:rPr>
          <w:lang w:eastAsia="en-AU"/>
        </w:rPr>
        <w:t>elected member</w:t>
      </w:r>
      <w:r>
        <w:rPr>
          <w:lang w:eastAsia="en-AU"/>
        </w:rPr>
        <w:t xml:space="preserve"> or </w:t>
      </w:r>
      <w:r w:rsidR="00CC6390">
        <w:rPr>
          <w:lang w:eastAsia="en-AU"/>
        </w:rPr>
        <w:t>genera</w:t>
      </w:r>
      <w:r w:rsidR="0026306B">
        <w:rPr>
          <w:lang w:eastAsia="en-AU"/>
        </w:rPr>
        <w:t>lly as part of their profession</w:t>
      </w:r>
      <w:r w:rsidR="00CC6390">
        <w:rPr>
          <w:lang w:eastAsia="en-AU"/>
        </w:rPr>
        <w:t>.</w:t>
      </w:r>
    </w:p>
    <w:p w14:paraId="72230E66" w14:textId="70F39588" w:rsidR="00BA3FFF" w:rsidRDefault="00BE672C" w:rsidP="00AC131F">
      <w:pPr>
        <w:jc w:val="both"/>
        <w:rPr>
          <w:lang w:eastAsia="en-AU"/>
        </w:rPr>
      </w:pPr>
      <w:r>
        <w:rPr>
          <w:lang w:eastAsia="en-AU"/>
        </w:rPr>
        <w:t>In the past</w:t>
      </w:r>
      <w:r w:rsidR="001C3BE0">
        <w:rPr>
          <w:lang w:eastAsia="en-AU"/>
        </w:rPr>
        <w:t xml:space="preserve">, concerns have been raised that the benefits of dedicating funding to training </w:t>
      </w:r>
      <w:r w:rsidR="00246B9A">
        <w:rPr>
          <w:lang w:eastAsia="en-AU"/>
        </w:rPr>
        <w:t>elected member</w:t>
      </w:r>
      <w:r w:rsidR="001C3BE0">
        <w:rPr>
          <w:lang w:eastAsia="en-AU"/>
        </w:rPr>
        <w:t xml:space="preserve">s is constrained by the turnover in </w:t>
      </w:r>
      <w:r w:rsidR="00246B9A">
        <w:rPr>
          <w:lang w:eastAsia="en-AU"/>
        </w:rPr>
        <w:t>elected member</w:t>
      </w:r>
      <w:r w:rsidR="001C3BE0">
        <w:rPr>
          <w:lang w:eastAsia="en-AU"/>
        </w:rPr>
        <w:t xml:space="preserve">s.  </w:t>
      </w:r>
      <w:r w:rsidR="0026306B">
        <w:rPr>
          <w:lang w:eastAsia="en-AU"/>
        </w:rPr>
        <w:t>A</w:t>
      </w:r>
      <w:r w:rsidR="00246B9A">
        <w:rPr>
          <w:lang w:eastAsia="en-AU"/>
        </w:rPr>
        <w:t>n</w:t>
      </w:r>
      <w:r w:rsidR="001C3BE0">
        <w:rPr>
          <w:lang w:eastAsia="en-AU"/>
        </w:rPr>
        <w:t xml:space="preserve"> </w:t>
      </w:r>
      <w:r w:rsidR="00246B9A">
        <w:rPr>
          <w:lang w:eastAsia="en-AU"/>
        </w:rPr>
        <w:t>elected member</w:t>
      </w:r>
      <w:r w:rsidR="0026306B">
        <w:rPr>
          <w:lang w:eastAsia="en-AU"/>
        </w:rPr>
        <w:t xml:space="preserve"> may only perform the role for a</w:t>
      </w:r>
      <w:r w:rsidR="00BF398A">
        <w:rPr>
          <w:lang w:eastAsia="en-AU"/>
        </w:rPr>
        <w:t xml:space="preserve"> single</w:t>
      </w:r>
      <w:r w:rsidR="001C3BE0">
        <w:rPr>
          <w:lang w:eastAsia="en-AU"/>
        </w:rPr>
        <w:t xml:space="preserve"> four</w:t>
      </w:r>
      <w:r w:rsidR="0037382E">
        <w:rPr>
          <w:lang w:eastAsia="en-AU"/>
        </w:rPr>
        <w:noBreakHyphen/>
      </w:r>
      <w:r w:rsidR="001C3BE0">
        <w:rPr>
          <w:lang w:eastAsia="en-AU"/>
        </w:rPr>
        <w:t>year term</w:t>
      </w:r>
      <w:r w:rsidR="0026306B">
        <w:rPr>
          <w:lang w:eastAsia="en-AU"/>
        </w:rPr>
        <w:t xml:space="preserve">.  </w:t>
      </w:r>
      <w:r w:rsidR="001C3BE0">
        <w:rPr>
          <w:lang w:eastAsia="en-AU"/>
        </w:rPr>
        <w:t xml:space="preserve"> </w:t>
      </w:r>
      <w:r w:rsidR="0026306B">
        <w:rPr>
          <w:lang w:eastAsia="en-AU"/>
        </w:rPr>
        <w:t xml:space="preserve">Countering this are the benefits gained by the local government and the community in having </w:t>
      </w:r>
      <w:r w:rsidR="00246B9A">
        <w:rPr>
          <w:lang w:eastAsia="en-AU"/>
        </w:rPr>
        <w:t>elected member</w:t>
      </w:r>
      <w:r w:rsidR="0026306B">
        <w:rPr>
          <w:lang w:eastAsia="en-AU"/>
        </w:rPr>
        <w:t>s who are well-equipped to perform their best</w:t>
      </w:r>
      <w:r w:rsidR="001C3BE0">
        <w:rPr>
          <w:lang w:eastAsia="en-AU"/>
        </w:rPr>
        <w:t>.</w:t>
      </w:r>
      <w:r w:rsidR="0026306B">
        <w:rPr>
          <w:lang w:eastAsia="en-AU"/>
        </w:rPr>
        <w:t xml:space="preserve"> </w:t>
      </w:r>
      <w:r w:rsidR="001C3BE0">
        <w:rPr>
          <w:lang w:eastAsia="en-AU"/>
        </w:rPr>
        <w:t xml:space="preserve"> </w:t>
      </w:r>
      <w:r w:rsidR="00BA3FFF">
        <w:rPr>
          <w:lang w:eastAsia="en-AU"/>
        </w:rPr>
        <w:t xml:space="preserve">Turnover in new </w:t>
      </w:r>
      <w:r w:rsidR="00246B9A">
        <w:rPr>
          <w:lang w:eastAsia="en-AU"/>
        </w:rPr>
        <w:t>elected member</w:t>
      </w:r>
      <w:r w:rsidR="00BA3FFF">
        <w:rPr>
          <w:lang w:eastAsia="en-AU"/>
        </w:rPr>
        <w:t>s may</w:t>
      </w:r>
      <w:r w:rsidR="00A53390">
        <w:rPr>
          <w:lang w:eastAsia="en-AU"/>
        </w:rPr>
        <w:t xml:space="preserve"> potentially</w:t>
      </w:r>
      <w:r w:rsidR="00BA3FFF">
        <w:rPr>
          <w:lang w:eastAsia="en-AU"/>
        </w:rPr>
        <w:t xml:space="preserve"> be reduced if they felt more confident in their ability to undertake the role competently.</w:t>
      </w:r>
    </w:p>
    <w:p w14:paraId="45EC4E79" w14:textId="4BBC8741" w:rsidR="008163F3" w:rsidRDefault="00BF398A" w:rsidP="00AC131F">
      <w:pPr>
        <w:jc w:val="both"/>
        <w:rPr>
          <w:lang w:eastAsia="en-AU"/>
        </w:rPr>
      </w:pPr>
      <w:r>
        <w:rPr>
          <w:lang w:eastAsia="en-AU"/>
        </w:rPr>
        <w:lastRenderedPageBreak/>
        <w:t>A local government’s financial capacity will determine its ability to</w:t>
      </w:r>
      <w:r w:rsidR="00BE672C">
        <w:rPr>
          <w:lang w:eastAsia="en-AU"/>
        </w:rPr>
        <w:t xml:space="preserve"> absorb </w:t>
      </w:r>
      <w:r w:rsidR="001C3BE0">
        <w:rPr>
          <w:lang w:eastAsia="en-AU"/>
        </w:rPr>
        <w:t xml:space="preserve">the costs of training. </w:t>
      </w:r>
      <w:r w:rsidR="0026306B">
        <w:rPr>
          <w:lang w:eastAsia="en-AU"/>
        </w:rPr>
        <w:t xml:space="preserve"> </w:t>
      </w:r>
      <w:r w:rsidR="001C3BE0">
        <w:rPr>
          <w:lang w:eastAsia="en-AU"/>
        </w:rPr>
        <w:t>Loca</w:t>
      </w:r>
      <w:r w:rsidR="0037382E">
        <w:rPr>
          <w:lang w:eastAsia="en-AU"/>
        </w:rPr>
        <w:t xml:space="preserve">l governments with less revenue may find allocating funds for training more difficult than larger local governments.  </w:t>
      </w:r>
      <w:r w:rsidR="008163F3">
        <w:rPr>
          <w:lang w:eastAsia="en-AU"/>
        </w:rPr>
        <w:t xml:space="preserve">Similarly it will be </w:t>
      </w:r>
      <w:r w:rsidR="00886E85">
        <w:rPr>
          <w:lang w:eastAsia="en-AU"/>
        </w:rPr>
        <w:t>costlier</w:t>
      </w:r>
      <w:r w:rsidR="008163F3">
        <w:rPr>
          <w:lang w:eastAsia="en-AU"/>
        </w:rPr>
        <w:t xml:space="preserve"> for </w:t>
      </w:r>
      <w:r w:rsidR="006120B9">
        <w:rPr>
          <w:lang w:eastAsia="en-AU"/>
        </w:rPr>
        <w:t>country</w:t>
      </w:r>
      <w:r w:rsidR="008163F3">
        <w:rPr>
          <w:lang w:eastAsia="en-AU"/>
        </w:rPr>
        <w:t xml:space="preserve"> local governments to pay for travel to attend face-to-face courses.  </w:t>
      </w:r>
    </w:p>
    <w:p w14:paraId="158B55B2" w14:textId="77777777" w:rsidR="00CC6390" w:rsidRDefault="0037382E" w:rsidP="00AC131F">
      <w:pPr>
        <w:jc w:val="both"/>
      </w:pPr>
      <w:r>
        <w:rPr>
          <w:lang w:eastAsia="en-AU"/>
        </w:rPr>
        <w:t xml:space="preserve">One </w:t>
      </w:r>
      <w:r w:rsidR="00BF398A">
        <w:rPr>
          <w:lang w:eastAsia="en-AU"/>
        </w:rPr>
        <w:t>solution may be the establishment of</w:t>
      </w:r>
      <w:r>
        <w:rPr>
          <w:lang w:eastAsia="en-AU"/>
        </w:rPr>
        <w:t xml:space="preserve"> a training fund</w:t>
      </w:r>
      <w:r w:rsidR="0026306B">
        <w:rPr>
          <w:lang w:eastAsia="en-AU"/>
        </w:rPr>
        <w:t xml:space="preserve"> to</w:t>
      </w:r>
      <w:r>
        <w:rPr>
          <w:lang w:eastAsia="en-AU"/>
        </w:rPr>
        <w:t xml:space="preserve"> </w:t>
      </w:r>
      <w:r w:rsidR="00BF398A">
        <w:rPr>
          <w:lang w:eastAsia="en-AU"/>
        </w:rPr>
        <w:t>which</w:t>
      </w:r>
      <w:r>
        <w:rPr>
          <w:lang w:eastAsia="en-AU"/>
        </w:rPr>
        <w:t xml:space="preserve"> local governments </w:t>
      </w:r>
      <w:r w:rsidR="0026306B">
        <w:rPr>
          <w:lang w:eastAsia="en-AU"/>
        </w:rPr>
        <w:t>could</w:t>
      </w:r>
      <w:r w:rsidR="00BF398A">
        <w:rPr>
          <w:lang w:eastAsia="en-AU"/>
        </w:rPr>
        <w:t xml:space="preserve"> contribute in</w:t>
      </w:r>
      <w:r>
        <w:rPr>
          <w:lang w:eastAsia="en-AU"/>
        </w:rPr>
        <w:t xml:space="preserve"> proportion to their annual revenue. This would provide a means of </w:t>
      </w:r>
      <w:r w:rsidR="008163F3">
        <w:rPr>
          <w:lang w:eastAsia="en-AU"/>
        </w:rPr>
        <w:t>sharing</w:t>
      </w:r>
      <w:r>
        <w:rPr>
          <w:lang w:eastAsia="en-AU"/>
        </w:rPr>
        <w:t xml:space="preserve"> the </w:t>
      </w:r>
      <w:r w:rsidR="008163F3">
        <w:rPr>
          <w:lang w:eastAsia="en-AU"/>
        </w:rPr>
        <w:t>costs</w:t>
      </w:r>
      <w:r>
        <w:rPr>
          <w:lang w:eastAsia="en-AU"/>
        </w:rPr>
        <w:t xml:space="preserve"> of training</w:t>
      </w:r>
      <w:r w:rsidR="008163F3">
        <w:rPr>
          <w:lang w:eastAsia="en-AU"/>
        </w:rPr>
        <w:t xml:space="preserve"> across the sector</w:t>
      </w:r>
      <w:r>
        <w:rPr>
          <w:lang w:eastAsia="en-AU"/>
        </w:rPr>
        <w:t xml:space="preserve">.  </w:t>
      </w:r>
    </w:p>
    <w:p w14:paraId="051CE45D" w14:textId="77777777" w:rsidR="0026306B" w:rsidRDefault="0026306B" w:rsidP="0026306B">
      <w:pPr>
        <w:pStyle w:val="IntenseQuote"/>
        <w:rPr>
          <w:b/>
          <w:sz w:val="28"/>
        </w:rPr>
      </w:pPr>
      <w:r>
        <w:rPr>
          <w:b/>
          <w:sz w:val="28"/>
        </w:rPr>
        <w:t>Funding training: Guidance questions</w:t>
      </w:r>
    </w:p>
    <w:p w14:paraId="40717F21" w14:textId="77777777" w:rsidR="001D536A" w:rsidRDefault="00314BAD" w:rsidP="00F840FA">
      <w:pPr>
        <w:pStyle w:val="BodyText2-nospacebelow"/>
        <w:numPr>
          <w:ilvl w:val="0"/>
          <w:numId w:val="19"/>
        </w:numPr>
        <w:spacing w:after="120"/>
        <w:ind w:hanging="607"/>
        <w:rPr>
          <w:lang w:eastAsia="en-AU"/>
        </w:rPr>
      </w:pPr>
      <w:r>
        <w:rPr>
          <w:lang w:eastAsia="en-AU"/>
        </w:rPr>
        <w:t>W</w:t>
      </w:r>
      <w:r w:rsidR="001D536A">
        <w:rPr>
          <w:lang w:eastAsia="en-AU"/>
        </w:rPr>
        <w:t xml:space="preserve">ho should pay for </w:t>
      </w:r>
      <w:r w:rsidR="008163F3">
        <w:rPr>
          <w:lang w:eastAsia="en-AU"/>
        </w:rPr>
        <w:t xml:space="preserve">the costs of </w:t>
      </w:r>
      <w:r w:rsidR="001D536A">
        <w:rPr>
          <w:lang w:eastAsia="en-AU"/>
        </w:rPr>
        <w:t>training</w:t>
      </w:r>
      <w:r w:rsidR="008163F3">
        <w:rPr>
          <w:lang w:eastAsia="en-AU"/>
        </w:rPr>
        <w:t xml:space="preserve"> (course fees, travel, other costs)</w:t>
      </w:r>
      <w:r w:rsidR="001D536A">
        <w:rPr>
          <w:lang w:eastAsia="en-AU"/>
        </w:rPr>
        <w:t>?</w:t>
      </w:r>
    </w:p>
    <w:p w14:paraId="5D26E96E" w14:textId="77777777" w:rsidR="0037382E" w:rsidRDefault="0037382E" w:rsidP="00F840FA">
      <w:pPr>
        <w:pStyle w:val="BodyText2-nospacebelow"/>
        <w:numPr>
          <w:ilvl w:val="0"/>
          <w:numId w:val="19"/>
        </w:numPr>
        <w:spacing w:after="120"/>
        <w:ind w:hanging="607"/>
      </w:pPr>
      <w:r>
        <w:rPr>
          <w:lang w:eastAsia="en-AU"/>
        </w:rPr>
        <w:t xml:space="preserve">If councils are required to pay for training, should a training fund be established to reduce the financial impact for small </w:t>
      </w:r>
      <w:r w:rsidR="008163F3">
        <w:rPr>
          <w:lang w:eastAsia="en-AU"/>
        </w:rPr>
        <w:t xml:space="preserve">and regional </w:t>
      </w:r>
      <w:r>
        <w:rPr>
          <w:lang w:eastAsia="en-AU"/>
        </w:rPr>
        <w:t>local governments?</w:t>
      </w:r>
      <w:r w:rsidR="006120B9">
        <w:rPr>
          <w:lang w:eastAsia="en-AU"/>
        </w:rPr>
        <w:t xml:space="preserve">  Should contribution to such a fund be based on local government</w:t>
      </w:r>
      <w:r w:rsidR="006120B9">
        <w:t xml:space="preserve"> revenue or some other measure? </w:t>
      </w:r>
    </w:p>
    <w:p w14:paraId="38D61600" w14:textId="77777777" w:rsidR="001D536A" w:rsidRDefault="001D536A" w:rsidP="0026306B"/>
    <w:p w14:paraId="0816CD34" w14:textId="483B7F1C" w:rsidR="000840CC" w:rsidRDefault="00886E85" w:rsidP="003A1777">
      <w:pPr>
        <w:pStyle w:val="Heading2"/>
        <w:numPr>
          <w:ilvl w:val="1"/>
          <w:numId w:val="85"/>
        </w:numPr>
      </w:pPr>
      <w:bookmarkStart w:id="219" w:name="_Toc497741796"/>
      <w:bookmarkEnd w:id="207"/>
      <w:bookmarkEnd w:id="208"/>
      <w:bookmarkEnd w:id="209"/>
      <w:bookmarkEnd w:id="210"/>
      <w:bookmarkEnd w:id="211"/>
      <w:bookmarkEnd w:id="212"/>
      <w:bookmarkEnd w:id="213"/>
      <w:bookmarkEnd w:id="214"/>
      <w:bookmarkEnd w:id="215"/>
      <w:r>
        <w:t>Mandatory training</w:t>
      </w:r>
      <w:bookmarkEnd w:id="219"/>
    </w:p>
    <w:p w14:paraId="4316D15D" w14:textId="397B1B04" w:rsidR="00094196" w:rsidRPr="0057153E" w:rsidRDefault="00E14AB8" w:rsidP="00AC131F">
      <w:pPr>
        <w:jc w:val="both"/>
        <w:rPr>
          <w:rStyle w:val="Emphasis"/>
        </w:rPr>
      </w:pPr>
      <w:r>
        <w:rPr>
          <w:lang w:eastAsia="en-AU"/>
        </w:rPr>
        <w:t xml:space="preserve">Based on participation rates on the state-funded councillor training programs, it appears that providing heavily subsided or free training does not provide sufficient incentive for many </w:t>
      </w:r>
      <w:r w:rsidR="00246B9A">
        <w:rPr>
          <w:lang w:eastAsia="en-AU"/>
        </w:rPr>
        <w:t>elected member</w:t>
      </w:r>
      <w:r>
        <w:rPr>
          <w:lang w:eastAsia="en-AU"/>
        </w:rPr>
        <w:t>s to undertake training.  To increase participation rates in training alternative methods are required.</w:t>
      </w:r>
      <w:bookmarkEnd w:id="190"/>
      <w:bookmarkEnd w:id="191"/>
      <w:bookmarkEnd w:id="192"/>
      <w:bookmarkEnd w:id="193"/>
      <w:bookmarkEnd w:id="194"/>
      <w:bookmarkEnd w:id="195"/>
      <w:bookmarkEnd w:id="196"/>
      <w:bookmarkEnd w:id="216"/>
      <w:bookmarkEnd w:id="217"/>
      <w:bookmarkEnd w:id="218"/>
    </w:p>
    <w:p w14:paraId="5E31A048" w14:textId="6D5795D7" w:rsidR="004634E1" w:rsidRDefault="000840CC" w:rsidP="00AC131F">
      <w:pPr>
        <w:pStyle w:val="BodyText-nospacebelow"/>
        <w:jc w:val="both"/>
      </w:pPr>
      <w:r w:rsidRPr="000840CC">
        <w:t xml:space="preserve">Mandatory training would result in </w:t>
      </w:r>
      <w:r w:rsidR="00517B05">
        <w:t xml:space="preserve">all </w:t>
      </w:r>
      <w:r w:rsidRPr="000840CC">
        <w:t xml:space="preserve">local government </w:t>
      </w:r>
      <w:r w:rsidR="00246B9A">
        <w:t>elected member</w:t>
      </w:r>
      <w:r w:rsidRPr="000840CC">
        <w:t xml:space="preserve">s being better prepared to undertake their </w:t>
      </w:r>
      <w:r w:rsidR="00A73052">
        <w:t xml:space="preserve">challenging </w:t>
      </w:r>
      <w:r w:rsidRPr="000840CC">
        <w:t xml:space="preserve">role. </w:t>
      </w:r>
    </w:p>
    <w:p w14:paraId="30DECB7D" w14:textId="77777777" w:rsidR="000840CC" w:rsidRDefault="000840CC" w:rsidP="00AC131F">
      <w:pPr>
        <w:pStyle w:val="BodyText-nospacebelow"/>
        <w:jc w:val="both"/>
      </w:pPr>
      <w:r w:rsidRPr="000840CC">
        <w:t xml:space="preserve"> </w:t>
      </w:r>
    </w:p>
    <w:p w14:paraId="75321027" w14:textId="541C3830" w:rsidR="000840CC" w:rsidRPr="000840CC" w:rsidRDefault="000840CC" w:rsidP="00AC131F">
      <w:pPr>
        <w:pStyle w:val="BodyText-nospacebelow"/>
        <w:jc w:val="both"/>
      </w:pPr>
      <w:r w:rsidRPr="000840CC">
        <w:t>WALGA’s</w:t>
      </w:r>
      <w:r w:rsidR="004634E1">
        <w:t xml:space="preserve"> 2008 </w:t>
      </w:r>
      <w:r w:rsidR="004634E1" w:rsidRPr="004634E1">
        <w:rPr>
          <w:i/>
        </w:rPr>
        <w:t>Systemic Sustainability Study</w:t>
      </w:r>
      <w:r w:rsidR="004634E1">
        <w:t xml:space="preserve"> </w:t>
      </w:r>
      <w:r w:rsidRPr="000840CC">
        <w:t xml:space="preserve">recommended that a comprehensive induction or foundational training program be mandated </w:t>
      </w:r>
      <w:r w:rsidR="00A73052">
        <w:t>and s</w:t>
      </w:r>
      <w:r w:rsidRPr="000840CC">
        <w:t>upported by payments for attendance.  The report further stated that,</w:t>
      </w:r>
      <w:r w:rsidR="00007016">
        <w:t xml:space="preserve"> </w:t>
      </w:r>
      <w:r w:rsidRPr="000840CC">
        <w:t xml:space="preserve">“More generally, a culture of continuing professional development for </w:t>
      </w:r>
      <w:r w:rsidR="00246B9A">
        <w:t>elected member</w:t>
      </w:r>
      <w:r w:rsidRPr="000840CC">
        <w:t>s should be encouraged to ensure ongoing exposure and insights to the role of local government.”</w:t>
      </w:r>
      <w:r w:rsidRPr="000840CC">
        <w:rPr>
          <w:vertAlign w:val="superscript"/>
        </w:rPr>
        <w:footnoteReference w:id="3"/>
      </w:r>
    </w:p>
    <w:p w14:paraId="1CA29BEF" w14:textId="77777777" w:rsidR="00286010" w:rsidRDefault="00286010" w:rsidP="000840CC">
      <w:pPr>
        <w:pStyle w:val="BodyText-nospacebelow"/>
      </w:pPr>
    </w:p>
    <w:p w14:paraId="2544EBBB" w14:textId="55F3F9DD" w:rsidR="000840CC" w:rsidRDefault="004634E1" w:rsidP="00AC131F">
      <w:pPr>
        <w:pStyle w:val="BodyText-nospacebelow"/>
        <w:jc w:val="both"/>
      </w:pPr>
      <w:r>
        <w:lastRenderedPageBreak/>
        <w:t>T</w:t>
      </w:r>
      <w:r w:rsidR="000840CC" w:rsidRPr="000840CC">
        <w:t xml:space="preserve">he </w:t>
      </w:r>
      <w:r w:rsidR="00A73052">
        <w:t>Corruption and Crime Commission (</w:t>
      </w:r>
      <w:r w:rsidR="000840CC" w:rsidRPr="000840CC">
        <w:t>CCC</w:t>
      </w:r>
      <w:r w:rsidR="00A73052">
        <w:t>)</w:t>
      </w:r>
      <w:r w:rsidR="000840CC" w:rsidRPr="000840CC">
        <w:t xml:space="preserve"> observed in its report on the actions of the former CEO of the Shire of Dowerin that it was difficult see how the responsibilities of a</w:t>
      </w:r>
      <w:r w:rsidR="00246B9A">
        <w:t>n</w:t>
      </w:r>
      <w:r w:rsidR="000840CC" w:rsidRPr="000840CC">
        <w:t xml:space="preserve"> </w:t>
      </w:r>
      <w:r w:rsidR="00246B9A">
        <w:t>elected member</w:t>
      </w:r>
      <w:r w:rsidR="000840CC" w:rsidRPr="000840CC">
        <w:t xml:space="preserve"> could be fulfilled without some training.  </w:t>
      </w:r>
    </w:p>
    <w:p w14:paraId="6014187C" w14:textId="77777777" w:rsidR="00517B05" w:rsidRPr="00541B8E" w:rsidRDefault="00517B05" w:rsidP="00AC131F">
      <w:pPr>
        <w:pStyle w:val="BodyText-nospacebelow"/>
        <w:jc w:val="both"/>
        <w:rPr>
          <w:i/>
          <w:color w:val="auto"/>
        </w:rPr>
      </w:pPr>
    </w:p>
    <w:p w14:paraId="7DFC25AF" w14:textId="0BC56FAD" w:rsidR="000840CC" w:rsidRDefault="000840CC" w:rsidP="00AC131F">
      <w:pPr>
        <w:pStyle w:val="BodyText-nospacebelow"/>
        <w:jc w:val="both"/>
      </w:pPr>
      <w:r w:rsidRPr="000840CC">
        <w:t xml:space="preserve">Reforms to require </w:t>
      </w:r>
      <w:r w:rsidR="00246B9A">
        <w:t>elected member</w:t>
      </w:r>
      <w:r w:rsidRPr="000840CC">
        <w:t>s to undertake an induction was also a recommendation of the City of Canning Inquiry.</w:t>
      </w:r>
      <w:r w:rsidRPr="000840CC">
        <w:rPr>
          <w:vertAlign w:val="superscript"/>
        </w:rPr>
        <w:footnoteReference w:id="4"/>
      </w:r>
    </w:p>
    <w:p w14:paraId="4D3EA635" w14:textId="77777777" w:rsidR="00CD16B8" w:rsidRPr="000840CC" w:rsidRDefault="00CD16B8" w:rsidP="00AC131F">
      <w:pPr>
        <w:pStyle w:val="BodyText-nospacebelow"/>
        <w:jc w:val="both"/>
      </w:pPr>
    </w:p>
    <w:p w14:paraId="777B0E00" w14:textId="2FCC041F" w:rsidR="000840CC" w:rsidRPr="000840CC" w:rsidRDefault="000840CC" w:rsidP="00AC131F">
      <w:pPr>
        <w:pStyle w:val="BodyText-nospacebelow"/>
        <w:jc w:val="both"/>
      </w:pPr>
      <w:r w:rsidRPr="000840CC">
        <w:t xml:space="preserve">The case against requiring </w:t>
      </w:r>
      <w:r w:rsidR="00246B9A">
        <w:t>elected member</w:t>
      </w:r>
      <w:r w:rsidRPr="000840CC">
        <w:t xml:space="preserve">s </w:t>
      </w:r>
      <w:r w:rsidR="00444338">
        <w:t xml:space="preserve">to undertake mandatory training </w:t>
      </w:r>
      <w:r w:rsidRPr="000840CC">
        <w:t>has three main arguments:</w:t>
      </w:r>
    </w:p>
    <w:p w14:paraId="46D51288" w14:textId="1512CE1E" w:rsidR="000840CC" w:rsidRPr="000840CC" w:rsidRDefault="00A73052" w:rsidP="00AC131F">
      <w:pPr>
        <w:pStyle w:val="BodyText-nospacebelow"/>
        <w:numPr>
          <w:ilvl w:val="0"/>
          <w:numId w:val="20"/>
        </w:numPr>
        <w:jc w:val="both"/>
      </w:pPr>
      <w:r>
        <w:t>t</w:t>
      </w:r>
      <w:r w:rsidR="001603DA">
        <w:t xml:space="preserve">raining is not mandatory for </w:t>
      </w:r>
      <w:r w:rsidR="000840CC" w:rsidRPr="000840CC">
        <w:t>State and Commonwealth</w:t>
      </w:r>
      <w:r w:rsidR="00935E4F">
        <w:t xml:space="preserve"> </w:t>
      </w:r>
      <w:r w:rsidR="000840CC" w:rsidRPr="000840CC">
        <w:t>parliamentarians;</w:t>
      </w:r>
    </w:p>
    <w:p w14:paraId="7734C10C" w14:textId="0D7A005C" w:rsidR="000840CC" w:rsidRPr="000840CC" w:rsidRDefault="00935E4F" w:rsidP="00AC131F">
      <w:pPr>
        <w:pStyle w:val="BodyText-nospacebelow"/>
        <w:numPr>
          <w:ilvl w:val="0"/>
          <w:numId w:val="20"/>
        </w:numPr>
        <w:jc w:val="both"/>
      </w:pPr>
      <w:r>
        <w:t>m</w:t>
      </w:r>
      <w:r w:rsidR="001603DA">
        <w:t>andatory</w:t>
      </w:r>
      <w:r w:rsidR="001603DA" w:rsidRPr="000840CC">
        <w:t xml:space="preserve"> </w:t>
      </w:r>
      <w:r w:rsidR="000840CC" w:rsidRPr="000840CC">
        <w:t>training would dissuade people from standing for office; and</w:t>
      </w:r>
    </w:p>
    <w:p w14:paraId="3DDEDACD" w14:textId="77777777" w:rsidR="000840CC" w:rsidRDefault="000840CC" w:rsidP="00AC131F">
      <w:pPr>
        <w:pStyle w:val="BodyText-nospacebelow"/>
        <w:numPr>
          <w:ilvl w:val="0"/>
          <w:numId w:val="20"/>
        </w:numPr>
        <w:jc w:val="both"/>
      </w:pPr>
      <w:r w:rsidRPr="000840CC">
        <w:t>limiting the holding of office to people who have completed or will complete training is undemocratic.</w:t>
      </w:r>
    </w:p>
    <w:p w14:paraId="297CC49D" w14:textId="77777777" w:rsidR="00CD16B8" w:rsidRPr="000840CC" w:rsidRDefault="00CD16B8" w:rsidP="00AC131F">
      <w:pPr>
        <w:pStyle w:val="BodyText-nospacebelow"/>
        <w:ind w:left="720"/>
        <w:jc w:val="both"/>
      </w:pPr>
    </w:p>
    <w:p w14:paraId="3A1CD1F9" w14:textId="65E3F86A" w:rsidR="000840CC" w:rsidRDefault="000840CC" w:rsidP="00AC131F">
      <w:pPr>
        <w:pStyle w:val="BodyText-nospacebelow"/>
        <w:jc w:val="both"/>
      </w:pPr>
      <w:r w:rsidRPr="000840CC">
        <w:t xml:space="preserve">It is difficult to assess whether </w:t>
      </w:r>
      <w:r w:rsidR="00A73052">
        <w:t>mandatory</w:t>
      </w:r>
      <w:r w:rsidR="00A73052" w:rsidRPr="000840CC">
        <w:t xml:space="preserve"> </w:t>
      </w:r>
      <w:r w:rsidRPr="000840CC">
        <w:t xml:space="preserve">training would dissuade people from standing for office. In regional Western Australia especially, unopposed elections are common. </w:t>
      </w:r>
      <w:r w:rsidR="00935E4F">
        <w:t xml:space="preserve"> </w:t>
      </w:r>
      <w:r w:rsidRPr="000840CC">
        <w:t xml:space="preserve">In the 2015 ordinary elections, 153 of the 169 (90 per cent) uncontested elections took place in country local governments. </w:t>
      </w:r>
    </w:p>
    <w:p w14:paraId="7EB0217C" w14:textId="77777777" w:rsidR="00CD16B8" w:rsidRPr="000840CC" w:rsidRDefault="00CD16B8" w:rsidP="00AC131F">
      <w:pPr>
        <w:pStyle w:val="BodyText-nospacebelow"/>
        <w:jc w:val="both"/>
      </w:pPr>
    </w:p>
    <w:p w14:paraId="46017EB1" w14:textId="67992E77" w:rsidR="00286010" w:rsidRDefault="00935E4F" w:rsidP="00AC131F">
      <w:pPr>
        <w:pStyle w:val="BodyText-nospacebelow"/>
        <w:jc w:val="both"/>
      </w:pPr>
      <w:r>
        <w:t>W</w:t>
      </w:r>
      <w:r w:rsidR="000840CC" w:rsidRPr="000840CC">
        <w:t>hile limiting the holding of office to those who have completed training or will complete training may seem to be undemocratic, it represents one of a series of pre</w:t>
      </w:r>
      <w:r w:rsidR="00183CF2">
        <w:t>-</w:t>
      </w:r>
      <w:r w:rsidR="000840CC" w:rsidRPr="000840CC">
        <w:t>conditions to be a</w:t>
      </w:r>
      <w:r w:rsidR="00246B9A">
        <w:t>n</w:t>
      </w:r>
      <w:r w:rsidR="000840CC" w:rsidRPr="000840CC">
        <w:t xml:space="preserve"> </w:t>
      </w:r>
      <w:r w:rsidR="00246B9A">
        <w:t>elected member</w:t>
      </w:r>
      <w:r w:rsidR="000840CC" w:rsidRPr="000840CC">
        <w:t xml:space="preserve">.  </w:t>
      </w:r>
      <w:r>
        <w:t>T</w:t>
      </w:r>
      <w:r w:rsidR="000840CC" w:rsidRPr="000840CC">
        <w:t xml:space="preserve">he eligibility criteria </w:t>
      </w:r>
      <w:r>
        <w:t xml:space="preserve">currently </w:t>
      </w:r>
      <w:r w:rsidR="000840CC" w:rsidRPr="000840CC">
        <w:t xml:space="preserve">covers items such as </w:t>
      </w:r>
      <w:r>
        <w:t xml:space="preserve">not </w:t>
      </w:r>
      <w:r w:rsidR="000840CC" w:rsidRPr="000840CC">
        <w:t>being insolvent, or having previously been convicted of a serious local government offence, or other indictable offence</w:t>
      </w:r>
      <w:r>
        <w:t xml:space="preserve">. </w:t>
      </w:r>
      <w:r w:rsidR="000840CC" w:rsidRPr="000840CC">
        <w:t xml:space="preserve"> </w:t>
      </w:r>
      <w:r w:rsidRPr="000840CC">
        <w:t xml:space="preserve">It </w:t>
      </w:r>
      <w:r>
        <w:t>could</w:t>
      </w:r>
      <w:r w:rsidR="000840CC" w:rsidRPr="000840CC">
        <w:t xml:space="preserve"> be argued that being prepared to complete </w:t>
      </w:r>
      <w:r w:rsidR="00A73052">
        <w:t xml:space="preserve">the </w:t>
      </w:r>
      <w:r w:rsidR="000840CC" w:rsidRPr="000840CC">
        <w:t xml:space="preserve">training required to perform this important role </w:t>
      </w:r>
      <w:r w:rsidR="00286010">
        <w:t>could</w:t>
      </w:r>
      <w:r w:rsidR="001D536A">
        <w:t xml:space="preserve"> </w:t>
      </w:r>
      <w:r w:rsidR="000840CC" w:rsidRPr="000840CC">
        <w:t>also be a minimum criterion.</w:t>
      </w:r>
    </w:p>
    <w:p w14:paraId="426634D3" w14:textId="77777777" w:rsidR="000840CC" w:rsidRPr="000840CC" w:rsidRDefault="000840CC" w:rsidP="00AC131F">
      <w:pPr>
        <w:pStyle w:val="BodyText-nospacebelow"/>
        <w:jc w:val="both"/>
      </w:pPr>
      <w:r w:rsidRPr="000840CC">
        <w:t xml:space="preserve"> </w:t>
      </w:r>
    </w:p>
    <w:p w14:paraId="66056B66" w14:textId="77777777" w:rsidR="000840CC" w:rsidRDefault="000840CC" w:rsidP="00AC131F">
      <w:pPr>
        <w:pStyle w:val="BodyText-nospacebelow"/>
        <w:jc w:val="both"/>
      </w:pPr>
      <w:r w:rsidRPr="000840CC">
        <w:t xml:space="preserve">In South Australia, mandatory training operates by requiring a local government to adopt a training policy that must comply with the training standard. The content of the training standard is specified in regulations. </w:t>
      </w:r>
    </w:p>
    <w:p w14:paraId="78F625B5" w14:textId="77777777" w:rsidR="0037382E" w:rsidRDefault="0037382E" w:rsidP="00AC131F">
      <w:pPr>
        <w:pStyle w:val="BodyText-nospacebelow"/>
        <w:jc w:val="both"/>
      </w:pPr>
    </w:p>
    <w:p w14:paraId="1611820C" w14:textId="7A988955" w:rsidR="0037382E" w:rsidRDefault="00935E4F" w:rsidP="00AC131F">
      <w:pPr>
        <w:pStyle w:val="BodyText-nospacebelow"/>
        <w:jc w:val="both"/>
      </w:pPr>
      <w:r>
        <w:t>I</w:t>
      </w:r>
      <w:r w:rsidR="0037382E">
        <w:t xml:space="preserve">mplementation </w:t>
      </w:r>
      <w:r>
        <w:t xml:space="preserve">of mandatory training </w:t>
      </w:r>
      <w:r w:rsidR="0037382E">
        <w:t>would need to take into account the barriers that currently exist to training, including cost, time and access to training, particularly in regional and remote areas.</w:t>
      </w:r>
      <w:r w:rsidR="00215B45">
        <w:t xml:space="preserve">  </w:t>
      </w:r>
      <w:r w:rsidR="00215B45" w:rsidRPr="000840CC">
        <w:t xml:space="preserve">Training would need to be made available in a range of modes, including online, to allow </w:t>
      </w:r>
      <w:r w:rsidR="00246B9A">
        <w:t xml:space="preserve">elected </w:t>
      </w:r>
      <w:r w:rsidR="00246B9A">
        <w:lastRenderedPageBreak/>
        <w:t>member</w:t>
      </w:r>
      <w:r w:rsidR="00215B45" w:rsidRPr="000840CC">
        <w:t>s throughout the State to undertake the training with minimal disruption to their working and personal lives.</w:t>
      </w:r>
    </w:p>
    <w:p w14:paraId="38B6D26A" w14:textId="77777777" w:rsidR="00085B07" w:rsidRDefault="00085B07" w:rsidP="00AC131F">
      <w:pPr>
        <w:pStyle w:val="BodyText-nospacebelow"/>
        <w:jc w:val="both"/>
      </w:pPr>
    </w:p>
    <w:p w14:paraId="58B2EDFE" w14:textId="77777777" w:rsidR="000840CC" w:rsidRPr="00EC5E78" w:rsidRDefault="000840CC" w:rsidP="00AC131F">
      <w:pPr>
        <w:pStyle w:val="BodyText-nospacebelow"/>
        <w:spacing w:after="120"/>
        <w:jc w:val="both"/>
        <w:rPr>
          <w:rStyle w:val="Emphasis"/>
        </w:rPr>
      </w:pPr>
      <w:bookmarkStart w:id="220" w:name="_Toc491872694"/>
      <w:bookmarkStart w:id="221" w:name="_Toc491873628"/>
      <w:bookmarkStart w:id="222" w:name="_Toc491934256"/>
      <w:bookmarkStart w:id="223" w:name="_Toc492368878"/>
      <w:bookmarkStart w:id="224" w:name="_Toc492386606"/>
      <w:bookmarkStart w:id="225" w:name="_Toc492468848"/>
      <w:bookmarkStart w:id="226" w:name="_Toc492470523"/>
      <w:bookmarkStart w:id="227" w:name="_Toc492471203"/>
      <w:bookmarkStart w:id="228" w:name="_Toc492471328"/>
      <w:bookmarkStart w:id="229" w:name="_Toc493746620"/>
      <w:bookmarkStart w:id="230" w:name="_Toc493768835"/>
      <w:r w:rsidRPr="00EC5E78">
        <w:rPr>
          <w:rStyle w:val="Emphasis"/>
        </w:rPr>
        <w:t>Who should be required to undertake training?</w:t>
      </w:r>
      <w:bookmarkEnd w:id="220"/>
      <w:bookmarkEnd w:id="221"/>
      <w:bookmarkEnd w:id="222"/>
      <w:bookmarkEnd w:id="223"/>
      <w:bookmarkEnd w:id="224"/>
      <w:bookmarkEnd w:id="225"/>
      <w:bookmarkEnd w:id="226"/>
      <w:bookmarkEnd w:id="227"/>
      <w:bookmarkEnd w:id="228"/>
      <w:bookmarkEnd w:id="229"/>
      <w:bookmarkEnd w:id="230"/>
    </w:p>
    <w:p w14:paraId="63612008" w14:textId="18C66ED1" w:rsidR="000840CC" w:rsidRPr="000840CC" w:rsidRDefault="001603DA" w:rsidP="00AC131F">
      <w:pPr>
        <w:pStyle w:val="BodyText-nospacebelow"/>
        <w:jc w:val="both"/>
      </w:pPr>
      <w:r>
        <w:t>O</w:t>
      </w:r>
      <w:r w:rsidR="000840CC" w:rsidRPr="000840CC">
        <w:t xml:space="preserve">ne of the key questions </w:t>
      </w:r>
      <w:r>
        <w:t xml:space="preserve">around mandatory training is </w:t>
      </w:r>
      <w:r w:rsidR="000840CC" w:rsidRPr="000840CC">
        <w:t>who should be required to complete training.</w:t>
      </w:r>
      <w:r w:rsidR="00935E4F">
        <w:t xml:space="preserve">  </w:t>
      </w:r>
      <w:r>
        <w:t>It could apply to</w:t>
      </w:r>
      <w:r w:rsidR="000840CC" w:rsidRPr="000840CC">
        <w:t xml:space="preserve">: </w:t>
      </w:r>
    </w:p>
    <w:p w14:paraId="2016CF4A" w14:textId="2C40A6D5" w:rsidR="000840CC" w:rsidRDefault="000840CC" w:rsidP="00AC131F">
      <w:pPr>
        <w:pStyle w:val="BodyText-nospacebelow"/>
        <w:numPr>
          <w:ilvl w:val="0"/>
          <w:numId w:val="22"/>
        </w:numPr>
        <w:jc w:val="both"/>
      </w:pPr>
      <w:r w:rsidRPr="000840CC">
        <w:t xml:space="preserve">all </w:t>
      </w:r>
      <w:r w:rsidR="00246B9A">
        <w:t>elected member</w:t>
      </w:r>
      <w:r w:rsidRPr="000840CC">
        <w:t>s</w:t>
      </w:r>
      <w:r w:rsidR="00BC1709">
        <w:t>,</w:t>
      </w:r>
    </w:p>
    <w:p w14:paraId="7778E16E" w14:textId="55107A8D" w:rsidR="000840CC" w:rsidRPr="000840CC" w:rsidRDefault="000840CC" w:rsidP="00AC131F">
      <w:pPr>
        <w:pStyle w:val="BodyText-nospacebelow"/>
        <w:numPr>
          <w:ilvl w:val="0"/>
          <w:numId w:val="22"/>
        </w:numPr>
        <w:jc w:val="both"/>
      </w:pPr>
      <w:r w:rsidRPr="000840CC">
        <w:t xml:space="preserve">all </w:t>
      </w:r>
      <w:r w:rsidR="00246B9A">
        <w:t>elected member</w:t>
      </w:r>
      <w:r w:rsidRPr="000840CC">
        <w:t>s</w:t>
      </w:r>
      <w:r w:rsidR="001603DA">
        <w:t>,</w:t>
      </w:r>
      <w:r w:rsidRPr="000840CC">
        <w:t xml:space="preserve"> with exemptions </w:t>
      </w:r>
      <w:r w:rsidR="001603DA">
        <w:t xml:space="preserve">given </w:t>
      </w:r>
      <w:r w:rsidRPr="000840CC">
        <w:t>to those who complete a recognition of prior learning process</w:t>
      </w:r>
      <w:r w:rsidR="00BC1709">
        <w:t>,</w:t>
      </w:r>
      <w:r w:rsidR="00BC1709" w:rsidRPr="000840CC">
        <w:t xml:space="preserve"> </w:t>
      </w:r>
      <w:r w:rsidRPr="000840CC">
        <w:t>or</w:t>
      </w:r>
    </w:p>
    <w:p w14:paraId="736D40CE" w14:textId="7EDF3810" w:rsidR="000840CC" w:rsidRDefault="001603DA" w:rsidP="00AC131F">
      <w:pPr>
        <w:pStyle w:val="BodyText-nospacebelow"/>
        <w:numPr>
          <w:ilvl w:val="0"/>
          <w:numId w:val="22"/>
        </w:numPr>
        <w:jc w:val="both"/>
      </w:pPr>
      <w:r>
        <w:t xml:space="preserve">only </w:t>
      </w:r>
      <w:r w:rsidR="000840CC" w:rsidRPr="000840CC">
        <w:t xml:space="preserve">first-time </w:t>
      </w:r>
      <w:r w:rsidR="00246B9A">
        <w:t>elected member</w:t>
      </w:r>
      <w:r w:rsidR="000840CC" w:rsidRPr="000840CC">
        <w:t>s.</w:t>
      </w:r>
    </w:p>
    <w:p w14:paraId="415C04D0" w14:textId="77777777" w:rsidR="00BB68F0" w:rsidRPr="000840CC" w:rsidRDefault="00BB68F0" w:rsidP="00AC131F">
      <w:pPr>
        <w:pStyle w:val="BodyText-nospacebelow"/>
        <w:ind w:left="720"/>
        <w:jc w:val="both"/>
      </w:pPr>
    </w:p>
    <w:p w14:paraId="023181A6" w14:textId="4D10AC43" w:rsidR="00F317FB" w:rsidRDefault="00F317FB" w:rsidP="00AC131F">
      <w:pPr>
        <w:pStyle w:val="BodyText-nospacebelow"/>
        <w:jc w:val="both"/>
      </w:pPr>
      <w:r>
        <w:t>Some l</w:t>
      </w:r>
      <w:r w:rsidRPr="000840CC">
        <w:t xml:space="preserve">ocal governments have previously advocated that only first-time </w:t>
      </w:r>
      <w:r w:rsidR="00246B9A">
        <w:t>elected member</w:t>
      </w:r>
      <w:r w:rsidRPr="000840CC">
        <w:t>s should be required to undertake mandatory training.  Due to the relative</w:t>
      </w:r>
      <w:r>
        <w:t>ly</w:t>
      </w:r>
      <w:r w:rsidRPr="000840CC">
        <w:t xml:space="preserve"> high</w:t>
      </w:r>
      <w:r>
        <w:t xml:space="preserve"> </w:t>
      </w:r>
      <w:r w:rsidRPr="000840CC">
        <w:t xml:space="preserve">turnover </w:t>
      </w:r>
      <w:r>
        <w:t>of</w:t>
      </w:r>
      <w:r w:rsidRPr="000840CC">
        <w:t xml:space="preserve"> </w:t>
      </w:r>
      <w:r w:rsidR="00246B9A">
        <w:t>elected member</w:t>
      </w:r>
      <w:r w:rsidRPr="000840CC">
        <w:t xml:space="preserve">s, requiring only first-time </w:t>
      </w:r>
      <w:r w:rsidR="00246B9A">
        <w:t>elected member</w:t>
      </w:r>
      <w:r w:rsidRPr="000840CC">
        <w:t xml:space="preserve">s to complete training would still result in a significant proportion of </w:t>
      </w:r>
      <w:r w:rsidR="00246B9A">
        <w:t>elected member</w:t>
      </w:r>
      <w:r w:rsidRPr="000840CC">
        <w:t>s receiving training.  At the 2015 ordinary local government elections, almost half of the candidates elected (306 of 655) had not previously served on council.</w:t>
      </w:r>
    </w:p>
    <w:p w14:paraId="404767DD" w14:textId="77777777" w:rsidR="00F317FB" w:rsidRDefault="00F317FB" w:rsidP="00AC131F">
      <w:pPr>
        <w:pStyle w:val="BodyText-nospacebelow"/>
        <w:jc w:val="both"/>
      </w:pPr>
    </w:p>
    <w:p w14:paraId="0E6869B9" w14:textId="5570AF65" w:rsidR="000840CC" w:rsidRDefault="000840CC" w:rsidP="00AC131F">
      <w:pPr>
        <w:pStyle w:val="BodyText-nospacebelow"/>
        <w:jc w:val="both"/>
      </w:pPr>
      <w:r w:rsidRPr="000840CC">
        <w:t xml:space="preserve">Training for all </w:t>
      </w:r>
      <w:r w:rsidR="00246B9A">
        <w:t>elected member</w:t>
      </w:r>
      <w:r w:rsidRPr="000840CC">
        <w:t xml:space="preserve">s regardless of their </w:t>
      </w:r>
      <w:r w:rsidR="00C3324D">
        <w:t xml:space="preserve">previous </w:t>
      </w:r>
      <w:r w:rsidRPr="000840CC">
        <w:t>service would provide the greatest coverage</w:t>
      </w:r>
      <w:r w:rsidR="00F317FB">
        <w:t xml:space="preserve"> and ensure the best performing councils</w:t>
      </w:r>
      <w:r w:rsidRPr="000840CC">
        <w:t>.  As noted in successive inquiries, experience does not necessarily equate to competence when it comes to the evolving and complex role of a</w:t>
      </w:r>
      <w:r w:rsidR="00246B9A">
        <w:t>n</w:t>
      </w:r>
      <w:r w:rsidRPr="000840CC">
        <w:t xml:space="preserve"> </w:t>
      </w:r>
      <w:r w:rsidR="00246B9A">
        <w:t>elected member</w:t>
      </w:r>
      <w:r w:rsidRPr="000840CC">
        <w:t>.</w:t>
      </w:r>
    </w:p>
    <w:p w14:paraId="56AC9FEB" w14:textId="77777777" w:rsidR="00BB68F0" w:rsidRPr="000840CC" w:rsidRDefault="00BB68F0" w:rsidP="00AC131F">
      <w:pPr>
        <w:pStyle w:val="BodyText-nospacebelow"/>
        <w:jc w:val="both"/>
      </w:pPr>
    </w:p>
    <w:p w14:paraId="377FDFAD" w14:textId="5F058E3D" w:rsidR="000840CC" w:rsidRPr="000840CC" w:rsidRDefault="00B35B99" w:rsidP="00AC131F">
      <w:pPr>
        <w:jc w:val="both"/>
      </w:pPr>
      <w:r w:rsidRPr="000840CC">
        <w:t>In addition, candidates could be required to complete an induction program as part of their nomination process.</w:t>
      </w:r>
      <w:r>
        <w:t xml:space="preserve">  This would ensure that they better understood the role and responsibilities of the position for which they are nominating.  </w:t>
      </w:r>
      <w:r w:rsidR="00146063">
        <w:t>I</w:t>
      </w:r>
      <w:r w:rsidR="000840CC" w:rsidRPr="000840CC">
        <w:t xml:space="preserve">n Western Australia, candidates are </w:t>
      </w:r>
      <w:r w:rsidR="002E4700">
        <w:t xml:space="preserve">currently </w:t>
      </w:r>
      <w:r w:rsidR="000840CC" w:rsidRPr="000840CC">
        <w:t xml:space="preserve">encouraged to attend </w:t>
      </w:r>
      <w:r w:rsidR="00F317FB">
        <w:t>web-based sessions</w:t>
      </w:r>
      <w:r w:rsidR="000840CC" w:rsidRPr="000840CC">
        <w:t xml:space="preserve"> to increase </w:t>
      </w:r>
      <w:r w:rsidR="00F317FB">
        <w:t xml:space="preserve">their </w:t>
      </w:r>
      <w:r w:rsidR="000840CC" w:rsidRPr="000840CC">
        <w:t xml:space="preserve">awareness of the roles and responsibilities of </w:t>
      </w:r>
      <w:r w:rsidR="00246B9A">
        <w:t>elected member</w:t>
      </w:r>
      <w:r w:rsidR="000840CC" w:rsidRPr="000840CC">
        <w:t>s</w:t>
      </w:r>
      <w:r w:rsidR="00146063">
        <w:t>,</w:t>
      </w:r>
      <w:r w:rsidR="000840CC" w:rsidRPr="000840CC">
        <w:t xml:space="preserve"> but only a fraction of candidates </w:t>
      </w:r>
      <w:r w:rsidR="0052166B">
        <w:t>participate</w:t>
      </w:r>
      <w:r w:rsidR="000840CC" w:rsidRPr="000840CC">
        <w:t xml:space="preserve">.  Requiring candidates to complete an induction could reduce </w:t>
      </w:r>
      <w:r w:rsidR="00183CF2">
        <w:t xml:space="preserve">the number of </w:t>
      </w:r>
      <w:r w:rsidR="000840CC" w:rsidRPr="000840CC">
        <w:t xml:space="preserve">potential candidates but improve </w:t>
      </w:r>
      <w:r w:rsidR="00146063">
        <w:t>their</w:t>
      </w:r>
      <w:r w:rsidR="000840CC" w:rsidRPr="000840CC">
        <w:t xml:space="preserve"> understanding of the complex and challenging role</w:t>
      </w:r>
      <w:r w:rsidR="002E4700">
        <w:t xml:space="preserve"> they are preparing to undertake</w:t>
      </w:r>
      <w:r w:rsidR="000840CC" w:rsidRPr="000840CC">
        <w:t>.</w:t>
      </w:r>
    </w:p>
    <w:p w14:paraId="3FB4B981" w14:textId="77777777" w:rsidR="007260B8" w:rsidRDefault="007260B8" w:rsidP="007260B8">
      <w:pPr>
        <w:pStyle w:val="BodyText-nospacebelow"/>
      </w:pPr>
      <w:bookmarkStart w:id="231" w:name="_Toc493149537"/>
      <w:bookmarkStart w:id="232" w:name="_Toc493746691"/>
      <w:bookmarkStart w:id="233" w:name="_Toc493149538"/>
      <w:bookmarkStart w:id="234" w:name="_Toc493746692"/>
      <w:bookmarkEnd w:id="231"/>
      <w:bookmarkEnd w:id="232"/>
      <w:bookmarkEnd w:id="233"/>
      <w:bookmarkEnd w:id="234"/>
    </w:p>
    <w:p w14:paraId="133D528C" w14:textId="77777777" w:rsidR="002E4700" w:rsidRDefault="002E4700" w:rsidP="002E4700">
      <w:pPr>
        <w:pStyle w:val="IntenseQuote"/>
        <w:rPr>
          <w:b/>
          <w:sz w:val="28"/>
        </w:rPr>
      </w:pPr>
      <w:bookmarkStart w:id="235" w:name="_Toc493149541"/>
      <w:bookmarkStart w:id="236" w:name="_Toc493746695"/>
      <w:bookmarkEnd w:id="235"/>
      <w:bookmarkEnd w:id="236"/>
      <w:r>
        <w:rPr>
          <w:b/>
          <w:sz w:val="28"/>
        </w:rPr>
        <w:t>Mandatory training: Guidance questions</w:t>
      </w:r>
    </w:p>
    <w:p w14:paraId="32947FAE" w14:textId="79307C4E" w:rsidR="002E4700" w:rsidRDefault="002E4700" w:rsidP="00F840FA">
      <w:pPr>
        <w:pStyle w:val="BodyText2-nospacebelow"/>
        <w:numPr>
          <w:ilvl w:val="0"/>
          <w:numId w:val="19"/>
        </w:numPr>
        <w:spacing w:after="120"/>
        <w:ind w:hanging="607"/>
        <w:rPr>
          <w:lang w:eastAsia="en-AU"/>
        </w:rPr>
      </w:pPr>
      <w:r>
        <w:t xml:space="preserve">Should </w:t>
      </w:r>
      <w:r w:rsidR="00246B9A">
        <w:rPr>
          <w:lang w:eastAsia="en-AU"/>
        </w:rPr>
        <w:t>elected member</w:t>
      </w:r>
      <w:r>
        <w:rPr>
          <w:lang w:eastAsia="en-AU"/>
        </w:rPr>
        <w:t xml:space="preserve"> training be mandatory?  Why or why not?</w:t>
      </w:r>
    </w:p>
    <w:p w14:paraId="565D0FAE" w14:textId="4C0F2B9C" w:rsidR="002E4700" w:rsidRPr="00BB68F0" w:rsidRDefault="00B35B99" w:rsidP="00F840FA">
      <w:pPr>
        <w:pStyle w:val="BodyText2-nospacebelow"/>
        <w:numPr>
          <w:ilvl w:val="0"/>
          <w:numId w:val="19"/>
        </w:numPr>
        <w:spacing w:after="120"/>
        <w:ind w:hanging="607"/>
        <w:rPr>
          <w:lang w:eastAsia="en-AU"/>
        </w:rPr>
      </w:pPr>
      <w:r>
        <w:rPr>
          <w:lang w:eastAsia="en-AU"/>
        </w:rPr>
        <w:lastRenderedPageBreak/>
        <w:t>S</w:t>
      </w:r>
      <w:r w:rsidR="002E4700">
        <w:rPr>
          <w:lang w:eastAsia="en-AU"/>
        </w:rPr>
        <w:t>hould candidates be required to undertake some preliminary training to better understand the role of a</w:t>
      </w:r>
      <w:r w:rsidR="00246B9A">
        <w:rPr>
          <w:lang w:eastAsia="en-AU"/>
        </w:rPr>
        <w:t>n</w:t>
      </w:r>
      <w:r w:rsidR="002E4700">
        <w:rPr>
          <w:lang w:eastAsia="en-AU"/>
        </w:rPr>
        <w:t xml:space="preserve"> </w:t>
      </w:r>
      <w:r w:rsidR="00246B9A">
        <w:rPr>
          <w:lang w:eastAsia="en-AU"/>
        </w:rPr>
        <w:t>elected member</w:t>
      </w:r>
      <w:r w:rsidR="002E4700">
        <w:rPr>
          <w:lang w:eastAsia="en-AU"/>
        </w:rPr>
        <w:t>?</w:t>
      </w:r>
    </w:p>
    <w:p w14:paraId="4B2F7927" w14:textId="67DDDEC3" w:rsidR="002E4700" w:rsidRDefault="00FB20D3" w:rsidP="00F840FA">
      <w:pPr>
        <w:pStyle w:val="BodyText2-nospacebelow"/>
        <w:numPr>
          <w:ilvl w:val="0"/>
          <w:numId w:val="19"/>
        </w:numPr>
        <w:spacing w:after="120"/>
        <w:ind w:hanging="607"/>
        <w:rPr>
          <w:lang w:eastAsia="en-AU"/>
        </w:rPr>
      </w:pPr>
      <w:r>
        <w:rPr>
          <w:lang w:eastAsia="en-AU"/>
        </w:rPr>
        <w:t>S</w:t>
      </w:r>
      <w:r w:rsidR="002E4700" w:rsidRPr="00BB68F0">
        <w:rPr>
          <w:lang w:eastAsia="en-AU"/>
        </w:rPr>
        <w:t xml:space="preserve">hould prior learning or service be recognised in </w:t>
      </w:r>
      <w:r w:rsidR="002E4700">
        <w:rPr>
          <w:lang w:eastAsia="en-AU"/>
        </w:rPr>
        <w:t>place</w:t>
      </w:r>
      <w:r w:rsidR="002E4700" w:rsidRPr="00BB68F0">
        <w:rPr>
          <w:lang w:eastAsia="en-AU"/>
        </w:rPr>
        <w:t xml:space="preserve"> of completing training</w:t>
      </w:r>
      <w:r w:rsidR="00436B5D">
        <w:rPr>
          <w:lang w:eastAsia="en-AU"/>
        </w:rPr>
        <w:t xml:space="preserve"> for elected members</w:t>
      </w:r>
      <w:r w:rsidR="002E4700" w:rsidRPr="00BB68F0">
        <w:rPr>
          <w:lang w:eastAsia="en-AU"/>
        </w:rPr>
        <w:t xml:space="preserve">? </w:t>
      </w:r>
      <w:r>
        <w:rPr>
          <w:lang w:eastAsia="en-AU"/>
        </w:rPr>
        <w:t>If yes, how would this work?</w:t>
      </w:r>
    </w:p>
    <w:p w14:paraId="77479911" w14:textId="7D08EA84" w:rsidR="00215B45" w:rsidRDefault="00215B45" w:rsidP="00F840FA">
      <w:pPr>
        <w:pStyle w:val="BodyText2-nospacebelow"/>
        <w:numPr>
          <w:ilvl w:val="0"/>
          <w:numId w:val="19"/>
        </w:numPr>
        <w:spacing w:after="120"/>
        <w:ind w:hanging="607"/>
        <w:rPr>
          <w:lang w:eastAsia="en-AU"/>
        </w:rPr>
      </w:pPr>
      <w:r>
        <w:rPr>
          <w:lang w:eastAsia="en-AU"/>
        </w:rPr>
        <w:t xml:space="preserve">What period should </w:t>
      </w:r>
      <w:r w:rsidR="00C3324D">
        <w:rPr>
          <w:lang w:eastAsia="en-AU"/>
        </w:rPr>
        <w:t xml:space="preserve">apply </w:t>
      </w:r>
      <w:r>
        <w:rPr>
          <w:lang w:eastAsia="en-AU"/>
        </w:rPr>
        <w:t xml:space="preserve">for </w:t>
      </w:r>
      <w:r w:rsidR="00246B9A">
        <w:rPr>
          <w:lang w:eastAsia="en-AU"/>
        </w:rPr>
        <w:t>elected member</w:t>
      </w:r>
      <w:r>
        <w:rPr>
          <w:lang w:eastAsia="en-AU"/>
        </w:rPr>
        <w:t>s to complete essential training</w:t>
      </w:r>
      <w:r w:rsidR="00A21039">
        <w:rPr>
          <w:lang w:eastAsia="en-AU"/>
        </w:rPr>
        <w:t xml:space="preserve"> after their election</w:t>
      </w:r>
      <w:r>
        <w:rPr>
          <w:lang w:eastAsia="en-AU"/>
        </w:rPr>
        <w:t xml:space="preserve">? </w:t>
      </w:r>
      <w:bookmarkStart w:id="237" w:name="_Toc493149493"/>
      <w:bookmarkStart w:id="238" w:name="_Toc493746647"/>
      <w:bookmarkEnd w:id="237"/>
      <w:bookmarkEnd w:id="238"/>
    </w:p>
    <w:p w14:paraId="773D44C3" w14:textId="77777777" w:rsidR="007260B8" w:rsidRDefault="007260B8" w:rsidP="007260B8">
      <w:pPr>
        <w:pStyle w:val="BodyText2-nospacebelow"/>
        <w:ind w:left="720"/>
      </w:pPr>
    </w:p>
    <w:p w14:paraId="0483D691" w14:textId="77777777" w:rsidR="000840CC" w:rsidRPr="000840CC" w:rsidRDefault="000840CC" w:rsidP="003A1777">
      <w:pPr>
        <w:pStyle w:val="Heading2"/>
        <w:numPr>
          <w:ilvl w:val="1"/>
          <w:numId w:val="85"/>
        </w:numPr>
      </w:pPr>
      <w:bookmarkStart w:id="239" w:name="_Toc491934258"/>
      <w:bookmarkStart w:id="240" w:name="_Toc492368880"/>
      <w:bookmarkStart w:id="241" w:name="_Toc492386608"/>
      <w:bookmarkStart w:id="242" w:name="_Toc492468850"/>
      <w:bookmarkStart w:id="243" w:name="_Toc492470525"/>
      <w:bookmarkStart w:id="244" w:name="_Toc492471205"/>
      <w:bookmarkStart w:id="245" w:name="_Toc492471330"/>
      <w:bookmarkStart w:id="246" w:name="_Toc493252904"/>
      <w:bookmarkStart w:id="247" w:name="_Toc493253036"/>
      <w:bookmarkStart w:id="248" w:name="_Toc493748960"/>
      <w:bookmarkStart w:id="249" w:name="_Toc493758610"/>
      <w:bookmarkStart w:id="250" w:name="_Toc493768841"/>
      <w:bookmarkStart w:id="251" w:name="_Toc493859911"/>
      <w:bookmarkStart w:id="252" w:name="_Toc495491808"/>
      <w:bookmarkStart w:id="253" w:name="_Toc495497588"/>
      <w:bookmarkStart w:id="254" w:name="_Toc495671436"/>
      <w:bookmarkStart w:id="255" w:name="_Toc495676034"/>
      <w:bookmarkStart w:id="256" w:name="_Toc495678329"/>
      <w:bookmarkStart w:id="257" w:name="_Toc495998327"/>
      <w:bookmarkStart w:id="258" w:name="_Toc497741797"/>
      <w:r w:rsidRPr="000840CC">
        <w:t>Continuing professional development</w:t>
      </w:r>
      <w:bookmarkStart w:id="259" w:name="_Toc493746696"/>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50CB378A" w14:textId="3F06EA49" w:rsidR="00A73D12" w:rsidRPr="000840CC" w:rsidRDefault="00A73D12" w:rsidP="00AC131F">
      <w:pPr>
        <w:pStyle w:val="BodyText-nospacebelow"/>
        <w:jc w:val="both"/>
      </w:pPr>
      <w:r w:rsidRPr="000840CC">
        <w:t xml:space="preserve">While there are benefits to training that builds </w:t>
      </w:r>
      <w:r w:rsidR="001F4153">
        <w:t>essential basic skills</w:t>
      </w:r>
      <w:r w:rsidRPr="000840CC">
        <w:t xml:space="preserve">, the ongoing professional development of </w:t>
      </w:r>
      <w:r w:rsidR="00246B9A">
        <w:t>elected member</w:t>
      </w:r>
      <w:r w:rsidRPr="000840CC">
        <w:t xml:space="preserve">s has the potential to </w:t>
      </w:r>
      <w:r>
        <w:t xml:space="preserve">improve and maintain </w:t>
      </w:r>
      <w:r w:rsidRPr="000840CC">
        <w:t>capacity</w:t>
      </w:r>
      <w:r>
        <w:t xml:space="preserve"> in the </w:t>
      </w:r>
      <w:r w:rsidRPr="000840CC">
        <w:t>long-term.</w:t>
      </w:r>
    </w:p>
    <w:p w14:paraId="1F1E922F" w14:textId="77777777" w:rsidR="00A73D12" w:rsidRPr="000840CC" w:rsidRDefault="00A73D12" w:rsidP="00AC131F">
      <w:pPr>
        <w:pStyle w:val="BodyText-nospacebelow"/>
        <w:jc w:val="both"/>
      </w:pPr>
    </w:p>
    <w:p w14:paraId="72DAE1DF" w14:textId="4203299D" w:rsidR="00A73D12" w:rsidRDefault="00A73D12" w:rsidP="00AC131F">
      <w:pPr>
        <w:pStyle w:val="BodyText-nospacebelow"/>
        <w:jc w:val="both"/>
      </w:pPr>
      <w:r w:rsidRPr="000840CC">
        <w:t>Continuing professional development is an accepted part of many professions in fields like law</w:t>
      </w:r>
      <w:r>
        <w:t xml:space="preserve">, </w:t>
      </w:r>
      <w:r w:rsidRPr="000840CC">
        <w:t xml:space="preserve">finance and accounting.  Continuing professional development reflects the complexity of these professions and the need to be aware of innovations and changing requirements and responsibilities. </w:t>
      </w:r>
    </w:p>
    <w:p w14:paraId="52182F2E" w14:textId="77777777" w:rsidR="00A73D12" w:rsidRPr="000840CC" w:rsidRDefault="00A73D12" w:rsidP="00AC131F">
      <w:pPr>
        <w:pStyle w:val="BodyText-nospacebelow"/>
        <w:jc w:val="both"/>
      </w:pPr>
    </w:p>
    <w:p w14:paraId="04D6EBA1" w14:textId="11DD1F7C" w:rsidR="00A73D12" w:rsidRDefault="00A73D12" w:rsidP="00AC131F">
      <w:pPr>
        <w:pStyle w:val="BodyText-nospacebelow"/>
        <w:jc w:val="both"/>
      </w:pPr>
      <w:r w:rsidRPr="000840CC">
        <w:t>Being a</w:t>
      </w:r>
      <w:r w:rsidR="00246B9A">
        <w:t>n</w:t>
      </w:r>
      <w:r w:rsidRPr="000840CC">
        <w:t xml:space="preserve"> </w:t>
      </w:r>
      <w:r w:rsidR="00246B9A">
        <w:t>elected member</w:t>
      </w:r>
      <w:r w:rsidRPr="000840CC">
        <w:t xml:space="preserve"> shares </w:t>
      </w:r>
      <w:r w:rsidR="00C3324D">
        <w:t>many</w:t>
      </w:r>
      <w:r w:rsidR="00C3324D" w:rsidRPr="000840CC">
        <w:t xml:space="preserve"> </w:t>
      </w:r>
      <w:r w:rsidRPr="000840CC">
        <w:t>of the complexit</w:t>
      </w:r>
      <w:r w:rsidR="00C3324D">
        <w:t xml:space="preserve">ies </w:t>
      </w:r>
      <w:r w:rsidRPr="000840CC">
        <w:t xml:space="preserve">of these professions.  Like these professions, </w:t>
      </w:r>
      <w:r w:rsidR="00246B9A">
        <w:t>elected member</w:t>
      </w:r>
      <w:r w:rsidRPr="000840CC">
        <w:t xml:space="preserve">s are best placed to serve the community if they are aware of evolving best practice in matters such as community engagement, planning, auditing and finance.  </w:t>
      </w:r>
    </w:p>
    <w:p w14:paraId="441A32E4" w14:textId="77777777" w:rsidR="00A73D12" w:rsidRPr="000840CC" w:rsidRDefault="00A73D12" w:rsidP="00AC131F">
      <w:pPr>
        <w:pStyle w:val="BodyText-nospacebelow"/>
        <w:jc w:val="both"/>
      </w:pPr>
    </w:p>
    <w:p w14:paraId="3C1F1F88" w14:textId="6B0DA213" w:rsidR="00A73D12" w:rsidRDefault="00A73D12" w:rsidP="00AC131F">
      <w:pPr>
        <w:pStyle w:val="BodyText-nospacebelow"/>
        <w:jc w:val="both"/>
      </w:pPr>
      <w:r w:rsidRPr="000840CC">
        <w:t xml:space="preserve">Continuing professional development also better equips </w:t>
      </w:r>
      <w:r w:rsidR="00246B9A">
        <w:t>elected member</w:t>
      </w:r>
      <w:r w:rsidRPr="000840CC">
        <w:t xml:space="preserve">s to perform their legislated functions and work constructively with the CEO to improve the efficiency and effectiveness of local government services. </w:t>
      </w:r>
    </w:p>
    <w:p w14:paraId="110981EC" w14:textId="77777777" w:rsidR="00A73D12" w:rsidRPr="000840CC" w:rsidRDefault="00A73D12" w:rsidP="00AC131F">
      <w:pPr>
        <w:pStyle w:val="BodyText-nospacebelow"/>
        <w:jc w:val="both"/>
      </w:pPr>
    </w:p>
    <w:p w14:paraId="34C9E239" w14:textId="2AA0D21F" w:rsidR="00A73D12" w:rsidRDefault="00A73D12" w:rsidP="00AC131F">
      <w:pPr>
        <w:pStyle w:val="BodyText-nospacebelow"/>
        <w:jc w:val="both"/>
      </w:pPr>
      <w:r>
        <w:t>M</w:t>
      </w:r>
      <w:r w:rsidRPr="000840CC">
        <w:t xml:space="preserve">any </w:t>
      </w:r>
      <w:r w:rsidR="00246B9A">
        <w:t>elected member</w:t>
      </w:r>
      <w:r w:rsidRPr="000840CC">
        <w:t xml:space="preserve">s already </w:t>
      </w:r>
      <w:r>
        <w:t>undertake</w:t>
      </w:r>
      <w:r w:rsidRPr="000840CC">
        <w:t xml:space="preserve"> continuing professional development</w:t>
      </w:r>
      <w:r>
        <w:t xml:space="preserve"> t</w:t>
      </w:r>
      <w:r w:rsidRPr="000840CC">
        <w:t xml:space="preserve">hrough training providers such as WALGA.  WALGA’s </w:t>
      </w:r>
      <w:r w:rsidR="00FC1A82" w:rsidRPr="000840CC">
        <w:t xml:space="preserve">Diploma </w:t>
      </w:r>
      <w:r w:rsidRPr="000840CC">
        <w:t xml:space="preserve">in </w:t>
      </w:r>
      <w:r w:rsidR="00FC1A82" w:rsidRPr="000840CC">
        <w:t xml:space="preserve">Local Government </w:t>
      </w:r>
      <w:r w:rsidRPr="000840CC">
        <w:t>is one example</w:t>
      </w:r>
      <w:r w:rsidR="00FC1A82">
        <w:t>;</w:t>
      </w:r>
      <w:r>
        <w:t xml:space="preserve"> however, </w:t>
      </w:r>
      <w:r w:rsidRPr="000840CC">
        <w:t>training programs offered on topics such as planning, financial management, and governance are also available.</w:t>
      </w:r>
    </w:p>
    <w:p w14:paraId="3FF873FB" w14:textId="77777777" w:rsidR="00A73D12" w:rsidRPr="000840CC" w:rsidRDefault="00A73D12" w:rsidP="00AC131F">
      <w:pPr>
        <w:pStyle w:val="BodyText-nospacebelow"/>
        <w:jc w:val="both"/>
      </w:pPr>
    </w:p>
    <w:p w14:paraId="398644C4" w14:textId="71EE4371" w:rsidR="00A73D12" w:rsidRDefault="00A73D12" w:rsidP="00AC131F">
      <w:pPr>
        <w:pStyle w:val="BodyText-nospacebelow"/>
        <w:jc w:val="both"/>
      </w:pPr>
      <w:r w:rsidRPr="000840CC">
        <w:t>In N</w:t>
      </w:r>
      <w:r w:rsidR="00FC1A82">
        <w:t xml:space="preserve">ew </w:t>
      </w:r>
      <w:r w:rsidRPr="000840CC">
        <w:t>S</w:t>
      </w:r>
      <w:r w:rsidR="00FC1A82">
        <w:t xml:space="preserve">outh </w:t>
      </w:r>
      <w:r w:rsidRPr="000840CC">
        <w:t>W</w:t>
      </w:r>
      <w:r w:rsidR="00FC1A82">
        <w:t>ales</w:t>
      </w:r>
      <w:r w:rsidRPr="000840CC">
        <w:t xml:space="preserve"> legislation was introduced in 2016 that requires </w:t>
      </w:r>
      <w:r w:rsidR="00246B9A">
        <w:t>elected member</w:t>
      </w:r>
      <w:r w:rsidRPr="000840CC">
        <w:t xml:space="preserve">s to make all reasonable efforts to acquire and maintain the skills necessary to perform the role of the </w:t>
      </w:r>
      <w:r w:rsidR="00246B9A">
        <w:t>elected member</w:t>
      </w:r>
      <w:r w:rsidRPr="000840CC">
        <w:t xml:space="preserve">.  In doing so, </w:t>
      </w:r>
      <w:r w:rsidR="00332EB0">
        <w:t>New South Wales</w:t>
      </w:r>
      <w:r w:rsidRPr="000840CC">
        <w:t xml:space="preserve"> embedded continuing professional development as a requirement to be a</w:t>
      </w:r>
      <w:r w:rsidR="00246B9A">
        <w:t>n</w:t>
      </w:r>
      <w:r w:rsidRPr="000840CC">
        <w:t xml:space="preserve"> </w:t>
      </w:r>
      <w:r w:rsidR="00246B9A">
        <w:t>elected member</w:t>
      </w:r>
      <w:r w:rsidRPr="000840CC">
        <w:t>.</w:t>
      </w:r>
    </w:p>
    <w:p w14:paraId="6F08F236" w14:textId="77777777" w:rsidR="00A73D12" w:rsidRPr="000840CC" w:rsidRDefault="00A73D12" w:rsidP="00AC131F">
      <w:pPr>
        <w:pStyle w:val="BodyText-nospacebelow"/>
        <w:jc w:val="both"/>
      </w:pPr>
    </w:p>
    <w:p w14:paraId="4540E7BF" w14:textId="77777777" w:rsidR="00A73D12" w:rsidRDefault="00A73D12" w:rsidP="00AC131F">
      <w:pPr>
        <w:pStyle w:val="BodyText-nospacebelow"/>
        <w:jc w:val="both"/>
      </w:pPr>
      <w:r w:rsidRPr="000840CC">
        <w:lastRenderedPageBreak/>
        <w:t xml:space="preserve">Requiring councils to adopt a training policy that incorporates </w:t>
      </w:r>
      <w:r w:rsidR="00FC1A82">
        <w:t xml:space="preserve">the </w:t>
      </w:r>
      <w:r w:rsidRPr="000840CC">
        <w:t>concept of continuing professional development is one option to build the capacity of councils through ongoing skills development and training.</w:t>
      </w:r>
    </w:p>
    <w:p w14:paraId="6607540A" w14:textId="77777777" w:rsidR="0029755D" w:rsidRDefault="0029755D" w:rsidP="00AC131F">
      <w:pPr>
        <w:pStyle w:val="BodyText-nospacebelow"/>
        <w:jc w:val="both"/>
      </w:pPr>
    </w:p>
    <w:p w14:paraId="422FF2AD" w14:textId="4A5EC723" w:rsidR="0029755D" w:rsidRPr="000840CC" w:rsidRDefault="0029755D" w:rsidP="00AC131F">
      <w:pPr>
        <w:pStyle w:val="BodyText-nospacebelow"/>
        <w:jc w:val="both"/>
      </w:pPr>
      <w:r>
        <w:t xml:space="preserve">Many professions require their members to gain a specific number of credit points each year by undertaking additional training.  </w:t>
      </w:r>
      <w:r w:rsidR="001F4153">
        <w:t>Relevant c</w:t>
      </w:r>
      <w:r>
        <w:t>ourses, seminars and other activities are allocated credit points on the basis of their duration and complexity.</w:t>
      </w:r>
    </w:p>
    <w:p w14:paraId="447DB808" w14:textId="77777777" w:rsidR="00FC1A82" w:rsidRDefault="00FC1A82">
      <w:bookmarkStart w:id="260" w:name="_Toc493746710"/>
    </w:p>
    <w:p w14:paraId="2609D4F0" w14:textId="77777777" w:rsidR="00FC1A82" w:rsidRDefault="00FC1A82" w:rsidP="00FC1A82">
      <w:pPr>
        <w:pStyle w:val="IntenseQuote"/>
        <w:rPr>
          <w:b/>
          <w:sz w:val="28"/>
        </w:rPr>
      </w:pPr>
      <w:r>
        <w:rPr>
          <w:b/>
          <w:sz w:val="28"/>
        </w:rPr>
        <w:t>Continuing professional development: Guidance questions</w:t>
      </w:r>
    </w:p>
    <w:p w14:paraId="623AC058" w14:textId="5C9E38C4" w:rsidR="0029755D" w:rsidRDefault="0029755D" w:rsidP="00F840FA">
      <w:pPr>
        <w:pStyle w:val="BodyText2-nospacebelow"/>
        <w:numPr>
          <w:ilvl w:val="0"/>
          <w:numId w:val="19"/>
        </w:numPr>
        <w:spacing w:after="120"/>
        <w:ind w:hanging="607"/>
        <w:rPr>
          <w:lang w:eastAsia="en-AU"/>
        </w:rPr>
      </w:pPr>
      <w:r>
        <w:t xml:space="preserve"> </w:t>
      </w:r>
      <w:r>
        <w:rPr>
          <w:lang w:eastAsia="en-AU"/>
        </w:rPr>
        <w:t xml:space="preserve">Should ongoing professional development be undertaken by </w:t>
      </w:r>
      <w:r w:rsidR="00246B9A">
        <w:rPr>
          <w:lang w:eastAsia="en-AU"/>
        </w:rPr>
        <w:t>elected member</w:t>
      </w:r>
      <w:r>
        <w:rPr>
          <w:lang w:eastAsia="en-AU"/>
        </w:rPr>
        <w:t xml:space="preserve">s?  </w:t>
      </w:r>
    </w:p>
    <w:p w14:paraId="02F1E2EA" w14:textId="77777777" w:rsidR="0029755D" w:rsidRPr="0029755D" w:rsidRDefault="0029755D" w:rsidP="00F840FA">
      <w:pPr>
        <w:pStyle w:val="BodyText2-nospacebelow"/>
        <w:numPr>
          <w:ilvl w:val="0"/>
          <w:numId w:val="19"/>
        </w:numPr>
        <w:spacing w:after="120"/>
        <w:ind w:hanging="607"/>
      </w:pPr>
      <w:r>
        <w:rPr>
          <w:lang w:eastAsia="en-AU"/>
        </w:rPr>
        <w:t xml:space="preserve"> If so</w:t>
      </w:r>
      <w:r>
        <w:t>, what form should this take?</w:t>
      </w:r>
    </w:p>
    <w:p w14:paraId="0423EC1A" w14:textId="59F0DBB2" w:rsidR="00B2195B" w:rsidRPr="00B2195B" w:rsidRDefault="00615FC4" w:rsidP="00C97225">
      <w:pPr>
        <w:pStyle w:val="IntenseQuote"/>
        <w:rPr>
          <w:b/>
          <w:sz w:val="28"/>
        </w:rPr>
      </w:pPr>
      <w:r>
        <w:rPr>
          <w:b/>
          <w:sz w:val="28"/>
        </w:rPr>
        <w:t>Training</w:t>
      </w:r>
      <w:r w:rsidR="00B2195B" w:rsidRPr="00B2195B">
        <w:rPr>
          <w:b/>
          <w:sz w:val="28"/>
        </w:rPr>
        <w:t>: Guidance question</w:t>
      </w:r>
    </w:p>
    <w:p w14:paraId="149AD08D" w14:textId="7885D67F" w:rsidR="000A7357" w:rsidRPr="00B2195B" w:rsidRDefault="00B2195B" w:rsidP="00B2195B">
      <w:pPr>
        <w:pStyle w:val="BodyText2-nospacebelow"/>
        <w:numPr>
          <w:ilvl w:val="0"/>
          <w:numId w:val="19"/>
        </w:numPr>
        <w:spacing w:after="120"/>
        <w:ind w:hanging="607"/>
        <w:rPr>
          <w:lang w:eastAsia="en-AU"/>
        </w:rPr>
      </w:pPr>
      <w:r w:rsidRPr="00B2195B">
        <w:rPr>
          <w:lang w:eastAsia="en-AU"/>
        </w:rPr>
        <w:t>Do you h</w:t>
      </w:r>
      <w:r>
        <w:rPr>
          <w:lang w:eastAsia="en-AU"/>
        </w:rPr>
        <w:t>ave any other suggestions or comments on t</w:t>
      </w:r>
      <w:r w:rsidR="00886A92">
        <w:rPr>
          <w:lang w:eastAsia="en-AU"/>
        </w:rPr>
        <w:t>raining</w:t>
      </w:r>
      <w:r>
        <w:rPr>
          <w:lang w:eastAsia="en-AU"/>
        </w:rPr>
        <w:t xml:space="preserve">? </w:t>
      </w:r>
      <w:r w:rsidR="000A7357">
        <w:rPr>
          <w:lang w:eastAsia="en-AU"/>
        </w:rPr>
        <w:br w:type="page"/>
      </w:r>
    </w:p>
    <w:p w14:paraId="123F64C7" w14:textId="575BA167" w:rsidR="00DE00DA" w:rsidRDefault="0029755D" w:rsidP="00124F78">
      <w:pPr>
        <w:pStyle w:val="Heading1"/>
        <w:numPr>
          <w:ilvl w:val="0"/>
          <w:numId w:val="5"/>
        </w:numPr>
      </w:pPr>
      <w:r>
        <w:lastRenderedPageBreak/>
        <w:t xml:space="preserve">  </w:t>
      </w:r>
      <w:bookmarkStart w:id="261" w:name="_Toc493768842"/>
      <w:bookmarkStart w:id="262" w:name="_Toc493859912"/>
      <w:bookmarkStart w:id="263" w:name="_Toc495491809"/>
      <w:bookmarkStart w:id="264" w:name="_Toc495497589"/>
      <w:bookmarkStart w:id="265" w:name="_Toc495671437"/>
      <w:bookmarkStart w:id="266" w:name="_Toc495676035"/>
      <w:bookmarkStart w:id="267" w:name="_Toc495678330"/>
      <w:bookmarkStart w:id="268" w:name="_Toc495998328"/>
      <w:bookmarkStart w:id="269" w:name="_Toc497741798"/>
      <w:r w:rsidR="00886E85">
        <w:t>T</w:t>
      </w:r>
      <w:r w:rsidR="00775328">
        <w:t xml:space="preserve">he behaviour of </w:t>
      </w:r>
      <w:r w:rsidR="00246B9A">
        <w:t>elected member</w:t>
      </w:r>
      <w:r w:rsidR="00775328">
        <w:t>s</w:t>
      </w:r>
      <w:bookmarkEnd w:id="260"/>
      <w:bookmarkEnd w:id="261"/>
      <w:bookmarkEnd w:id="262"/>
      <w:bookmarkEnd w:id="263"/>
      <w:bookmarkEnd w:id="264"/>
      <w:bookmarkEnd w:id="265"/>
      <w:bookmarkEnd w:id="266"/>
      <w:bookmarkEnd w:id="267"/>
      <w:bookmarkEnd w:id="268"/>
      <w:bookmarkEnd w:id="269"/>
    </w:p>
    <w:p w14:paraId="2509EF93" w14:textId="714BC894" w:rsidR="00B27FAC" w:rsidRPr="001A6A72" w:rsidRDefault="00B27FAC" w:rsidP="00AC131F">
      <w:pPr>
        <w:pStyle w:val="BodyText-nospacebelow"/>
        <w:jc w:val="both"/>
      </w:pPr>
      <w:r w:rsidRPr="001A6A72">
        <w:t xml:space="preserve">The </w:t>
      </w:r>
      <w:r w:rsidR="00FE290E">
        <w:t>Act</w:t>
      </w:r>
      <w:r w:rsidRPr="00444338">
        <w:t xml:space="preserve"> regulates</w:t>
      </w:r>
      <w:r w:rsidRPr="001A6A72">
        <w:t xml:space="preserve"> the conduct of local government </w:t>
      </w:r>
      <w:r w:rsidR="00246B9A">
        <w:t>elected member</w:t>
      </w:r>
      <w:r w:rsidRPr="001A6A72">
        <w:t xml:space="preserve">s and employees through provisions that prescribe: </w:t>
      </w:r>
    </w:p>
    <w:p w14:paraId="0938A69C" w14:textId="2632410C" w:rsidR="00B27FAC" w:rsidRPr="001A6A72" w:rsidRDefault="00B27FAC" w:rsidP="00AC131F">
      <w:pPr>
        <w:pStyle w:val="BodyText-nospacebelow"/>
        <w:numPr>
          <w:ilvl w:val="0"/>
          <w:numId w:val="24"/>
        </w:numPr>
        <w:jc w:val="both"/>
      </w:pPr>
      <w:r w:rsidRPr="001A6A72">
        <w:t xml:space="preserve">that each local government must adopt a code of conduct to apply to </w:t>
      </w:r>
      <w:r w:rsidR="00246B9A">
        <w:t>elected member</w:t>
      </w:r>
      <w:r w:rsidRPr="001A6A72">
        <w:t xml:space="preserve">s and employees (which is managed by individual local governments);  </w:t>
      </w:r>
    </w:p>
    <w:p w14:paraId="5D5C57BB" w14:textId="53BD20FF" w:rsidR="00B27FAC" w:rsidRPr="001A6A72" w:rsidRDefault="00B27FAC" w:rsidP="00AC131F">
      <w:pPr>
        <w:pStyle w:val="BodyText-nospacebelow"/>
        <w:numPr>
          <w:ilvl w:val="0"/>
          <w:numId w:val="24"/>
        </w:numPr>
        <w:jc w:val="both"/>
      </w:pPr>
      <w:r w:rsidRPr="001A6A72">
        <w:t xml:space="preserve">a system for dealing with </w:t>
      </w:r>
      <w:r>
        <w:t>‘</w:t>
      </w:r>
      <w:r w:rsidRPr="001A6A72">
        <w:t>minor breaches</w:t>
      </w:r>
      <w:r>
        <w:t>’</w:t>
      </w:r>
      <w:r w:rsidRPr="001A6A72">
        <w:t xml:space="preserve"> by </w:t>
      </w:r>
      <w:r w:rsidR="00246B9A">
        <w:t>elected member</w:t>
      </w:r>
      <w:r w:rsidRPr="001A6A72">
        <w:t xml:space="preserve">s (which is administered by the Local Government Standards Panel); </w:t>
      </w:r>
    </w:p>
    <w:p w14:paraId="3A9E8F74" w14:textId="0F7162F9" w:rsidR="00B27FAC" w:rsidRPr="001A6A72" w:rsidRDefault="00B27FAC" w:rsidP="00AC131F">
      <w:pPr>
        <w:pStyle w:val="BodyText-nospacebelow"/>
        <w:numPr>
          <w:ilvl w:val="0"/>
          <w:numId w:val="24"/>
        </w:numPr>
        <w:jc w:val="both"/>
      </w:pPr>
      <w:r w:rsidRPr="001A6A72">
        <w:t xml:space="preserve">a process for dealing with </w:t>
      </w:r>
      <w:r>
        <w:t>‘</w:t>
      </w:r>
      <w:r w:rsidRPr="001A6A72">
        <w:t>serious breaches</w:t>
      </w:r>
      <w:r>
        <w:t>’</w:t>
      </w:r>
      <w:r w:rsidRPr="001A6A72">
        <w:t xml:space="preserve"> by </w:t>
      </w:r>
      <w:r w:rsidR="00246B9A">
        <w:t>elected member</w:t>
      </w:r>
      <w:r w:rsidRPr="001A6A72">
        <w:t xml:space="preserve">s (which is administered by the </w:t>
      </w:r>
      <w:r>
        <w:t>Department</w:t>
      </w:r>
      <w:r w:rsidRPr="001A6A72">
        <w:t xml:space="preserve"> with referral to the State Administrative Tribunal);</w:t>
      </w:r>
    </w:p>
    <w:p w14:paraId="6FF22BE8" w14:textId="478D6179" w:rsidR="00B27FAC" w:rsidRPr="001A6A72" w:rsidRDefault="00B27FAC" w:rsidP="00AC131F">
      <w:pPr>
        <w:pStyle w:val="BodyText-nospacebelow"/>
        <w:numPr>
          <w:ilvl w:val="0"/>
          <w:numId w:val="24"/>
        </w:numPr>
        <w:jc w:val="both"/>
      </w:pPr>
      <w:r w:rsidRPr="001A6A72">
        <w:t>offences against the Act; and</w:t>
      </w:r>
    </w:p>
    <w:p w14:paraId="388B4A29" w14:textId="77777777" w:rsidR="00B27FAC" w:rsidRPr="001A6A72" w:rsidRDefault="00B27FAC" w:rsidP="00AC131F">
      <w:pPr>
        <w:pStyle w:val="BodyText-nospacebelow"/>
        <w:numPr>
          <w:ilvl w:val="0"/>
          <w:numId w:val="24"/>
        </w:numPr>
        <w:ind w:left="714" w:hanging="357"/>
        <w:jc w:val="both"/>
      </w:pPr>
      <w:r>
        <w:t>powers</w:t>
      </w:r>
      <w:r>
        <w:rPr>
          <w:rStyle w:val="FootnoteReference"/>
        </w:rPr>
        <w:footnoteReference w:id="5"/>
      </w:r>
      <w:r w:rsidRPr="001A6A72">
        <w:t xml:space="preserve"> for the Minister and/or Department to investigate where conduct impacts the ability of the local government to perform its functions properly. </w:t>
      </w:r>
    </w:p>
    <w:p w14:paraId="52A8C981" w14:textId="77777777" w:rsidR="00B27FAC" w:rsidRDefault="00B27FAC" w:rsidP="00AC131F">
      <w:pPr>
        <w:spacing w:after="0"/>
        <w:jc w:val="both"/>
      </w:pPr>
    </w:p>
    <w:p w14:paraId="7BC08F9C" w14:textId="3C01288B" w:rsidR="000F19B0" w:rsidRDefault="008923A1" w:rsidP="00AC131F">
      <w:pPr>
        <w:pStyle w:val="BodyText"/>
        <w:jc w:val="both"/>
      </w:pPr>
      <w:r>
        <w:t>In 2015, responding</w:t>
      </w:r>
      <w:r w:rsidRPr="00D2039F">
        <w:t xml:space="preserve"> to concerns</w:t>
      </w:r>
      <w:r>
        <w:t xml:space="preserve"> about the timeliness and effectiveness of the process raised through the Local Government Governance Roundtable, </w:t>
      </w:r>
      <w:r w:rsidR="000F19B0" w:rsidRPr="00D2039F">
        <w:t xml:space="preserve">a review of the </w:t>
      </w:r>
      <w:r w:rsidR="000F19B0">
        <w:rPr>
          <w:i/>
        </w:rPr>
        <w:t>Local Government (Rules of Conduct) Regulations 2007</w:t>
      </w:r>
      <w:r w:rsidR="000F19B0">
        <w:t xml:space="preserve"> and associated </w:t>
      </w:r>
      <w:r w:rsidR="000F19B0" w:rsidRPr="00D2039F">
        <w:t xml:space="preserve">minor breach </w:t>
      </w:r>
      <w:r w:rsidR="000F19B0">
        <w:t>complaint administration</w:t>
      </w:r>
      <w:r w:rsidR="00886E85">
        <w:t xml:space="preserve"> was initiated</w:t>
      </w:r>
      <w:r w:rsidR="000F19B0">
        <w:t>.</w:t>
      </w:r>
    </w:p>
    <w:p w14:paraId="25525094" w14:textId="115BF8B6" w:rsidR="000F19B0" w:rsidRDefault="000F19B0" w:rsidP="00AC131F">
      <w:pPr>
        <w:pStyle w:val="BodyText"/>
        <w:jc w:val="both"/>
      </w:pPr>
      <w:r>
        <w:t>The 2015</w:t>
      </w:r>
      <w:r w:rsidR="008923A1">
        <w:t>-</w:t>
      </w:r>
      <w:r>
        <w:t xml:space="preserve">16 review analysed minor breach complaints received by the Panel between November 2007 and November 2015, considered inter-jurisdictional models and undertook targeted consultation with departmental officers, Standards Panel members, the WA local government sector and the State Solicitor’s Office.  </w:t>
      </w:r>
    </w:p>
    <w:p w14:paraId="61EA0FCF" w14:textId="77777777" w:rsidR="000F19B0" w:rsidRDefault="000F19B0" w:rsidP="00AC131F">
      <w:pPr>
        <w:jc w:val="both"/>
      </w:pPr>
      <w:r>
        <w:t>The key concerns highlighted by the sector about the minor breach process during initial consultation were that:</w:t>
      </w:r>
    </w:p>
    <w:p w14:paraId="6B6D746E" w14:textId="77777777" w:rsidR="000F19B0" w:rsidRDefault="000F19B0" w:rsidP="00AC131F">
      <w:pPr>
        <w:pStyle w:val="ListParagraph"/>
        <w:numPr>
          <w:ilvl w:val="0"/>
          <w:numId w:val="114"/>
        </w:numPr>
        <w:spacing w:after="0" w:line="240" w:lineRule="auto"/>
        <w:ind w:left="714" w:hanging="357"/>
        <w:jc w:val="both"/>
      </w:pPr>
      <w:r>
        <w:t>the process is perceived to be slow, legalistic and non-transparent; and</w:t>
      </w:r>
    </w:p>
    <w:p w14:paraId="61187FF1" w14:textId="77777777" w:rsidR="000F19B0" w:rsidRDefault="000F19B0" w:rsidP="00AC131F">
      <w:pPr>
        <w:pStyle w:val="ListParagraph"/>
        <w:numPr>
          <w:ilvl w:val="0"/>
          <w:numId w:val="114"/>
        </w:numPr>
        <w:spacing w:after="0" w:line="240" w:lineRule="auto"/>
        <w:ind w:left="714" w:hanging="357"/>
        <w:jc w:val="both"/>
      </w:pPr>
      <w:r>
        <w:t>there is low sector confidence in the Standards Panel and minor breach framework and concern that the original objectives are not being met.</w:t>
      </w:r>
    </w:p>
    <w:p w14:paraId="03F1349E" w14:textId="1B892EA1" w:rsidR="000F19B0" w:rsidRDefault="000F19B0" w:rsidP="00AC131F">
      <w:pPr>
        <w:pStyle w:val="BodyText"/>
        <w:spacing w:before="240"/>
        <w:jc w:val="both"/>
      </w:pPr>
      <w:r>
        <w:t>The analysis</w:t>
      </w:r>
      <w:r w:rsidRPr="00447C6D">
        <w:t xml:space="preserve"> </w:t>
      </w:r>
      <w:r>
        <w:t>of the minor breach complaints received since 2007 revealed that the regulations are poorly understood.  Over 60</w:t>
      </w:r>
      <w:r w:rsidR="001A1C81">
        <w:t xml:space="preserve"> per cent</w:t>
      </w:r>
      <w:r>
        <w:t xml:space="preserve"> of complaints received related to inconsequential conduct that posed no risk to the effective performance of the local government.  The evidence suggested that many complainants appear to regard the system as a grievance mechanism, a political tool or a way to enlist the State in matters that should be resolved locally.  </w:t>
      </w:r>
    </w:p>
    <w:p w14:paraId="577C52BC" w14:textId="53F9E03E" w:rsidR="000F19B0" w:rsidRDefault="000F19B0" w:rsidP="00AC131F">
      <w:pPr>
        <w:pStyle w:val="BodyText"/>
        <w:spacing w:before="240"/>
        <w:jc w:val="both"/>
      </w:pPr>
      <w:r>
        <w:lastRenderedPageBreak/>
        <w:t xml:space="preserve">In contrast, some clearly dysfunctional behaviour </w:t>
      </w:r>
      <w:r w:rsidR="008923A1">
        <w:t xml:space="preserve">that had potential to impact the effectiveness of council </w:t>
      </w:r>
      <w:r>
        <w:t>was found not to result in a minor breach because the conduct is not defined in the regulations or the conduct did not occur within the very narrow circumstances to which the regulation applies.</w:t>
      </w:r>
    </w:p>
    <w:p w14:paraId="5430A149" w14:textId="1A7C56AD" w:rsidR="00A768F2" w:rsidRDefault="00A768F2" w:rsidP="00AC131F">
      <w:pPr>
        <w:pStyle w:val="BodyText"/>
        <w:spacing w:before="240"/>
        <w:jc w:val="both"/>
      </w:pPr>
      <w:r>
        <w:t>The focus of this 2015-16 review was on amendments to the regulations.  The 2015</w:t>
      </w:r>
      <w:r>
        <w:noBreakHyphen/>
        <w:t>16 review also noted</w:t>
      </w:r>
      <w:r w:rsidR="008A7B23">
        <w:t>, however,</w:t>
      </w:r>
      <w:r>
        <w:t xml:space="preserve"> that a relatively inflexible rules-based system is not well equipped to deal with the complexities of local government culture and sometimes volatile relationships, and is vulnerable to manipulations and misuse.</w:t>
      </w:r>
    </w:p>
    <w:p w14:paraId="1DF761E5" w14:textId="1D1234BA" w:rsidR="00A768F2" w:rsidRDefault="00A768F2" w:rsidP="00AC131F">
      <w:pPr>
        <w:pStyle w:val="BodyText"/>
        <w:spacing w:before="240"/>
        <w:jc w:val="both"/>
      </w:pPr>
      <w:r>
        <w:t>With the review of the Act it is timely to consider potential reforms to improve the overall framework for managing allegations of minor breaches.</w:t>
      </w:r>
    </w:p>
    <w:p w14:paraId="257ACE9F" w14:textId="36BB20DB" w:rsidR="008923A1" w:rsidRDefault="008923A1" w:rsidP="00163351">
      <w:pPr>
        <w:pStyle w:val="Heading2"/>
        <w:numPr>
          <w:ilvl w:val="1"/>
          <w:numId w:val="30"/>
        </w:numPr>
      </w:pPr>
      <w:bookmarkStart w:id="270" w:name="_Toc495671438"/>
      <w:bookmarkStart w:id="271" w:name="_Toc495676036"/>
      <w:bookmarkStart w:id="272" w:name="_Toc495678331"/>
      <w:bookmarkStart w:id="273" w:name="_Toc495998329"/>
      <w:bookmarkStart w:id="274" w:name="_Toc497741799"/>
      <w:r>
        <w:t>Current Situation</w:t>
      </w:r>
      <w:bookmarkEnd w:id="270"/>
      <w:bookmarkEnd w:id="271"/>
      <w:bookmarkEnd w:id="272"/>
      <w:bookmarkEnd w:id="273"/>
      <w:bookmarkEnd w:id="274"/>
    </w:p>
    <w:p w14:paraId="6F976069" w14:textId="78CE85C4" w:rsidR="00B27FAC" w:rsidRDefault="00B27FAC" w:rsidP="00AC131F">
      <w:pPr>
        <w:pStyle w:val="BodyText-nospacebelow"/>
        <w:jc w:val="both"/>
      </w:pPr>
      <w:bookmarkStart w:id="275" w:name="_Toc493746711"/>
      <w:bookmarkStart w:id="276" w:name="_Toc493768843"/>
      <w:bookmarkStart w:id="277" w:name="_Toc493859913"/>
      <w:r w:rsidRPr="00766121">
        <w:t xml:space="preserve">Under the current Act, all local governments are required to have a code of conduct for </w:t>
      </w:r>
      <w:r w:rsidR="00246B9A">
        <w:t>elected member</w:t>
      </w:r>
      <w:r w:rsidRPr="00766121">
        <w:t>s</w:t>
      </w:r>
      <w:r>
        <w:t>, committee members</w:t>
      </w:r>
      <w:r w:rsidRPr="00766121">
        <w:t xml:space="preserve"> and employees. </w:t>
      </w:r>
    </w:p>
    <w:p w14:paraId="1D5A9FCC" w14:textId="77777777" w:rsidR="00B27FAC" w:rsidRDefault="00B27FAC" w:rsidP="00AC131F">
      <w:pPr>
        <w:pStyle w:val="BodyText-nospacebelow"/>
        <w:jc w:val="both"/>
      </w:pPr>
    </w:p>
    <w:p w14:paraId="38B10E21" w14:textId="1FE819D0" w:rsidR="00B27FAC" w:rsidRDefault="00B27FAC" w:rsidP="00AC131F">
      <w:pPr>
        <w:pStyle w:val="BodyText-nospacebelow"/>
        <w:jc w:val="both"/>
      </w:pPr>
      <w:r>
        <w:t xml:space="preserve">This is in addition to rules of conduct set by regulations which </w:t>
      </w:r>
      <w:r w:rsidR="00246B9A">
        <w:t>elected member</w:t>
      </w:r>
      <w:r>
        <w:t>s are required to observe</w:t>
      </w:r>
      <w:r w:rsidR="00BC1763">
        <w:t xml:space="preserve">. </w:t>
      </w:r>
      <w:r>
        <w:t>These are discussed in the following sections.</w:t>
      </w:r>
    </w:p>
    <w:p w14:paraId="7B77EA97" w14:textId="77777777" w:rsidR="00B27FAC" w:rsidRPr="00766121" w:rsidRDefault="00B27FAC" w:rsidP="00AC131F">
      <w:pPr>
        <w:pStyle w:val="BodyText-nospacebelow"/>
        <w:jc w:val="both"/>
      </w:pPr>
    </w:p>
    <w:p w14:paraId="426FA48E" w14:textId="2E0E2C65" w:rsidR="00B27FAC" w:rsidRDefault="00B27FAC" w:rsidP="00AC131F">
      <w:pPr>
        <w:pStyle w:val="BodyText-nospacebelow"/>
        <w:jc w:val="both"/>
      </w:pPr>
      <w:r w:rsidRPr="00766121">
        <w:t xml:space="preserve">A code of conduct is required to </w:t>
      </w:r>
      <w:r w:rsidR="00BC1763">
        <w:t>include</w:t>
      </w:r>
      <w:r w:rsidR="00BC1763" w:rsidRPr="00766121">
        <w:t xml:space="preserve"> </w:t>
      </w:r>
      <w:r w:rsidRPr="00766121">
        <w:t xml:space="preserve">the information prescribed in the </w:t>
      </w:r>
      <w:r w:rsidRPr="00766121">
        <w:rPr>
          <w:i/>
        </w:rPr>
        <w:t>Local Government (Administration) Regulations 1996</w:t>
      </w:r>
      <w:r w:rsidRPr="00766121">
        <w:t xml:space="preserve">. This includes </w:t>
      </w:r>
      <w:r w:rsidR="00886E85">
        <w:t>provisions relating to prohibited gifts, notifiable gifts, and disclosure of interest.</w:t>
      </w:r>
    </w:p>
    <w:p w14:paraId="0E64984C" w14:textId="77777777" w:rsidR="00B27FAC" w:rsidRPr="00766121" w:rsidRDefault="00B27FAC" w:rsidP="00AC131F">
      <w:pPr>
        <w:pStyle w:val="BodyText-nospacebelow"/>
        <w:jc w:val="both"/>
      </w:pPr>
    </w:p>
    <w:p w14:paraId="44334B57" w14:textId="77777777" w:rsidR="00B27FAC" w:rsidRDefault="00B27FAC" w:rsidP="00AC131F">
      <w:pPr>
        <w:pStyle w:val="BodyText-nospacebelow"/>
        <w:jc w:val="both"/>
      </w:pPr>
      <w:r w:rsidRPr="00766121">
        <w:t xml:space="preserve">All other matters in a code of conduct are </w:t>
      </w:r>
      <w:r>
        <w:t>up</w:t>
      </w:r>
      <w:r w:rsidRPr="00766121">
        <w:t xml:space="preserve"> to the local government </w:t>
      </w:r>
      <w:r>
        <w:t>to decide</w:t>
      </w:r>
      <w:r w:rsidRPr="00766121">
        <w:t xml:space="preserve">, </w:t>
      </w:r>
      <w:r>
        <w:t>as long as</w:t>
      </w:r>
      <w:r w:rsidRPr="00766121">
        <w:t xml:space="preserve"> </w:t>
      </w:r>
      <w:r>
        <w:t xml:space="preserve">they are not </w:t>
      </w:r>
      <w:r w:rsidRPr="00766121">
        <w:t>inconsistent with the Act.</w:t>
      </w:r>
    </w:p>
    <w:p w14:paraId="7EDE1720" w14:textId="77777777" w:rsidR="00B27FAC" w:rsidRPr="00766121" w:rsidRDefault="00B27FAC" w:rsidP="00AC131F">
      <w:pPr>
        <w:pStyle w:val="BodyText-nospacebelow"/>
        <w:jc w:val="both"/>
      </w:pPr>
    </w:p>
    <w:p w14:paraId="292A349E" w14:textId="77777777" w:rsidR="00B27FAC" w:rsidRDefault="00B27FAC" w:rsidP="00AC131F">
      <w:pPr>
        <w:pStyle w:val="BodyText-nospacebelow"/>
        <w:jc w:val="both"/>
      </w:pPr>
      <w:r w:rsidRPr="00766121">
        <w:t xml:space="preserve">While codes of conduct are mandatory for local governments, they have limited enforceability. </w:t>
      </w:r>
      <w:r>
        <w:t xml:space="preserve"> N</w:t>
      </w:r>
      <w:r w:rsidRPr="00766121">
        <w:t xml:space="preserve">on-compliance </w:t>
      </w:r>
      <w:r>
        <w:t>is to</w:t>
      </w:r>
      <w:r w:rsidRPr="00766121">
        <w:t xml:space="preserve"> be </w:t>
      </w:r>
      <w:r>
        <w:t>dealt with</w:t>
      </w:r>
      <w:r w:rsidRPr="00766121">
        <w:t xml:space="preserve"> by the local government as an internal disciplinary matter.</w:t>
      </w:r>
    </w:p>
    <w:p w14:paraId="53314CF7" w14:textId="77777777" w:rsidR="00B27FAC" w:rsidRPr="00766121" w:rsidRDefault="00B27FAC" w:rsidP="00B27FAC">
      <w:pPr>
        <w:pStyle w:val="Heading2"/>
      </w:pPr>
      <w:bookmarkStart w:id="278" w:name="_Toc491097302"/>
      <w:bookmarkStart w:id="279" w:name="_Toc491097692"/>
      <w:bookmarkStart w:id="280" w:name="_Toc491857149"/>
      <w:bookmarkStart w:id="281" w:name="_Toc491872770"/>
      <w:bookmarkStart w:id="282" w:name="_Toc491873705"/>
      <w:bookmarkStart w:id="283" w:name="_Toc491934333"/>
      <w:bookmarkStart w:id="284" w:name="_Toc492368962"/>
      <w:bookmarkStart w:id="285" w:name="_Toc492386689"/>
      <w:bookmarkStart w:id="286" w:name="_Toc492468931"/>
      <w:bookmarkStart w:id="287" w:name="_Toc492470607"/>
      <w:bookmarkStart w:id="288" w:name="_Toc492471287"/>
      <w:bookmarkStart w:id="289" w:name="_Toc492471409"/>
      <w:bookmarkStart w:id="290" w:name="_Toc493746732"/>
      <w:bookmarkStart w:id="291" w:name="_Toc493768864"/>
      <w:bookmarkStart w:id="292" w:name="_Toc493859934"/>
      <w:bookmarkStart w:id="293" w:name="_Toc495491811"/>
      <w:bookmarkStart w:id="294" w:name="_Toc495497591"/>
      <w:bookmarkStart w:id="295" w:name="_Toc495671439"/>
      <w:bookmarkStart w:id="296" w:name="_Toc495676037"/>
      <w:bookmarkStart w:id="297" w:name="_Toc495678332"/>
      <w:bookmarkStart w:id="298" w:name="_Toc495998330"/>
      <w:bookmarkStart w:id="299" w:name="_Toc497741800"/>
      <w:r w:rsidRPr="00766121">
        <w:t>Across Australia</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25628915" w14:textId="77777777" w:rsidR="00B27FAC" w:rsidRDefault="00B27FAC" w:rsidP="00B27FAC">
      <w:pPr>
        <w:pStyle w:val="BodyText-nospacebelow"/>
      </w:pPr>
      <w:r>
        <w:t>The differences between the</w:t>
      </w:r>
      <w:r w:rsidRPr="00766121">
        <w:t xml:space="preserve"> systems </w:t>
      </w:r>
      <w:r>
        <w:t xml:space="preserve">in other States </w:t>
      </w:r>
      <w:r w:rsidRPr="00766121">
        <w:t>are contrasted below:</w:t>
      </w:r>
    </w:p>
    <w:p w14:paraId="5031ACF1" w14:textId="77777777" w:rsidR="00B27FAC" w:rsidRPr="00766121" w:rsidRDefault="00B27FAC" w:rsidP="00B27FAC">
      <w:pPr>
        <w:pStyle w:val="BodyText-nospacebelow"/>
      </w:pPr>
    </w:p>
    <w:tbl>
      <w:tblPr>
        <w:tblStyle w:val="DLGCTable-Data"/>
        <w:tblW w:w="9497" w:type="dxa"/>
        <w:tblLayout w:type="fixed"/>
        <w:tblLook w:val="04A0" w:firstRow="1" w:lastRow="0" w:firstColumn="1" w:lastColumn="0" w:noHBand="0" w:noVBand="1"/>
      </w:tblPr>
      <w:tblGrid>
        <w:gridCol w:w="1985"/>
        <w:gridCol w:w="1984"/>
        <w:gridCol w:w="2835"/>
        <w:gridCol w:w="2693"/>
      </w:tblGrid>
      <w:tr w:rsidR="00B27FAC" w:rsidRPr="00766121" w14:paraId="4EE2B760" w14:textId="77777777" w:rsidTr="00DA6DB9">
        <w:trPr>
          <w:cnfStyle w:val="100000000000" w:firstRow="1" w:lastRow="0" w:firstColumn="0" w:lastColumn="0" w:oddVBand="0" w:evenVBand="0" w:oddHBand="0" w:evenHBand="0" w:firstRowFirstColumn="0" w:firstRowLastColumn="0" w:lastRowFirstColumn="0" w:lastRowLastColumn="0"/>
          <w:trHeight w:val="1059"/>
        </w:trPr>
        <w:tc>
          <w:tcPr>
            <w:tcW w:w="1985" w:type="dxa"/>
          </w:tcPr>
          <w:p w14:paraId="1CC469E0" w14:textId="77777777" w:rsidR="00B27FAC" w:rsidRPr="00766121" w:rsidRDefault="00B27FAC" w:rsidP="00ED4524">
            <w:pPr>
              <w:pStyle w:val="TableText"/>
            </w:pPr>
            <w:r w:rsidRPr="00766121">
              <w:lastRenderedPageBreak/>
              <w:t xml:space="preserve">Jurisdiction </w:t>
            </w:r>
          </w:p>
          <w:p w14:paraId="361E856D" w14:textId="77777777" w:rsidR="00B27FAC" w:rsidRPr="00766121" w:rsidRDefault="00B27FAC" w:rsidP="00ED4524">
            <w:pPr>
              <w:pStyle w:val="TableText"/>
            </w:pPr>
          </w:p>
        </w:tc>
        <w:tc>
          <w:tcPr>
            <w:tcW w:w="1984" w:type="dxa"/>
          </w:tcPr>
          <w:p w14:paraId="08B9D2CE" w14:textId="1CE544D7" w:rsidR="00B27FAC" w:rsidRPr="00766121" w:rsidRDefault="00B27FAC" w:rsidP="00B2195B">
            <w:pPr>
              <w:pStyle w:val="TableText"/>
            </w:pPr>
            <w:r w:rsidRPr="00766121">
              <w:t>Code of conduct required?</w:t>
            </w:r>
          </w:p>
        </w:tc>
        <w:tc>
          <w:tcPr>
            <w:tcW w:w="2835" w:type="dxa"/>
          </w:tcPr>
          <w:p w14:paraId="5BD8E77A" w14:textId="77777777" w:rsidR="00B27FAC" w:rsidRPr="00766121" w:rsidRDefault="00B27FAC" w:rsidP="00ED4524">
            <w:pPr>
              <w:pStyle w:val="TableText"/>
            </w:pPr>
            <w:r w:rsidRPr="00766121">
              <w:t>Content</w:t>
            </w:r>
          </w:p>
          <w:p w14:paraId="2B350777" w14:textId="77777777" w:rsidR="00B27FAC" w:rsidRPr="00766121" w:rsidRDefault="00B27FAC" w:rsidP="00ED4524">
            <w:pPr>
              <w:pStyle w:val="TableText"/>
            </w:pPr>
          </w:p>
        </w:tc>
        <w:tc>
          <w:tcPr>
            <w:tcW w:w="2693" w:type="dxa"/>
          </w:tcPr>
          <w:p w14:paraId="2C6C3966" w14:textId="77777777" w:rsidR="00B27FAC" w:rsidRPr="00766121" w:rsidRDefault="00B27FAC" w:rsidP="00ED4524">
            <w:pPr>
              <w:pStyle w:val="TableText"/>
            </w:pPr>
            <w:r w:rsidRPr="00766121">
              <w:t>Enforceability for members and employees</w:t>
            </w:r>
          </w:p>
        </w:tc>
      </w:tr>
      <w:tr w:rsidR="00B27FAC" w:rsidRPr="00766121" w14:paraId="4808112A" w14:textId="77777777" w:rsidTr="00DA6DB9">
        <w:trPr>
          <w:trHeight w:val="762"/>
        </w:trPr>
        <w:tc>
          <w:tcPr>
            <w:tcW w:w="1985" w:type="dxa"/>
          </w:tcPr>
          <w:p w14:paraId="6AA1B5FD" w14:textId="77777777" w:rsidR="00B27FAC" w:rsidRPr="00766121" w:rsidRDefault="00B27FAC" w:rsidP="00ED4524">
            <w:pPr>
              <w:pStyle w:val="TableText"/>
            </w:pPr>
            <w:r w:rsidRPr="00766121">
              <w:t>Western Australia</w:t>
            </w:r>
          </w:p>
        </w:tc>
        <w:tc>
          <w:tcPr>
            <w:tcW w:w="1984" w:type="dxa"/>
          </w:tcPr>
          <w:p w14:paraId="58CF9C20" w14:textId="77777777" w:rsidR="00B27FAC" w:rsidRPr="00766121" w:rsidRDefault="00B27FAC" w:rsidP="00ED4524">
            <w:pPr>
              <w:pStyle w:val="TableText"/>
            </w:pPr>
            <w:r w:rsidRPr="00766121">
              <w:t>Yes</w:t>
            </w:r>
          </w:p>
          <w:p w14:paraId="2FA56313" w14:textId="77777777" w:rsidR="00B27FAC" w:rsidRPr="00766121" w:rsidRDefault="00B27FAC" w:rsidP="00ED4524">
            <w:pPr>
              <w:pStyle w:val="TableText"/>
            </w:pPr>
          </w:p>
        </w:tc>
        <w:tc>
          <w:tcPr>
            <w:tcW w:w="2835" w:type="dxa"/>
          </w:tcPr>
          <w:p w14:paraId="76D69582" w14:textId="77777777" w:rsidR="00B27FAC" w:rsidRPr="00766121" w:rsidRDefault="00B27FAC" w:rsidP="00ED4524">
            <w:pPr>
              <w:pStyle w:val="TableText"/>
            </w:pPr>
            <w:r w:rsidRPr="00766121">
              <w:t xml:space="preserve">The code must contain certain provisions as prescribed in </w:t>
            </w:r>
            <w:r>
              <w:t>r</w:t>
            </w:r>
            <w:r w:rsidRPr="00766121">
              <w:t xml:space="preserve">egulations. </w:t>
            </w:r>
          </w:p>
          <w:p w14:paraId="2132929E" w14:textId="77777777" w:rsidR="00B27FAC" w:rsidRPr="00766121" w:rsidRDefault="00B27FAC" w:rsidP="00ED4524">
            <w:pPr>
              <w:pStyle w:val="TableText"/>
            </w:pPr>
            <w:r w:rsidRPr="00766121">
              <w:t>The remaining content is left to the discretion of the local government, provided it does not contradict the Act.</w:t>
            </w:r>
          </w:p>
        </w:tc>
        <w:tc>
          <w:tcPr>
            <w:tcW w:w="2693" w:type="dxa"/>
          </w:tcPr>
          <w:p w14:paraId="2C2F6A93" w14:textId="77777777" w:rsidR="00B27FAC" w:rsidRPr="00766121" w:rsidRDefault="00B27FAC" w:rsidP="00ED4524">
            <w:pPr>
              <w:pStyle w:val="TableText"/>
            </w:pPr>
            <w:r w:rsidRPr="00766121">
              <w:t xml:space="preserve">Failure to comply with </w:t>
            </w:r>
            <w:r w:rsidR="0029252A">
              <w:t xml:space="preserve">the </w:t>
            </w:r>
            <w:r w:rsidRPr="00766121">
              <w:t>code is interpreted as non-compliance with the Act.</w:t>
            </w:r>
            <w:r>
              <w:t xml:space="preserve">  </w:t>
            </w:r>
            <w:r w:rsidRPr="00766121">
              <w:t>However, non</w:t>
            </w:r>
            <w:r>
              <w:noBreakHyphen/>
            </w:r>
            <w:r w:rsidRPr="00766121">
              <w:t xml:space="preserve">compliance is not defined as an offence or a form of misconduct in itself. </w:t>
            </w:r>
          </w:p>
          <w:p w14:paraId="32186591" w14:textId="77777777" w:rsidR="00B27FAC" w:rsidRPr="00766121" w:rsidRDefault="00B27FAC" w:rsidP="00ED4524">
            <w:pPr>
              <w:pStyle w:val="TableText"/>
            </w:pPr>
          </w:p>
          <w:p w14:paraId="6CFD2F2F" w14:textId="77777777" w:rsidR="00B27FAC" w:rsidRPr="00766121" w:rsidRDefault="00B27FAC" w:rsidP="00ED4524">
            <w:pPr>
              <w:pStyle w:val="TableText"/>
            </w:pPr>
          </w:p>
        </w:tc>
      </w:tr>
      <w:tr w:rsidR="00B27FAC" w:rsidRPr="00766121" w14:paraId="0E8A16FB" w14:textId="77777777" w:rsidTr="00DA6DB9">
        <w:trPr>
          <w:trHeight w:val="481"/>
        </w:trPr>
        <w:tc>
          <w:tcPr>
            <w:tcW w:w="1985" w:type="dxa"/>
          </w:tcPr>
          <w:p w14:paraId="78875218" w14:textId="3A16888E" w:rsidR="00B27FAC" w:rsidRPr="00766121" w:rsidRDefault="00444A28" w:rsidP="00ED4524">
            <w:pPr>
              <w:pStyle w:val="TableText"/>
            </w:pPr>
            <w:r w:rsidRPr="00766121">
              <w:t>New South Wales</w:t>
            </w:r>
            <w:r w:rsidRPr="00766121" w:rsidDel="00444A28">
              <w:t xml:space="preserve"> </w:t>
            </w:r>
          </w:p>
        </w:tc>
        <w:tc>
          <w:tcPr>
            <w:tcW w:w="1984" w:type="dxa"/>
          </w:tcPr>
          <w:p w14:paraId="1D5777A8" w14:textId="0E0FB042" w:rsidR="00B27FAC" w:rsidRPr="00766121" w:rsidRDefault="00444A28" w:rsidP="00ED4524">
            <w:pPr>
              <w:pStyle w:val="TableText"/>
            </w:pPr>
            <w:r>
              <w:t>Yes</w:t>
            </w:r>
          </w:p>
        </w:tc>
        <w:tc>
          <w:tcPr>
            <w:tcW w:w="2835" w:type="dxa"/>
          </w:tcPr>
          <w:p w14:paraId="3F961DE8" w14:textId="77777777" w:rsidR="00444A28" w:rsidRPr="00766121" w:rsidRDefault="00444A28" w:rsidP="00444A28">
            <w:pPr>
              <w:pStyle w:val="TableText"/>
            </w:pPr>
            <w:r w:rsidRPr="00766121">
              <w:t xml:space="preserve">Local governments must adopt the model code of conduct as prepared by the Minister. </w:t>
            </w:r>
          </w:p>
          <w:p w14:paraId="7D0617C2" w14:textId="177966D3" w:rsidR="00B27FAC" w:rsidRPr="00766121" w:rsidRDefault="00444A28" w:rsidP="00444A28">
            <w:pPr>
              <w:pStyle w:val="TableText"/>
            </w:pPr>
            <w:r w:rsidRPr="00766121">
              <w:t>The model may be supplemented with additional provisions, provided the existing model isn’t contradicted.</w:t>
            </w:r>
          </w:p>
        </w:tc>
        <w:tc>
          <w:tcPr>
            <w:tcW w:w="2693" w:type="dxa"/>
          </w:tcPr>
          <w:p w14:paraId="6DCA5C71" w14:textId="77777777" w:rsidR="00DF49F5" w:rsidRDefault="00DF49F5" w:rsidP="00DF49F5">
            <w:pPr>
              <w:pStyle w:val="TableText"/>
            </w:pPr>
            <w:r w:rsidRPr="00766121">
              <w:t>Members who fail to comply with the code commit misconduct and can be reported for investigation.</w:t>
            </w:r>
          </w:p>
          <w:p w14:paraId="07495BB5" w14:textId="77777777" w:rsidR="00DF49F5" w:rsidRPr="00766121" w:rsidRDefault="00DF49F5" w:rsidP="00DF49F5">
            <w:pPr>
              <w:pStyle w:val="TableText"/>
            </w:pPr>
            <w:r>
              <w:t>The code has no legislative effect on employees.</w:t>
            </w:r>
          </w:p>
          <w:p w14:paraId="26F48B20" w14:textId="77777777" w:rsidR="00B27FAC" w:rsidRPr="00766121" w:rsidRDefault="00B27FAC" w:rsidP="00ED4524">
            <w:pPr>
              <w:pStyle w:val="TableText"/>
            </w:pPr>
          </w:p>
        </w:tc>
      </w:tr>
      <w:tr w:rsidR="00B028E4" w:rsidRPr="00766121" w14:paraId="4D8E0945" w14:textId="77777777" w:rsidTr="00DA6DB9">
        <w:trPr>
          <w:trHeight w:val="481"/>
        </w:trPr>
        <w:tc>
          <w:tcPr>
            <w:tcW w:w="1985" w:type="dxa"/>
          </w:tcPr>
          <w:p w14:paraId="5DDC8191" w14:textId="77777777" w:rsidR="00B028E4" w:rsidRPr="00766121" w:rsidRDefault="00B028E4" w:rsidP="00CD184D">
            <w:pPr>
              <w:pStyle w:val="TableText"/>
            </w:pPr>
            <w:r>
              <w:t>Victoria</w:t>
            </w:r>
          </w:p>
        </w:tc>
        <w:tc>
          <w:tcPr>
            <w:tcW w:w="1984" w:type="dxa"/>
          </w:tcPr>
          <w:p w14:paraId="6F637808" w14:textId="77777777" w:rsidR="00B028E4" w:rsidRPr="00766121" w:rsidRDefault="00B028E4" w:rsidP="00CD184D">
            <w:pPr>
              <w:pStyle w:val="TableText"/>
            </w:pPr>
            <w:r>
              <w:t>Yes</w:t>
            </w:r>
          </w:p>
        </w:tc>
        <w:tc>
          <w:tcPr>
            <w:tcW w:w="2835" w:type="dxa"/>
          </w:tcPr>
          <w:p w14:paraId="5600BB5F" w14:textId="77777777" w:rsidR="00B028E4" w:rsidRPr="00766121" w:rsidRDefault="00B028E4" w:rsidP="00CD184D">
            <w:pPr>
              <w:pStyle w:val="TableText"/>
            </w:pPr>
            <w:r w:rsidRPr="00766121">
              <w:t xml:space="preserve">The code must contain certain provisions as </w:t>
            </w:r>
            <w:r>
              <w:t>set</w:t>
            </w:r>
            <w:r w:rsidRPr="00766121">
              <w:t xml:space="preserve"> in </w:t>
            </w:r>
            <w:r>
              <w:t>r</w:t>
            </w:r>
            <w:r w:rsidRPr="00766121">
              <w:t xml:space="preserve">egulations. </w:t>
            </w:r>
          </w:p>
          <w:p w14:paraId="75211E13" w14:textId="21AE9F50" w:rsidR="00B028E4" w:rsidRPr="00766121" w:rsidRDefault="00B028E4" w:rsidP="00436B5D">
            <w:pPr>
              <w:pStyle w:val="TableText"/>
            </w:pPr>
            <w:r w:rsidRPr="00766121">
              <w:t xml:space="preserve">The remaining content is left to the local government’s </w:t>
            </w:r>
            <w:r>
              <w:t>discretion, provided it does not contradict the Act.</w:t>
            </w:r>
          </w:p>
        </w:tc>
        <w:tc>
          <w:tcPr>
            <w:tcW w:w="2693" w:type="dxa"/>
          </w:tcPr>
          <w:p w14:paraId="128BB4B1" w14:textId="77777777" w:rsidR="00B028E4" w:rsidRPr="00766121" w:rsidRDefault="00B028E4" w:rsidP="00CD184D">
            <w:pPr>
              <w:pStyle w:val="TableText"/>
            </w:pPr>
            <w:r w:rsidRPr="00766121">
              <w:t>Members who fail to comply with the code commit misconduct and can be reported for investigation.</w:t>
            </w:r>
          </w:p>
          <w:p w14:paraId="149FB276" w14:textId="77777777" w:rsidR="00B028E4" w:rsidRPr="00766121" w:rsidRDefault="00B028E4" w:rsidP="00CD184D">
            <w:pPr>
              <w:pStyle w:val="TableText"/>
            </w:pPr>
            <w:r w:rsidRPr="00766121">
              <w:t>The code has no legislative effect on employees.</w:t>
            </w:r>
          </w:p>
        </w:tc>
      </w:tr>
      <w:tr w:rsidR="00B27FAC" w:rsidRPr="00766121" w14:paraId="54902591" w14:textId="77777777" w:rsidTr="00DA6DB9">
        <w:trPr>
          <w:trHeight w:val="481"/>
        </w:trPr>
        <w:tc>
          <w:tcPr>
            <w:tcW w:w="1985" w:type="dxa"/>
          </w:tcPr>
          <w:p w14:paraId="62A0522E" w14:textId="77777777" w:rsidR="00B27FAC" w:rsidRPr="00766121" w:rsidRDefault="00B27FAC" w:rsidP="00ED4524">
            <w:pPr>
              <w:pStyle w:val="TableText"/>
            </w:pPr>
            <w:r w:rsidRPr="00766121">
              <w:t>Queensland</w:t>
            </w:r>
          </w:p>
        </w:tc>
        <w:tc>
          <w:tcPr>
            <w:tcW w:w="1984" w:type="dxa"/>
          </w:tcPr>
          <w:p w14:paraId="3B7D94FD" w14:textId="77777777" w:rsidR="00B27FAC" w:rsidRDefault="00B27FAC" w:rsidP="00ED4524">
            <w:pPr>
              <w:pStyle w:val="TableText"/>
            </w:pPr>
            <w:r>
              <w:t>No</w:t>
            </w:r>
          </w:p>
          <w:p w14:paraId="5BC9856D" w14:textId="45B7BBC0" w:rsidR="00DF49F5" w:rsidRDefault="00DF49F5" w:rsidP="00DF49F5">
            <w:pPr>
              <w:pStyle w:val="TableText"/>
            </w:pPr>
            <w:r>
              <w:t>Conduct requirements are a</w:t>
            </w:r>
            <w:r w:rsidR="00DA6DB9">
              <w:t>ddressed by Act and Regulations</w:t>
            </w:r>
            <w:r w:rsidR="00436B5D">
              <w:t>.</w:t>
            </w:r>
          </w:p>
          <w:p w14:paraId="5D10866E" w14:textId="77777777" w:rsidR="00DF49F5" w:rsidRPr="00766121" w:rsidRDefault="00DF49F5" w:rsidP="00DF49F5">
            <w:pPr>
              <w:pStyle w:val="TableText"/>
            </w:pPr>
            <w:r>
              <w:lastRenderedPageBreak/>
              <w:t>Code of conduct is optional.</w:t>
            </w:r>
          </w:p>
          <w:p w14:paraId="30004E03" w14:textId="1397280B" w:rsidR="00B27FAC" w:rsidRPr="00766121" w:rsidRDefault="00B27FAC" w:rsidP="00BC1709">
            <w:pPr>
              <w:pStyle w:val="TableText"/>
            </w:pPr>
          </w:p>
        </w:tc>
        <w:tc>
          <w:tcPr>
            <w:tcW w:w="2835" w:type="dxa"/>
          </w:tcPr>
          <w:p w14:paraId="000A0536" w14:textId="28E7E7D8" w:rsidR="00B27FAC" w:rsidRPr="00766121" w:rsidRDefault="00857054">
            <w:pPr>
              <w:pStyle w:val="TableText"/>
            </w:pPr>
            <w:r>
              <w:lastRenderedPageBreak/>
              <w:t>None</w:t>
            </w:r>
          </w:p>
        </w:tc>
        <w:tc>
          <w:tcPr>
            <w:tcW w:w="2693" w:type="dxa"/>
          </w:tcPr>
          <w:p w14:paraId="1B769F8B" w14:textId="106FEE32" w:rsidR="00B27FAC" w:rsidRDefault="00857054" w:rsidP="00ED4524">
            <w:pPr>
              <w:pStyle w:val="TableText"/>
            </w:pPr>
            <w:r>
              <w:t>The c</w:t>
            </w:r>
            <w:r w:rsidR="00B27FAC">
              <w:t>ode has no application to councillors.</w:t>
            </w:r>
          </w:p>
          <w:p w14:paraId="30D35072" w14:textId="77777777" w:rsidR="00B27FAC" w:rsidRDefault="00B27FAC" w:rsidP="00ED4524">
            <w:pPr>
              <w:pStyle w:val="TableText"/>
            </w:pPr>
            <w:r>
              <w:t xml:space="preserve">Employees are required to comply with a code if one exists. </w:t>
            </w:r>
          </w:p>
          <w:p w14:paraId="35C1E853" w14:textId="77777777" w:rsidR="00881CE4" w:rsidRDefault="00881CE4" w:rsidP="00ED4524">
            <w:pPr>
              <w:pStyle w:val="TableText"/>
            </w:pPr>
          </w:p>
          <w:p w14:paraId="58732646" w14:textId="77777777" w:rsidR="00881CE4" w:rsidRPr="00766121" w:rsidRDefault="00881CE4" w:rsidP="00BC1709">
            <w:pPr>
              <w:pStyle w:val="TableText"/>
            </w:pPr>
          </w:p>
        </w:tc>
      </w:tr>
      <w:tr w:rsidR="00B27FAC" w:rsidRPr="00766121" w14:paraId="0421727E" w14:textId="77777777" w:rsidTr="00DA6DB9">
        <w:trPr>
          <w:trHeight w:val="481"/>
        </w:trPr>
        <w:tc>
          <w:tcPr>
            <w:tcW w:w="1985" w:type="dxa"/>
          </w:tcPr>
          <w:p w14:paraId="4AD401E8" w14:textId="39925841" w:rsidR="00B27FAC" w:rsidRPr="00766121" w:rsidRDefault="00DF49F5" w:rsidP="00ED4524">
            <w:pPr>
              <w:pStyle w:val="TableText"/>
            </w:pPr>
            <w:r>
              <w:lastRenderedPageBreak/>
              <w:t>South Australia</w:t>
            </w:r>
          </w:p>
        </w:tc>
        <w:tc>
          <w:tcPr>
            <w:tcW w:w="1984" w:type="dxa"/>
          </w:tcPr>
          <w:p w14:paraId="425A029D" w14:textId="3DD5B263" w:rsidR="00881CE4" w:rsidRDefault="00DF49F5" w:rsidP="00ED4524">
            <w:pPr>
              <w:pStyle w:val="TableText"/>
            </w:pPr>
            <w:r>
              <w:t>No</w:t>
            </w:r>
          </w:p>
          <w:p w14:paraId="12231901" w14:textId="77777777" w:rsidR="00B27FAC" w:rsidRDefault="00881CE4">
            <w:pPr>
              <w:pStyle w:val="TableText"/>
            </w:pPr>
            <w:r>
              <w:t>Conduct requirements are addressed by the Act and Regulations.</w:t>
            </w:r>
          </w:p>
          <w:p w14:paraId="6782F847" w14:textId="77777777" w:rsidR="00857054" w:rsidRPr="00766121" w:rsidRDefault="00857054">
            <w:pPr>
              <w:pStyle w:val="TableText"/>
            </w:pPr>
            <w:r>
              <w:t>Code of conduct is optional.</w:t>
            </w:r>
          </w:p>
        </w:tc>
        <w:tc>
          <w:tcPr>
            <w:tcW w:w="2835" w:type="dxa"/>
          </w:tcPr>
          <w:p w14:paraId="35185759" w14:textId="5556BEDA" w:rsidR="00B27FAC" w:rsidRPr="00766121" w:rsidRDefault="00DF49F5" w:rsidP="00D01964">
            <w:pPr>
              <w:pStyle w:val="TableText"/>
            </w:pPr>
            <w:r>
              <w:t>None</w:t>
            </w:r>
          </w:p>
        </w:tc>
        <w:tc>
          <w:tcPr>
            <w:tcW w:w="2693" w:type="dxa"/>
          </w:tcPr>
          <w:p w14:paraId="6875A400" w14:textId="7BE49DFD" w:rsidR="00B27FAC" w:rsidRPr="00766121" w:rsidRDefault="00DF49F5" w:rsidP="00D01964">
            <w:pPr>
              <w:pStyle w:val="TableText"/>
            </w:pPr>
            <w:r>
              <w:t>Not applicable</w:t>
            </w:r>
            <w:r w:rsidR="00B27FAC" w:rsidRPr="00766121">
              <w:t xml:space="preserve"> </w:t>
            </w:r>
          </w:p>
        </w:tc>
      </w:tr>
      <w:tr w:rsidR="00B27FAC" w:rsidRPr="00766121" w14:paraId="37E2D1C2" w14:textId="77777777" w:rsidTr="00DA6DB9">
        <w:trPr>
          <w:trHeight w:val="481"/>
        </w:trPr>
        <w:tc>
          <w:tcPr>
            <w:tcW w:w="1985" w:type="dxa"/>
          </w:tcPr>
          <w:p w14:paraId="1231F1C4" w14:textId="151C1DF3" w:rsidR="00B27FAC" w:rsidRPr="00766121" w:rsidRDefault="00DF49F5" w:rsidP="00ED4524">
            <w:pPr>
              <w:pStyle w:val="TableText"/>
            </w:pPr>
            <w:r>
              <w:t>Tasmania</w:t>
            </w:r>
          </w:p>
        </w:tc>
        <w:tc>
          <w:tcPr>
            <w:tcW w:w="1984" w:type="dxa"/>
          </w:tcPr>
          <w:p w14:paraId="2114A334" w14:textId="07EBAA93" w:rsidR="00B27FAC" w:rsidRPr="00766121" w:rsidRDefault="00DF49F5" w:rsidP="00ED4524">
            <w:pPr>
              <w:pStyle w:val="TableText"/>
            </w:pPr>
            <w:r>
              <w:t>Yes</w:t>
            </w:r>
          </w:p>
        </w:tc>
        <w:tc>
          <w:tcPr>
            <w:tcW w:w="2835" w:type="dxa"/>
          </w:tcPr>
          <w:p w14:paraId="2FC5C1CE" w14:textId="77777777" w:rsidR="00DF49F5" w:rsidRPr="00766121" w:rsidRDefault="00DF49F5" w:rsidP="00DF49F5">
            <w:pPr>
              <w:pStyle w:val="TableText"/>
            </w:pPr>
            <w:r w:rsidRPr="00766121">
              <w:t>Local governments must adopt the model code of conduct as prepared by the Minister.</w:t>
            </w:r>
          </w:p>
          <w:p w14:paraId="50A8D35A" w14:textId="77777777" w:rsidR="00DF49F5" w:rsidRPr="00766121" w:rsidRDefault="00DF49F5" w:rsidP="00DF49F5">
            <w:pPr>
              <w:pStyle w:val="TableText"/>
            </w:pPr>
            <w:r w:rsidRPr="00766121">
              <w:t xml:space="preserve">Variations can be made if the </w:t>
            </w:r>
            <w:r>
              <w:t>r</w:t>
            </w:r>
            <w:r w:rsidRPr="00766121">
              <w:t>egulations state that this variation is permitted.</w:t>
            </w:r>
          </w:p>
          <w:p w14:paraId="42B13818" w14:textId="24DC085D" w:rsidR="00B27FAC" w:rsidRPr="00766121" w:rsidRDefault="00DF49F5" w:rsidP="00ED4524">
            <w:pPr>
              <w:pStyle w:val="TableText"/>
            </w:pPr>
            <w:r w:rsidRPr="00766121">
              <w:t>The model may be supplemented with additional provisions, provided the existing model isn’t contradicted</w:t>
            </w:r>
            <w:r>
              <w:t>.</w:t>
            </w:r>
          </w:p>
        </w:tc>
        <w:tc>
          <w:tcPr>
            <w:tcW w:w="2693" w:type="dxa"/>
          </w:tcPr>
          <w:p w14:paraId="5ECF073D" w14:textId="606C6108" w:rsidR="00DF49F5" w:rsidRPr="00766121" w:rsidRDefault="00DF49F5" w:rsidP="00DF49F5">
            <w:pPr>
              <w:pStyle w:val="TableText"/>
            </w:pPr>
            <w:r w:rsidRPr="00766121">
              <w:t>Members who fail to comply with the code commit misconduct and can be reported for investigation.</w:t>
            </w:r>
          </w:p>
          <w:p w14:paraId="47558BD9" w14:textId="77777777" w:rsidR="00B27FAC" w:rsidRPr="00766121" w:rsidRDefault="00DF49F5" w:rsidP="00DF49F5">
            <w:pPr>
              <w:pStyle w:val="TableText"/>
            </w:pPr>
            <w:r w:rsidRPr="00766121">
              <w:t>The code has no legislative effect on employees.</w:t>
            </w:r>
          </w:p>
        </w:tc>
      </w:tr>
      <w:tr w:rsidR="00B27FAC" w:rsidRPr="00766121" w14:paraId="388459F2" w14:textId="77777777" w:rsidTr="00DA6DB9">
        <w:trPr>
          <w:trHeight w:val="481"/>
        </w:trPr>
        <w:tc>
          <w:tcPr>
            <w:tcW w:w="1985" w:type="dxa"/>
          </w:tcPr>
          <w:p w14:paraId="1395D5B9" w14:textId="77777777" w:rsidR="00B27FAC" w:rsidRPr="00766121" w:rsidRDefault="00B27FAC" w:rsidP="00ED4524">
            <w:pPr>
              <w:pStyle w:val="TableText"/>
            </w:pPr>
            <w:r w:rsidRPr="00766121">
              <w:t>Northern Territory</w:t>
            </w:r>
          </w:p>
        </w:tc>
        <w:tc>
          <w:tcPr>
            <w:tcW w:w="1984" w:type="dxa"/>
          </w:tcPr>
          <w:p w14:paraId="7634D04D" w14:textId="77777777" w:rsidR="00B27FAC" w:rsidRPr="00766121" w:rsidRDefault="00B27FAC" w:rsidP="00ED4524">
            <w:pPr>
              <w:pStyle w:val="TableText"/>
            </w:pPr>
            <w:r w:rsidRPr="00766121">
              <w:t>Yes</w:t>
            </w:r>
          </w:p>
        </w:tc>
        <w:tc>
          <w:tcPr>
            <w:tcW w:w="2835" w:type="dxa"/>
          </w:tcPr>
          <w:p w14:paraId="63281FB8" w14:textId="77777777" w:rsidR="00B27FAC" w:rsidRPr="00766121" w:rsidRDefault="00B27FAC" w:rsidP="00ED4524">
            <w:pPr>
              <w:pStyle w:val="TableText"/>
            </w:pPr>
            <w:r w:rsidRPr="00766121">
              <w:t xml:space="preserve">The code must contain certain provisions as </w:t>
            </w:r>
            <w:r>
              <w:t>set</w:t>
            </w:r>
            <w:r w:rsidRPr="00766121">
              <w:t xml:space="preserve"> in </w:t>
            </w:r>
            <w:r>
              <w:t>r</w:t>
            </w:r>
            <w:r w:rsidRPr="00766121">
              <w:t xml:space="preserve">egulations. </w:t>
            </w:r>
          </w:p>
          <w:p w14:paraId="1555B887" w14:textId="77777777" w:rsidR="00B27FAC" w:rsidRPr="00766121" w:rsidRDefault="00B27FAC" w:rsidP="00ED4524">
            <w:pPr>
              <w:pStyle w:val="TableText"/>
            </w:pPr>
            <w:r w:rsidRPr="00766121">
              <w:t>The remaining content is left to the local government’s discretion, provided it does not contradict the Act.</w:t>
            </w:r>
          </w:p>
        </w:tc>
        <w:tc>
          <w:tcPr>
            <w:tcW w:w="2693" w:type="dxa"/>
          </w:tcPr>
          <w:p w14:paraId="1494CEFD" w14:textId="77777777" w:rsidR="00B27FAC" w:rsidRPr="00766121" w:rsidRDefault="00B27FAC" w:rsidP="00ED4524">
            <w:pPr>
              <w:pStyle w:val="TableText"/>
            </w:pPr>
            <w:r w:rsidRPr="00766121">
              <w:t>Members who fail to comply with the code commit misconduct and can be reported for investigation.</w:t>
            </w:r>
          </w:p>
          <w:p w14:paraId="2BD57F60" w14:textId="77777777" w:rsidR="00B27FAC" w:rsidRPr="00766121" w:rsidRDefault="00B27FAC" w:rsidP="00ED4524">
            <w:pPr>
              <w:pStyle w:val="TableText"/>
            </w:pPr>
            <w:r w:rsidRPr="00766121">
              <w:t xml:space="preserve">The code has no legislative effect on employees. </w:t>
            </w:r>
          </w:p>
        </w:tc>
      </w:tr>
    </w:tbl>
    <w:p w14:paraId="487B6B1C" w14:textId="77777777" w:rsidR="00B27FAC" w:rsidRPr="00766121" w:rsidRDefault="00B27FAC" w:rsidP="00B27FAC">
      <w:pPr>
        <w:pStyle w:val="BodyText-nospacebelow"/>
      </w:pPr>
    </w:p>
    <w:p w14:paraId="41C8F4FA" w14:textId="52E98BF4" w:rsidR="00B27FAC" w:rsidRPr="00766121" w:rsidRDefault="00B27FAC" w:rsidP="00B27FAC">
      <w:pPr>
        <w:pStyle w:val="BodyText-nospacebelow"/>
      </w:pPr>
      <w:r w:rsidRPr="00766121">
        <w:lastRenderedPageBreak/>
        <w:t xml:space="preserve">As the above comparison shows, the jurisdictions differ regarding the </w:t>
      </w:r>
      <w:r>
        <w:t>requirements for</w:t>
      </w:r>
      <w:r w:rsidRPr="00766121">
        <w:t xml:space="preserve"> a codes content. </w:t>
      </w:r>
    </w:p>
    <w:p w14:paraId="5730EBE0" w14:textId="1AFC8CE7" w:rsidR="00BA5B85" w:rsidRPr="00C3239B" w:rsidRDefault="00BA5B85" w:rsidP="00E658FC">
      <w:bookmarkStart w:id="300" w:name="_Toc491097303"/>
      <w:bookmarkStart w:id="301" w:name="_Toc491097693"/>
      <w:bookmarkStart w:id="302" w:name="_Toc491857150"/>
      <w:bookmarkStart w:id="303" w:name="_Toc491872771"/>
      <w:bookmarkStart w:id="304" w:name="_Toc491873706"/>
      <w:bookmarkStart w:id="305" w:name="_Toc491934334"/>
      <w:bookmarkStart w:id="306" w:name="_Toc492368963"/>
      <w:bookmarkStart w:id="307" w:name="_Toc492386690"/>
      <w:bookmarkStart w:id="308" w:name="_Toc492468932"/>
      <w:bookmarkStart w:id="309" w:name="_Toc492470608"/>
      <w:bookmarkStart w:id="310" w:name="_Toc492471288"/>
      <w:bookmarkStart w:id="311" w:name="_Toc492471410"/>
      <w:bookmarkStart w:id="312" w:name="_Toc493746733"/>
      <w:bookmarkStart w:id="313" w:name="_Toc493768865"/>
      <w:bookmarkStart w:id="314" w:name="_Toc493859935"/>
      <w:bookmarkStart w:id="315" w:name="_Toc495491812"/>
      <w:bookmarkStart w:id="316" w:name="_Toc495497592"/>
      <w:bookmarkStart w:id="317" w:name="_Toc495671440"/>
    </w:p>
    <w:p w14:paraId="556AF28F" w14:textId="77777777" w:rsidR="00B27FAC" w:rsidRPr="00DD0AFD" w:rsidRDefault="00B27FAC" w:rsidP="00B27FAC">
      <w:pPr>
        <w:pStyle w:val="Heading2"/>
      </w:pPr>
      <w:bookmarkStart w:id="318" w:name="_Toc495676038"/>
      <w:bookmarkStart w:id="319" w:name="_Toc495678333"/>
      <w:bookmarkStart w:id="320" w:name="_Toc495998331"/>
      <w:bookmarkStart w:id="321" w:name="_Toc497741801"/>
      <w:r w:rsidRPr="00766121">
        <w:t>Code of conduct requirements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02E84CB1" w14:textId="4B384BC1" w:rsidR="00B27FAC" w:rsidRDefault="00B27FAC" w:rsidP="00AC131F">
      <w:pPr>
        <w:pStyle w:val="BodyText-nospacebelow"/>
        <w:jc w:val="both"/>
      </w:pPr>
      <w:r w:rsidRPr="00766121">
        <w:t xml:space="preserve">As part of the review </w:t>
      </w:r>
      <w:r w:rsidR="00645BB0">
        <w:t>of</w:t>
      </w:r>
      <w:r w:rsidR="00645BB0" w:rsidRPr="00766121">
        <w:t xml:space="preserve"> </w:t>
      </w:r>
      <w:r w:rsidRPr="00766121">
        <w:t xml:space="preserve">the Act, the </w:t>
      </w:r>
      <w:r w:rsidR="001F7083">
        <w:t>State Government</w:t>
      </w:r>
      <w:r w:rsidR="001F7083" w:rsidRPr="00766121">
        <w:t xml:space="preserve"> </w:t>
      </w:r>
      <w:r w:rsidRPr="00766121">
        <w:t>is investigating whether codes of conduct are necessary and if so, whether the level of prescription should be changed.</w:t>
      </w:r>
    </w:p>
    <w:p w14:paraId="24D2D5A1" w14:textId="77777777" w:rsidR="00B27FAC" w:rsidRPr="00766121" w:rsidRDefault="00B27FAC" w:rsidP="00AC131F">
      <w:pPr>
        <w:pStyle w:val="BodyText-nospacebelow"/>
        <w:jc w:val="both"/>
      </w:pPr>
    </w:p>
    <w:p w14:paraId="475A453A" w14:textId="77777777" w:rsidR="00B27FAC" w:rsidRDefault="00B27FAC" w:rsidP="00AC131F">
      <w:pPr>
        <w:pStyle w:val="BodyText-nospacebelow"/>
        <w:jc w:val="both"/>
      </w:pPr>
      <w:r w:rsidRPr="00766121">
        <w:t xml:space="preserve">The consideration of other jurisdictions raises potential options </w:t>
      </w:r>
      <w:r>
        <w:t>outlined below</w:t>
      </w:r>
      <w:r w:rsidRPr="00766121">
        <w:t>:</w:t>
      </w:r>
    </w:p>
    <w:p w14:paraId="6D1E9457" w14:textId="77777777" w:rsidR="00B27FAC" w:rsidRPr="00766121" w:rsidRDefault="00B27FAC" w:rsidP="00B27FAC">
      <w:pPr>
        <w:pStyle w:val="BodyText-nospacebelow"/>
      </w:pPr>
    </w:p>
    <w:tbl>
      <w:tblPr>
        <w:tblStyle w:val="DLGCTable-Data"/>
        <w:tblW w:w="9351" w:type="dxa"/>
        <w:tblLayout w:type="fixed"/>
        <w:tblLook w:val="04A0" w:firstRow="1" w:lastRow="0" w:firstColumn="1" w:lastColumn="0" w:noHBand="0" w:noVBand="1"/>
      </w:tblPr>
      <w:tblGrid>
        <w:gridCol w:w="2689"/>
        <w:gridCol w:w="3260"/>
        <w:gridCol w:w="3402"/>
      </w:tblGrid>
      <w:tr w:rsidR="00B27FAC" w:rsidRPr="00766121" w14:paraId="217DC88B" w14:textId="77777777" w:rsidTr="00B2195B">
        <w:trPr>
          <w:cnfStyle w:val="100000000000" w:firstRow="1" w:lastRow="0" w:firstColumn="0" w:lastColumn="0" w:oddVBand="0" w:evenVBand="0" w:oddHBand="0" w:evenHBand="0" w:firstRowFirstColumn="0" w:firstRowLastColumn="0" w:lastRowFirstColumn="0" w:lastRowLastColumn="0"/>
          <w:trHeight w:val="446"/>
        </w:trPr>
        <w:tc>
          <w:tcPr>
            <w:tcW w:w="2689" w:type="dxa"/>
          </w:tcPr>
          <w:p w14:paraId="492DB861" w14:textId="77777777" w:rsidR="00B27FAC" w:rsidRPr="00766121" w:rsidRDefault="00B27FAC" w:rsidP="00D01964">
            <w:pPr>
              <w:pStyle w:val="BodyText-nospacebelow"/>
              <w:spacing w:before="0" w:after="240" w:line="276" w:lineRule="auto"/>
            </w:pPr>
            <w:r w:rsidRPr="00766121">
              <w:t>Option</w:t>
            </w:r>
          </w:p>
        </w:tc>
        <w:tc>
          <w:tcPr>
            <w:tcW w:w="3260" w:type="dxa"/>
          </w:tcPr>
          <w:p w14:paraId="7A0734EE" w14:textId="77777777" w:rsidR="00B27FAC" w:rsidRPr="00766121" w:rsidRDefault="00B27FAC" w:rsidP="00D01964">
            <w:pPr>
              <w:pStyle w:val="BodyText-nospacebelow"/>
              <w:spacing w:before="0" w:after="240" w:line="276" w:lineRule="auto"/>
            </w:pPr>
            <w:r w:rsidRPr="00766121">
              <w:t>Advantages</w:t>
            </w:r>
          </w:p>
        </w:tc>
        <w:tc>
          <w:tcPr>
            <w:tcW w:w="3402" w:type="dxa"/>
          </w:tcPr>
          <w:p w14:paraId="01868A8C" w14:textId="77777777" w:rsidR="00B27FAC" w:rsidRPr="00766121" w:rsidRDefault="00B27FAC" w:rsidP="00D01964">
            <w:pPr>
              <w:pStyle w:val="BodyText-nospacebelow"/>
              <w:spacing w:before="0" w:after="240" w:line="276" w:lineRule="auto"/>
            </w:pPr>
            <w:r w:rsidRPr="00766121">
              <w:t>Disadvantages</w:t>
            </w:r>
          </w:p>
        </w:tc>
      </w:tr>
      <w:tr w:rsidR="00B27FAC" w:rsidRPr="00766121" w14:paraId="5270EFA6" w14:textId="77777777" w:rsidTr="00ED4524">
        <w:trPr>
          <w:trHeight w:val="762"/>
        </w:trPr>
        <w:tc>
          <w:tcPr>
            <w:tcW w:w="2689" w:type="dxa"/>
          </w:tcPr>
          <w:p w14:paraId="7183525D" w14:textId="38E09D90" w:rsidR="00B27FAC" w:rsidRPr="00766121" w:rsidRDefault="00B27FAC" w:rsidP="00D01964">
            <w:pPr>
              <w:pStyle w:val="BodyText-nospacebelow"/>
              <w:spacing w:after="240"/>
            </w:pPr>
            <w:r w:rsidRPr="00766121">
              <w:t>Codes of conduct are no longer required</w:t>
            </w:r>
            <w:r w:rsidR="00D81CC4">
              <w:t>.</w:t>
            </w:r>
          </w:p>
        </w:tc>
        <w:tc>
          <w:tcPr>
            <w:tcW w:w="3260" w:type="dxa"/>
          </w:tcPr>
          <w:p w14:paraId="55FBA545" w14:textId="3D522F3D" w:rsidR="00B27FAC" w:rsidRPr="00766121" w:rsidRDefault="00B27FAC" w:rsidP="00D01964">
            <w:pPr>
              <w:pStyle w:val="BodyText-nospacebelow"/>
              <w:spacing w:after="240"/>
            </w:pPr>
            <w:r w:rsidRPr="00766121">
              <w:t>Increased autonomy for local governments</w:t>
            </w:r>
            <w:r w:rsidR="00D81CC4">
              <w:t>.</w:t>
            </w:r>
          </w:p>
          <w:p w14:paraId="32002474" w14:textId="463B96CD" w:rsidR="00B27FAC" w:rsidRPr="00766121" w:rsidRDefault="00B27FAC" w:rsidP="00D01964">
            <w:pPr>
              <w:pStyle w:val="BodyText-nospacebelow"/>
              <w:spacing w:after="240"/>
            </w:pPr>
            <w:r w:rsidRPr="00766121">
              <w:t xml:space="preserve">Mandatory conduct requirements </w:t>
            </w:r>
            <w:r>
              <w:t>could</w:t>
            </w:r>
            <w:r w:rsidRPr="00766121">
              <w:t xml:space="preserve"> be addressed in </w:t>
            </w:r>
            <w:r>
              <w:t>regulations</w:t>
            </w:r>
            <w:r w:rsidR="00D81CC4">
              <w:t>.</w:t>
            </w:r>
          </w:p>
          <w:p w14:paraId="4A834E8E" w14:textId="77777777" w:rsidR="00B27FAC" w:rsidRPr="00766121" w:rsidRDefault="00B27FAC" w:rsidP="00D01964">
            <w:pPr>
              <w:pStyle w:val="BodyText-nospacebelow"/>
              <w:spacing w:after="240"/>
            </w:pPr>
          </w:p>
        </w:tc>
        <w:tc>
          <w:tcPr>
            <w:tcW w:w="3402" w:type="dxa"/>
          </w:tcPr>
          <w:p w14:paraId="2A698450" w14:textId="53E7D1B3" w:rsidR="00B27FAC" w:rsidRPr="00766121" w:rsidRDefault="00B27FAC" w:rsidP="00D01964">
            <w:pPr>
              <w:pStyle w:val="BodyText-nospacebelow"/>
              <w:spacing w:after="240"/>
            </w:pPr>
            <w:r>
              <w:t xml:space="preserve">Local governments may not clearly specify (in any form) the standard of behaviour expected of employees and </w:t>
            </w:r>
            <w:r w:rsidR="00246B9A">
              <w:t>elected member</w:t>
            </w:r>
            <w:r>
              <w:t>s leading to increased uncertainty about expectations</w:t>
            </w:r>
            <w:r w:rsidR="00D81CC4">
              <w:t>.</w:t>
            </w:r>
          </w:p>
          <w:p w14:paraId="2D05CC07" w14:textId="264DC227" w:rsidR="00B27FAC" w:rsidRPr="00766121" w:rsidRDefault="00B27FAC" w:rsidP="00D01964">
            <w:pPr>
              <w:pStyle w:val="BodyText-nospacebelow"/>
              <w:spacing w:after="240"/>
            </w:pPr>
            <w:r w:rsidRPr="00766121">
              <w:t>May require a strengthening of th</w:t>
            </w:r>
            <w:r>
              <w:t>e Rules of Conduct Regulations</w:t>
            </w:r>
            <w:r w:rsidR="00D81CC4">
              <w:t>.</w:t>
            </w:r>
          </w:p>
        </w:tc>
      </w:tr>
      <w:tr w:rsidR="00B27FAC" w:rsidRPr="00766121" w14:paraId="09FF10FD" w14:textId="77777777" w:rsidTr="00ED4524">
        <w:trPr>
          <w:trHeight w:val="762"/>
        </w:trPr>
        <w:tc>
          <w:tcPr>
            <w:tcW w:w="2689" w:type="dxa"/>
          </w:tcPr>
          <w:p w14:paraId="51A69B9B" w14:textId="6E631B69" w:rsidR="00B27FAC" w:rsidRPr="00766121" w:rsidRDefault="00B27FAC" w:rsidP="00D01964">
            <w:pPr>
              <w:pStyle w:val="BodyText-nospacebelow"/>
              <w:spacing w:after="240"/>
            </w:pPr>
            <w:r>
              <w:t>Codes of conduct are required but t</w:t>
            </w:r>
            <w:r w:rsidRPr="00766121">
              <w:t>he content is left to th</w:t>
            </w:r>
            <w:r>
              <w:t>e local government’s discretion</w:t>
            </w:r>
            <w:r w:rsidR="00D81CC4">
              <w:t>.</w:t>
            </w:r>
          </w:p>
        </w:tc>
        <w:tc>
          <w:tcPr>
            <w:tcW w:w="3260" w:type="dxa"/>
          </w:tcPr>
          <w:p w14:paraId="7FAC5D26" w14:textId="2782C7E2" w:rsidR="00B27FAC" w:rsidRPr="00766121" w:rsidRDefault="00B27FAC" w:rsidP="00D01964">
            <w:pPr>
              <w:pStyle w:val="BodyText-nospacebelow"/>
              <w:spacing w:after="240"/>
            </w:pPr>
            <w:r w:rsidRPr="00766121">
              <w:t>Increased autonomy for local governments</w:t>
            </w:r>
            <w:r w:rsidR="00D81CC4">
              <w:t>.</w:t>
            </w:r>
          </w:p>
          <w:p w14:paraId="127E84D3" w14:textId="5E747B32" w:rsidR="00B27FAC" w:rsidRPr="00766121" w:rsidRDefault="00B27FAC" w:rsidP="00D01964">
            <w:pPr>
              <w:pStyle w:val="BodyText-nospacebelow"/>
              <w:spacing w:after="240"/>
            </w:pPr>
            <w:r w:rsidRPr="00766121">
              <w:t xml:space="preserve">Mandatory conduct requirements </w:t>
            </w:r>
            <w:r>
              <w:t>could</w:t>
            </w:r>
            <w:r w:rsidRPr="00766121">
              <w:t xml:space="preserve"> be addressed in </w:t>
            </w:r>
            <w:r>
              <w:t>regulations</w:t>
            </w:r>
            <w:r w:rsidR="00D81CC4">
              <w:t>.</w:t>
            </w:r>
          </w:p>
        </w:tc>
        <w:tc>
          <w:tcPr>
            <w:tcW w:w="3402" w:type="dxa"/>
          </w:tcPr>
          <w:p w14:paraId="1ABA5C9C" w14:textId="5F4B7F29" w:rsidR="00B27FAC" w:rsidRPr="00766121" w:rsidRDefault="00B27FAC" w:rsidP="00D01964">
            <w:pPr>
              <w:pStyle w:val="BodyText-nospacebelow"/>
              <w:spacing w:after="240"/>
            </w:pPr>
            <w:r w:rsidRPr="00766121">
              <w:t>Risk of code</w:t>
            </w:r>
            <w:r>
              <w:t xml:space="preserve"> imposing improper requirements</w:t>
            </w:r>
            <w:r w:rsidR="00D81CC4">
              <w:t>.</w:t>
            </w:r>
          </w:p>
          <w:p w14:paraId="7A7F8ADC" w14:textId="5C294406" w:rsidR="00B27FAC" w:rsidRPr="00766121" w:rsidRDefault="00B27FAC" w:rsidP="00D01964">
            <w:pPr>
              <w:pStyle w:val="BodyText-nospacebelow"/>
              <w:spacing w:after="240"/>
            </w:pPr>
            <w:r>
              <w:t xml:space="preserve">Local governments may not clearly specify the standard of behaviour expected of employees and </w:t>
            </w:r>
            <w:r w:rsidR="00246B9A">
              <w:t>elected member</w:t>
            </w:r>
            <w:r>
              <w:t>s leading to increased uncertainty about expectations</w:t>
            </w:r>
            <w:r w:rsidR="00D81CC4">
              <w:t>.</w:t>
            </w:r>
          </w:p>
        </w:tc>
      </w:tr>
      <w:tr w:rsidR="00B27FAC" w:rsidRPr="00766121" w14:paraId="1E194570" w14:textId="77777777" w:rsidTr="00ED4524">
        <w:trPr>
          <w:trHeight w:val="762"/>
        </w:trPr>
        <w:tc>
          <w:tcPr>
            <w:tcW w:w="2689" w:type="dxa"/>
          </w:tcPr>
          <w:p w14:paraId="193B5F27" w14:textId="4E7A80D9" w:rsidR="00B27FAC" w:rsidRPr="00766121" w:rsidRDefault="00B27FAC" w:rsidP="00D01964">
            <w:pPr>
              <w:pStyle w:val="BodyText-nospacebelow"/>
              <w:spacing w:after="240"/>
            </w:pPr>
            <w:r w:rsidRPr="00766121">
              <w:t>Codes of conduct are required</w:t>
            </w:r>
            <w:r w:rsidR="00D81CC4">
              <w:t>.</w:t>
            </w:r>
          </w:p>
          <w:p w14:paraId="15BE1936" w14:textId="4891181B" w:rsidR="00B27FAC" w:rsidRPr="00766121" w:rsidRDefault="00B27FAC" w:rsidP="00D01964">
            <w:pPr>
              <w:pStyle w:val="BodyText-nospacebelow"/>
              <w:spacing w:after="240"/>
            </w:pPr>
            <w:r w:rsidRPr="00766121">
              <w:t xml:space="preserve">The content of a code is partially prescribed in </w:t>
            </w:r>
            <w:r>
              <w:lastRenderedPageBreak/>
              <w:t>r</w:t>
            </w:r>
            <w:r w:rsidRPr="00766121">
              <w:t>egulations, but is otherwise at th</w:t>
            </w:r>
            <w:r>
              <w:t>e local government’s discretion</w:t>
            </w:r>
            <w:r w:rsidR="00D81CC4">
              <w:t>.</w:t>
            </w:r>
          </w:p>
        </w:tc>
        <w:tc>
          <w:tcPr>
            <w:tcW w:w="3260" w:type="dxa"/>
          </w:tcPr>
          <w:p w14:paraId="38D9EF61" w14:textId="17E3FE4C" w:rsidR="00B27FAC" w:rsidRPr="00766121" w:rsidRDefault="00B27FAC" w:rsidP="00D01964">
            <w:pPr>
              <w:pStyle w:val="BodyText-nospacebelow"/>
              <w:spacing w:after="240"/>
            </w:pPr>
            <w:r w:rsidRPr="00766121">
              <w:lastRenderedPageBreak/>
              <w:t>Status quo</w:t>
            </w:r>
          </w:p>
        </w:tc>
        <w:tc>
          <w:tcPr>
            <w:tcW w:w="3402" w:type="dxa"/>
          </w:tcPr>
          <w:p w14:paraId="1BC13003" w14:textId="66C4301C" w:rsidR="00B27FAC" w:rsidRPr="00766121" w:rsidRDefault="00B27FAC" w:rsidP="00D01964">
            <w:pPr>
              <w:pStyle w:val="BodyText-nospacebelow"/>
              <w:spacing w:after="240"/>
            </w:pPr>
            <w:r w:rsidRPr="00766121">
              <w:t>Risk of code</w:t>
            </w:r>
            <w:r>
              <w:t xml:space="preserve"> imposing improper requirements</w:t>
            </w:r>
            <w:r w:rsidR="00D81CC4">
              <w:t>.</w:t>
            </w:r>
          </w:p>
          <w:p w14:paraId="5D5B9969" w14:textId="082AADCE" w:rsidR="00B27FAC" w:rsidRPr="00766121" w:rsidRDefault="00B27FAC" w:rsidP="00D01964">
            <w:pPr>
              <w:pStyle w:val="BodyText-nospacebelow"/>
              <w:spacing w:after="240"/>
            </w:pPr>
            <w:r>
              <w:t xml:space="preserve">Local governments may not clearly specify the standard of behaviour </w:t>
            </w:r>
            <w:r>
              <w:lastRenderedPageBreak/>
              <w:t xml:space="preserve">expected of employees and </w:t>
            </w:r>
            <w:r w:rsidR="00246B9A">
              <w:t>elected member</w:t>
            </w:r>
            <w:r>
              <w:t>s leading to increased uncertainty about expectations</w:t>
            </w:r>
            <w:r w:rsidR="00D81CC4">
              <w:t>.</w:t>
            </w:r>
          </w:p>
        </w:tc>
      </w:tr>
      <w:tr w:rsidR="00B27FAC" w:rsidRPr="00766121" w14:paraId="70E4C9CD" w14:textId="77777777" w:rsidTr="00ED4524">
        <w:trPr>
          <w:trHeight w:val="762"/>
        </w:trPr>
        <w:tc>
          <w:tcPr>
            <w:tcW w:w="2689" w:type="dxa"/>
          </w:tcPr>
          <w:p w14:paraId="4A898991" w14:textId="35228187" w:rsidR="00B27FAC" w:rsidRPr="00766121" w:rsidRDefault="00B27FAC" w:rsidP="00D01964">
            <w:pPr>
              <w:pStyle w:val="BodyText-nospacebelow"/>
              <w:spacing w:after="240"/>
            </w:pPr>
            <w:r>
              <w:lastRenderedPageBreak/>
              <w:t>Codes of conduct are required</w:t>
            </w:r>
            <w:r w:rsidR="00D81CC4">
              <w:t>.</w:t>
            </w:r>
          </w:p>
          <w:p w14:paraId="196F5C24" w14:textId="4604EB75" w:rsidR="00B27FAC" w:rsidRPr="00766121" w:rsidRDefault="00B27FAC" w:rsidP="00D01964">
            <w:pPr>
              <w:pStyle w:val="BodyText-nospacebelow"/>
              <w:spacing w:after="240"/>
            </w:pPr>
            <w:r w:rsidRPr="00766121">
              <w:t>The content of a code is prepared by a local government and ap</w:t>
            </w:r>
            <w:r>
              <w:t>proved by the Minister</w:t>
            </w:r>
            <w:r w:rsidR="00D81CC4">
              <w:t>.</w:t>
            </w:r>
          </w:p>
        </w:tc>
        <w:tc>
          <w:tcPr>
            <w:tcW w:w="3260" w:type="dxa"/>
          </w:tcPr>
          <w:p w14:paraId="602E8A19" w14:textId="6CF8E516" w:rsidR="00B27FAC" w:rsidRPr="00766121" w:rsidRDefault="00B27FAC" w:rsidP="00D01964">
            <w:pPr>
              <w:pStyle w:val="BodyText-nospacebelow"/>
              <w:spacing w:after="240"/>
            </w:pPr>
            <w:r>
              <w:t>T</w:t>
            </w:r>
            <w:r w:rsidRPr="00766121">
              <w:t xml:space="preserve">he Minister’s approval </w:t>
            </w:r>
            <w:r>
              <w:t xml:space="preserve">could </w:t>
            </w:r>
            <w:r w:rsidRPr="00766121">
              <w:t xml:space="preserve">prevent the imposition of improper </w:t>
            </w:r>
            <w:r>
              <w:t xml:space="preserve">or unclear </w:t>
            </w:r>
            <w:r w:rsidRPr="00766121">
              <w:t>requirements</w:t>
            </w:r>
            <w:r>
              <w:t xml:space="preserve"> while maintaining local government autonomy</w:t>
            </w:r>
            <w:r w:rsidR="00D81CC4">
              <w:t>.</w:t>
            </w:r>
          </w:p>
        </w:tc>
        <w:tc>
          <w:tcPr>
            <w:tcW w:w="3402" w:type="dxa"/>
          </w:tcPr>
          <w:p w14:paraId="7474C3AF" w14:textId="36E4A0C5" w:rsidR="00B27FAC" w:rsidRDefault="00B27FAC" w:rsidP="00D01964">
            <w:pPr>
              <w:pStyle w:val="BodyText-nospacebelow"/>
              <w:spacing w:after="240"/>
            </w:pPr>
            <w:r w:rsidRPr="00766121">
              <w:t>Increased burden on Department and Minister</w:t>
            </w:r>
            <w:r>
              <w:t>ial staff to assess draft codes</w:t>
            </w:r>
            <w:r w:rsidR="00D81CC4">
              <w:t>.</w:t>
            </w:r>
          </w:p>
          <w:p w14:paraId="3E841247" w14:textId="383D0DC6" w:rsidR="00B27FAC" w:rsidRDefault="00B27FAC" w:rsidP="00D01964">
            <w:pPr>
              <w:pStyle w:val="BodyText-nospacebelow"/>
              <w:spacing w:after="240"/>
            </w:pPr>
            <w:r>
              <w:t>Increased red tape</w:t>
            </w:r>
            <w:r w:rsidR="00D81CC4">
              <w:t>.</w:t>
            </w:r>
          </w:p>
          <w:p w14:paraId="6BBDF173" w14:textId="3A160D82" w:rsidR="00B27FAC" w:rsidRPr="00766121" w:rsidRDefault="00B27FAC" w:rsidP="00D01964">
            <w:pPr>
              <w:pStyle w:val="BodyText-nospacebelow"/>
              <w:spacing w:after="240"/>
            </w:pPr>
            <w:r w:rsidRPr="00766121">
              <w:t xml:space="preserve">Reduced autonomy for local </w:t>
            </w:r>
            <w:r>
              <w:t>governments</w:t>
            </w:r>
            <w:r w:rsidR="00D81CC4">
              <w:t>.</w:t>
            </w:r>
          </w:p>
        </w:tc>
      </w:tr>
      <w:tr w:rsidR="00B27FAC" w:rsidRPr="00766121" w14:paraId="660EF0C5" w14:textId="77777777" w:rsidTr="00ED4524">
        <w:trPr>
          <w:trHeight w:val="762"/>
        </w:trPr>
        <w:tc>
          <w:tcPr>
            <w:tcW w:w="2689" w:type="dxa"/>
          </w:tcPr>
          <w:p w14:paraId="141EB596" w14:textId="0FA24580" w:rsidR="00B27FAC" w:rsidRPr="00766121" w:rsidRDefault="00B27FAC" w:rsidP="00D01964">
            <w:pPr>
              <w:pStyle w:val="BodyText-nospacebelow"/>
              <w:spacing w:after="240"/>
            </w:pPr>
            <w:r>
              <w:t>Codes of conduct are required</w:t>
            </w:r>
          </w:p>
          <w:p w14:paraId="7928F58F" w14:textId="5F50ECC1" w:rsidR="00B27FAC" w:rsidRPr="00766121" w:rsidRDefault="00B27FAC" w:rsidP="00D01964">
            <w:pPr>
              <w:pStyle w:val="BodyText-nospacebelow"/>
              <w:spacing w:after="240"/>
            </w:pPr>
            <w:r w:rsidRPr="00766121">
              <w:t xml:space="preserve">Local governments must adopt a model code, with certain </w:t>
            </w:r>
            <w:r>
              <w:t>clauses subject to modification</w:t>
            </w:r>
          </w:p>
        </w:tc>
        <w:tc>
          <w:tcPr>
            <w:tcW w:w="3260" w:type="dxa"/>
          </w:tcPr>
          <w:p w14:paraId="33616663" w14:textId="62521FE6" w:rsidR="00B27FAC" w:rsidRPr="00766121" w:rsidRDefault="00B27FAC" w:rsidP="00D01964">
            <w:pPr>
              <w:pStyle w:val="BodyText-nospacebelow"/>
              <w:spacing w:after="240"/>
            </w:pPr>
            <w:r w:rsidRPr="00766121">
              <w:t>Create more uniformity in the cod</w:t>
            </w:r>
            <w:r>
              <w:t>es of conduct between districts</w:t>
            </w:r>
            <w:r w:rsidR="00D81CC4">
              <w:t>.</w:t>
            </w:r>
          </w:p>
          <w:p w14:paraId="3AA1AC1F" w14:textId="3FC289DE" w:rsidR="00B27FAC" w:rsidRPr="00766121" w:rsidRDefault="00B27FAC" w:rsidP="00D01964">
            <w:pPr>
              <w:pStyle w:val="BodyText-nospacebelow"/>
              <w:spacing w:after="240"/>
            </w:pPr>
            <w:r w:rsidRPr="00766121">
              <w:t xml:space="preserve">It will make codes of conduct easier to draft, since most of it </w:t>
            </w:r>
            <w:r>
              <w:t>will be derived from the model</w:t>
            </w:r>
            <w:r w:rsidR="00D81CC4">
              <w:t>.</w:t>
            </w:r>
          </w:p>
        </w:tc>
        <w:tc>
          <w:tcPr>
            <w:tcW w:w="3402" w:type="dxa"/>
          </w:tcPr>
          <w:p w14:paraId="6754F807" w14:textId="18BB22F0" w:rsidR="00B27FAC" w:rsidRPr="00766121" w:rsidRDefault="00B27FAC" w:rsidP="00D01964">
            <w:pPr>
              <w:pStyle w:val="BodyText-nospacebelow"/>
              <w:spacing w:after="240"/>
            </w:pPr>
            <w:r w:rsidRPr="00766121">
              <w:t xml:space="preserve">Reduced autonomy for local </w:t>
            </w:r>
            <w:r>
              <w:t>governments</w:t>
            </w:r>
            <w:r w:rsidR="00D81CC4">
              <w:t>.</w:t>
            </w:r>
          </w:p>
          <w:p w14:paraId="41BC0B6B" w14:textId="77777777" w:rsidR="00B27FAC" w:rsidRPr="00766121" w:rsidRDefault="00B27FAC" w:rsidP="00D01964">
            <w:pPr>
              <w:pStyle w:val="BodyText-nospacebelow"/>
              <w:spacing w:after="240"/>
            </w:pPr>
          </w:p>
        </w:tc>
      </w:tr>
      <w:tr w:rsidR="00B27FAC" w:rsidRPr="00766121" w14:paraId="17CA3BF5" w14:textId="77777777" w:rsidTr="00ED4524">
        <w:trPr>
          <w:trHeight w:val="762"/>
        </w:trPr>
        <w:tc>
          <w:tcPr>
            <w:tcW w:w="2689" w:type="dxa"/>
          </w:tcPr>
          <w:p w14:paraId="66379ACB" w14:textId="764D0B90" w:rsidR="00B27FAC" w:rsidRPr="00766121" w:rsidRDefault="00B27FAC" w:rsidP="00D01964">
            <w:pPr>
              <w:pStyle w:val="BodyText-nospacebelow"/>
              <w:spacing w:after="240"/>
            </w:pPr>
            <w:r>
              <w:t>Codes of conduct are required</w:t>
            </w:r>
            <w:r w:rsidR="009B662C">
              <w:t>.</w:t>
            </w:r>
          </w:p>
          <w:p w14:paraId="7E3A46CB" w14:textId="779787D8" w:rsidR="00B27FAC" w:rsidRPr="00766121" w:rsidRDefault="00B27FAC" w:rsidP="00D01964">
            <w:pPr>
              <w:pStyle w:val="BodyText-nospacebelow"/>
              <w:spacing w:after="240"/>
            </w:pPr>
            <w:r w:rsidRPr="00766121">
              <w:t>The codes will only cover the matters which local governments h</w:t>
            </w:r>
            <w:r>
              <w:t>ave a discretion to decide</w:t>
            </w:r>
            <w:r w:rsidR="009B662C">
              <w:t>.</w:t>
            </w:r>
          </w:p>
          <w:p w14:paraId="1CBACCEA" w14:textId="0E900163" w:rsidR="00B27FAC" w:rsidRPr="00766121" w:rsidRDefault="00B27FAC" w:rsidP="00D01964">
            <w:pPr>
              <w:pStyle w:val="BodyText-nospacebelow"/>
              <w:spacing w:after="240"/>
            </w:pPr>
            <w:r w:rsidRPr="00766121">
              <w:t xml:space="preserve">All other matters are </w:t>
            </w:r>
            <w:r>
              <w:t xml:space="preserve">to be </w:t>
            </w:r>
            <w:r w:rsidRPr="00766121">
              <w:t>addressed in Act and Regulations</w:t>
            </w:r>
            <w:r w:rsidR="009B662C">
              <w:t>.</w:t>
            </w:r>
          </w:p>
        </w:tc>
        <w:tc>
          <w:tcPr>
            <w:tcW w:w="3260" w:type="dxa"/>
          </w:tcPr>
          <w:p w14:paraId="4553E787" w14:textId="7120F689" w:rsidR="00B27FAC" w:rsidRPr="00766121" w:rsidRDefault="00B27FAC" w:rsidP="00D01964">
            <w:pPr>
              <w:pStyle w:val="BodyText-nospacebelow"/>
              <w:spacing w:after="240"/>
            </w:pPr>
            <w:r w:rsidRPr="00766121">
              <w:t xml:space="preserve">The legislation will be reorganised to </w:t>
            </w:r>
            <w:r>
              <w:t>better</w:t>
            </w:r>
            <w:r w:rsidRPr="00766121">
              <w:t xml:space="preserve"> reflect the role</w:t>
            </w:r>
            <w:r>
              <w:t xml:space="preserve"> which a code of conduct serves</w:t>
            </w:r>
            <w:r w:rsidR="009B662C">
              <w:t>.</w:t>
            </w:r>
          </w:p>
        </w:tc>
        <w:tc>
          <w:tcPr>
            <w:tcW w:w="3402" w:type="dxa"/>
          </w:tcPr>
          <w:p w14:paraId="3EE5FA90" w14:textId="41375303" w:rsidR="00B27FAC" w:rsidRPr="00766121" w:rsidRDefault="00B27FAC" w:rsidP="00D01964">
            <w:pPr>
              <w:pStyle w:val="BodyText-nospacebelow"/>
              <w:spacing w:after="240"/>
            </w:pPr>
            <w:r w:rsidRPr="00766121">
              <w:t>These won’t cause any practical chan</w:t>
            </w:r>
            <w:r>
              <w:t>ges to the current system</w:t>
            </w:r>
            <w:r w:rsidR="009B662C">
              <w:t>.</w:t>
            </w:r>
          </w:p>
        </w:tc>
      </w:tr>
    </w:tbl>
    <w:p w14:paraId="55AF8C9E" w14:textId="77777777" w:rsidR="00B27FAC" w:rsidRDefault="00B27FAC" w:rsidP="00B27FAC">
      <w:pPr>
        <w:pStyle w:val="IntenseQuote"/>
        <w:ind w:left="360"/>
        <w:rPr>
          <w:b/>
          <w:sz w:val="28"/>
        </w:rPr>
      </w:pPr>
      <w:r>
        <w:rPr>
          <w:b/>
          <w:sz w:val="28"/>
        </w:rPr>
        <w:t>Code</w:t>
      </w:r>
      <w:r w:rsidR="00760AAA">
        <w:rPr>
          <w:b/>
          <w:sz w:val="28"/>
        </w:rPr>
        <w:t>s</w:t>
      </w:r>
      <w:r>
        <w:rPr>
          <w:b/>
          <w:sz w:val="28"/>
        </w:rPr>
        <w:t xml:space="preserve"> of conduct: Guidance questions</w:t>
      </w:r>
    </w:p>
    <w:p w14:paraId="4AB26902" w14:textId="0F10EE92" w:rsidR="00B27FAC" w:rsidRDefault="00B27FAC" w:rsidP="00F840FA">
      <w:pPr>
        <w:pStyle w:val="BodyText2-nospacebelow"/>
        <w:numPr>
          <w:ilvl w:val="0"/>
          <w:numId w:val="19"/>
        </w:numPr>
        <w:spacing w:after="120"/>
        <w:ind w:hanging="607"/>
        <w:rPr>
          <w:lang w:eastAsia="en-AU"/>
        </w:rPr>
      </w:pPr>
      <w:r>
        <w:t xml:space="preserve">Should </w:t>
      </w:r>
      <w:r>
        <w:rPr>
          <w:lang w:eastAsia="en-AU"/>
        </w:rPr>
        <w:t xml:space="preserve">standards of conduct/behaviour differ </w:t>
      </w:r>
      <w:r w:rsidR="00C13752">
        <w:rPr>
          <w:lang w:eastAsia="en-AU"/>
        </w:rPr>
        <w:t>between local governments? Please explain.</w:t>
      </w:r>
    </w:p>
    <w:p w14:paraId="397342E0" w14:textId="77777777" w:rsidR="00B27FAC" w:rsidRPr="00ED0DD8" w:rsidRDefault="00B27FAC" w:rsidP="00F840FA">
      <w:pPr>
        <w:pStyle w:val="BodyText2-nospacebelow"/>
        <w:numPr>
          <w:ilvl w:val="0"/>
          <w:numId w:val="19"/>
        </w:numPr>
        <w:spacing w:after="120"/>
        <w:ind w:hanging="607"/>
        <w:rPr>
          <w:lang w:eastAsia="en-AU"/>
        </w:rPr>
      </w:pPr>
      <w:r w:rsidRPr="00ED0DD8">
        <w:rPr>
          <w:lang w:eastAsia="en-AU"/>
        </w:rPr>
        <w:t xml:space="preserve">Which option do you prefer for </w:t>
      </w:r>
      <w:r>
        <w:rPr>
          <w:lang w:eastAsia="en-AU"/>
        </w:rPr>
        <w:t>c</w:t>
      </w:r>
      <w:r w:rsidRPr="00ED0DD8">
        <w:rPr>
          <w:lang w:eastAsia="en-AU"/>
        </w:rPr>
        <w:t xml:space="preserve">odes of </w:t>
      </w:r>
      <w:r>
        <w:rPr>
          <w:lang w:eastAsia="en-AU"/>
        </w:rPr>
        <w:t>c</w:t>
      </w:r>
      <w:r w:rsidRPr="00ED0DD8">
        <w:rPr>
          <w:lang w:eastAsia="en-AU"/>
        </w:rPr>
        <w:t>onduct and why?</w:t>
      </w:r>
    </w:p>
    <w:p w14:paraId="15D95A5A" w14:textId="775E079E" w:rsidR="00B27FAC" w:rsidRDefault="00B27FAC" w:rsidP="00F840FA">
      <w:pPr>
        <w:pStyle w:val="BodyText2-nospacebelow"/>
        <w:numPr>
          <w:ilvl w:val="0"/>
          <w:numId w:val="19"/>
        </w:numPr>
        <w:spacing w:after="120"/>
        <w:ind w:hanging="607"/>
      </w:pPr>
      <w:r>
        <w:rPr>
          <w:lang w:eastAsia="en-AU"/>
        </w:rPr>
        <w:lastRenderedPageBreak/>
        <w:t xml:space="preserve">How should </w:t>
      </w:r>
      <w:r w:rsidR="001F7083">
        <w:rPr>
          <w:lang w:eastAsia="en-AU"/>
        </w:rPr>
        <w:t>a code</w:t>
      </w:r>
      <w:r>
        <w:t xml:space="preserve"> of conduct be enforced</w:t>
      </w:r>
      <w:r w:rsidRPr="00ED0DD8">
        <w:t xml:space="preserve">? </w:t>
      </w:r>
    </w:p>
    <w:p w14:paraId="4E6BF367" w14:textId="77777777" w:rsidR="00ED4524" w:rsidRPr="00ED0DD8" w:rsidRDefault="00ED4524" w:rsidP="00ED4524">
      <w:pPr>
        <w:pStyle w:val="BodyText2-nospacebelow"/>
      </w:pPr>
    </w:p>
    <w:p w14:paraId="1E65A5EA" w14:textId="51248CB6" w:rsidR="001547C1" w:rsidRDefault="0055131E" w:rsidP="00163351">
      <w:pPr>
        <w:pStyle w:val="Heading2"/>
        <w:numPr>
          <w:ilvl w:val="1"/>
          <w:numId w:val="30"/>
        </w:numPr>
      </w:pPr>
      <w:bookmarkStart w:id="322" w:name="_Toc495491813"/>
      <w:bookmarkStart w:id="323" w:name="_Toc495497593"/>
      <w:bookmarkStart w:id="324" w:name="_Toc495671441"/>
      <w:bookmarkStart w:id="325" w:name="_Toc495676039"/>
      <w:bookmarkStart w:id="326" w:name="_Toc495678334"/>
      <w:bookmarkStart w:id="327" w:name="_Toc495998332"/>
      <w:bookmarkStart w:id="328" w:name="_Toc497741802"/>
      <w:r>
        <w:t xml:space="preserve">Regulation of </w:t>
      </w:r>
      <w:r w:rsidR="00246B9A">
        <w:t>elected member</w:t>
      </w:r>
      <w:r>
        <w:t xml:space="preserve"> conduct</w:t>
      </w:r>
      <w:bookmarkEnd w:id="275"/>
      <w:bookmarkEnd w:id="276"/>
      <w:bookmarkEnd w:id="277"/>
      <w:r w:rsidR="00B27FAC">
        <w:t>: rules of conduct</w:t>
      </w:r>
      <w:bookmarkEnd w:id="322"/>
      <w:bookmarkEnd w:id="323"/>
      <w:bookmarkEnd w:id="324"/>
      <w:bookmarkEnd w:id="325"/>
      <w:bookmarkEnd w:id="326"/>
      <w:bookmarkEnd w:id="327"/>
      <w:bookmarkEnd w:id="328"/>
    </w:p>
    <w:p w14:paraId="3C9AC046" w14:textId="3D400ADA" w:rsidR="001A6A72" w:rsidRDefault="001A6A72" w:rsidP="00AC131F">
      <w:pPr>
        <w:pStyle w:val="BodyText-nospacebelow"/>
        <w:jc w:val="both"/>
      </w:pPr>
      <w:r w:rsidRPr="001A6A72">
        <w:t xml:space="preserve">Since 2007, the Act has provided for a disciplinary framework to deal with minor, recurrent and serious breaches of conduct by individual </w:t>
      </w:r>
      <w:r w:rsidR="00246B9A">
        <w:t>elected member</w:t>
      </w:r>
      <w:r w:rsidRPr="001A6A72">
        <w:t xml:space="preserve">s. The minor breach system is intended to provide a mechanism to deter inappropriate conduct by individual </w:t>
      </w:r>
      <w:r w:rsidR="00246B9A">
        <w:t>elected member</w:t>
      </w:r>
      <w:r w:rsidRPr="001A6A72">
        <w:t xml:space="preserve">s that may lead to council dysfunction, loss of trust between council and administration, impairment of the local government’s integrity and operational performance, and </w:t>
      </w:r>
      <w:r w:rsidR="005E79E1">
        <w:t xml:space="preserve">a </w:t>
      </w:r>
      <w:r w:rsidRPr="001A6A72">
        <w:t xml:space="preserve">consequent reduction in public confidence.  The </w:t>
      </w:r>
      <w:r w:rsidR="005E79E1">
        <w:t xml:space="preserve">current </w:t>
      </w:r>
      <w:r w:rsidRPr="001A6A72">
        <w:t xml:space="preserve">minor breach system complements local government codes of conduct with enforceable standards for specified conduct </w:t>
      </w:r>
      <w:r w:rsidR="005E79E1">
        <w:t xml:space="preserve">that </w:t>
      </w:r>
      <w:r w:rsidRPr="001A6A72">
        <w:t>focuse</w:t>
      </w:r>
      <w:r w:rsidR="00142FD9">
        <w:t>s</w:t>
      </w:r>
      <w:r w:rsidRPr="001A6A72">
        <w:t xml:space="preserve"> on governance and integrity.</w:t>
      </w:r>
    </w:p>
    <w:p w14:paraId="17CF1519" w14:textId="77777777" w:rsidR="001A6A72" w:rsidRPr="001A6A72" w:rsidRDefault="001A6A72" w:rsidP="00AC131F">
      <w:pPr>
        <w:pStyle w:val="BodyText-nospacebelow"/>
        <w:jc w:val="both"/>
      </w:pPr>
    </w:p>
    <w:p w14:paraId="7E69277C" w14:textId="77777777" w:rsidR="001A6A72" w:rsidRDefault="001A6A72" w:rsidP="00AC131F">
      <w:pPr>
        <w:pStyle w:val="BodyText-nospacebelow"/>
        <w:jc w:val="both"/>
      </w:pPr>
      <w:r w:rsidRPr="001A6A72">
        <w:t xml:space="preserve">The foundation of the minor breach system is the </w:t>
      </w:r>
      <w:r w:rsidRPr="00917337">
        <w:rPr>
          <w:i/>
        </w:rPr>
        <w:t>Local Government (Rules of Conduct</w:t>
      </w:r>
      <w:r w:rsidRPr="003B1439">
        <w:rPr>
          <w:i/>
        </w:rPr>
        <w:t>) Regulations 2007</w:t>
      </w:r>
      <w:r w:rsidR="00142FD9">
        <w:rPr>
          <w:rStyle w:val="FootnoteReference"/>
          <w:i/>
        </w:rPr>
        <w:footnoteReference w:id="6"/>
      </w:r>
      <w:r w:rsidR="005E79E1">
        <w:t>. This</w:t>
      </w:r>
      <w:r w:rsidRPr="001A6A72">
        <w:t xml:space="preserve"> provides for the repo</w:t>
      </w:r>
      <w:r w:rsidR="005E79E1">
        <w:t xml:space="preserve">rting of contraventions of the </w:t>
      </w:r>
      <w:r w:rsidR="00142FD9">
        <w:t>r</w:t>
      </w:r>
      <w:r w:rsidRPr="001A6A72">
        <w:t>egulations to the Local Government Standards Panel</w:t>
      </w:r>
      <w:r w:rsidR="00146063">
        <w:t>, which comprises members</w:t>
      </w:r>
      <w:r w:rsidRPr="001A6A72">
        <w:t xml:space="preserve"> appointed by the Minister.  </w:t>
      </w:r>
    </w:p>
    <w:p w14:paraId="231CC439" w14:textId="77777777" w:rsidR="00A00258" w:rsidRDefault="00A00258" w:rsidP="00AC131F">
      <w:pPr>
        <w:pStyle w:val="BodyText-nospacebelow"/>
        <w:jc w:val="both"/>
      </w:pPr>
    </w:p>
    <w:p w14:paraId="21A08212" w14:textId="012D17B1" w:rsidR="001A6A72" w:rsidRPr="001A6A72" w:rsidRDefault="001A6A72" w:rsidP="00AC131F">
      <w:pPr>
        <w:pStyle w:val="BodyText-nospacebelow"/>
        <w:jc w:val="both"/>
      </w:pPr>
      <w:r>
        <w:t xml:space="preserve">The current </w:t>
      </w:r>
      <w:r w:rsidR="00EC2FF4">
        <w:t>r</w:t>
      </w:r>
      <w:r>
        <w:t xml:space="preserve">egulations are very prescriptive and </w:t>
      </w:r>
      <w:r w:rsidR="00C6207B">
        <w:t>an opportunity exists to introduce reforms that provide greater flexibility and agility to resolving allegations of breaches</w:t>
      </w:r>
      <w:r>
        <w:t>.</w:t>
      </w:r>
    </w:p>
    <w:p w14:paraId="25AAAB55" w14:textId="77777777" w:rsidR="001A6A72" w:rsidRDefault="001A6A72" w:rsidP="001A6A72">
      <w:pPr>
        <w:pStyle w:val="Heading2"/>
      </w:pPr>
      <w:bookmarkStart w:id="329" w:name="_Toc491097257"/>
      <w:bookmarkStart w:id="330" w:name="_Toc491097647"/>
      <w:bookmarkStart w:id="331" w:name="_Toc493746712"/>
      <w:bookmarkStart w:id="332" w:name="_Toc493768844"/>
      <w:bookmarkStart w:id="333" w:name="_Toc493859914"/>
      <w:bookmarkStart w:id="334" w:name="_Toc495491814"/>
      <w:bookmarkStart w:id="335" w:name="_Toc495497594"/>
      <w:bookmarkStart w:id="336" w:name="_Toc495671442"/>
      <w:bookmarkStart w:id="337" w:name="_Toc495676040"/>
      <w:bookmarkStart w:id="338" w:name="_Toc495678335"/>
      <w:bookmarkStart w:id="339" w:name="_Toc495998333"/>
      <w:bookmarkStart w:id="340" w:name="_Toc497741803"/>
      <w:r w:rsidRPr="001A6A72">
        <w:t>Across Australia</w:t>
      </w:r>
      <w:bookmarkEnd w:id="329"/>
      <w:bookmarkEnd w:id="330"/>
      <w:bookmarkEnd w:id="331"/>
      <w:bookmarkEnd w:id="332"/>
      <w:bookmarkEnd w:id="333"/>
      <w:bookmarkEnd w:id="334"/>
      <w:bookmarkEnd w:id="335"/>
      <w:bookmarkEnd w:id="336"/>
      <w:bookmarkEnd w:id="337"/>
      <w:bookmarkEnd w:id="338"/>
      <w:bookmarkEnd w:id="339"/>
      <w:bookmarkEnd w:id="340"/>
    </w:p>
    <w:tbl>
      <w:tblPr>
        <w:tblStyle w:val="DLGCTable-Data"/>
        <w:tblW w:w="9498" w:type="dxa"/>
        <w:tblLook w:val="04A0" w:firstRow="1" w:lastRow="0" w:firstColumn="1" w:lastColumn="0" w:noHBand="0" w:noVBand="1"/>
      </w:tblPr>
      <w:tblGrid>
        <w:gridCol w:w="3261"/>
        <w:gridCol w:w="6237"/>
      </w:tblGrid>
      <w:tr w:rsidR="006A21E9" w:rsidRPr="001A6A72" w14:paraId="64D4CA4B" w14:textId="77777777" w:rsidTr="00DA6DB9">
        <w:trPr>
          <w:cnfStyle w:val="100000000000" w:firstRow="1" w:lastRow="0" w:firstColumn="0" w:lastColumn="0" w:oddVBand="0" w:evenVBand="0" w:oddHBand="0" w:evenHBand="0" w:firstRowFirstColumn="0" w:firstRowLastColumn="0" w:lastRowFirstColumn="0" w:lastRowLastColumn="0"/>
        </w:trPr>
        <w:tc>
          <w:tcPr>
            <w:tcW w:w="3261" w:type="dxa"/>
            <w:tcMar>
              <w:top w:w="113" w:type="dxa"/>
            </w:tcMar>
          </w:tcPr>
          <w:p w14:paraId="1F7B9799" w14:textId="77777777" w:rsidR="006A21E9" w:rsidRPr="001A6A72" w:rsidRDefault="006A21E9" w:rsidP="001A6A72">
            <w:pPr>
              <w:pStyle w:val="BodyText-nospacebelow"/>
              <w:spacing w:before="0" w:line="276" w:lineRule="auto"/>
              <w:ind w:left="0" w:right="0"/>
            </w:pPr>
            <w:r w:rsidRPr="001A6A72">
              <w:t>Jurisdiction</w:t>
            </w:r>
          </w:p>
        </w:tc>
        <w:tc>
          <w:tcPr>
            <w:tcW w:w="6237" w:type="dxa"/>
            <w:tcMar>
              <w:top w:w="113" w:type="dxa"/>
            </w:tcMar>
          </w:tcPr>
          <w:p w14:paraId="63739981" w14:textId="77777777" w:rsidR="006A21E9" w:rsidRPr="001A6A72" w:rsidRDefault="006A21E9" w:rsidP="001A6A72">
            <w:pPr>
              <w:pStyle w:val="BodyText-nospacebelow"/>
              <w:spacing w:before="0" w:line="276" w:lineRule="auto"/>
              <w:ind w:left="0" w:right="0"/>
            </w:pPr>
          </w:p>
        </w:tc>
      </w:tr>
      <w:tr w:rsidR="006A21E9" w:rsidRPr="001A6A72" w14:paraId="66D13FF5" w14:textId="77777777" w:rsidTr="00DA6DB9">
        <w:tc>
          <w:tcPr>
            <w:tcW w:w="3261" w:type="dxa"/>
            <w:tcMar>
              <w:top w:w="113" w:type="dxa"/>
            </w:tcMar>
          </w:tcPr>
          <w:p w14:paraId="526196AE" w14:textId="77777777" w:rsidR="006A21E9" w:rsidRPr="001A6A72" w:rsidRDefault="006A21E9" w:rsidP="001A6A72">
            <w:pPr>
              <w:pStyle w:val="BodyText-nospacebelow"/>
              <w:spacing w:before="0" w:line="276" w:lineRule="auto"/>
              <w:ind w:left="0" w:right="0"/>
            </w:pPr>
            <w:r w:rsidRPr="001A6A72">
              <w:t>New South Wales</w:t>
            </w:r>
          </w:p>
        </w:tc>
        <w:tc>
          <w:tcPr>
            <w:tcW w:w="6237" w:type="dxa"/>
            <w:tcMar>
              <w:top w:w="113" w:type="dxa"/>
            </w:tcMar>
          </w:tcPr>
          <w:p w14:paraId="04DE7F96" w14:textId="77777777" w:rsidR="006A21E9" w:rsidRPr="001A6A72" w:rsidRDefault="00F67FD8" w:rsidP="00F67FD8">
            <w:pPr>
              <w:pStyle w:val="BodyText-nospacebelow"/>
              <w:spacing w:before="0" w:line="276" w:lineRule="auto"/>
              <w:ind w:left="0" w:right="0"/>
            </w:pPr>
            <w:r>
              <w:t xml:space="preserve">Councils are required to adopt a Model Code of Conduct which outlines the expected standards of behaviour. The Code is a legal document. </w:t>
            </w:r>
          </w:p>
        </w:tc>
      </w:tr>
      <w:tr w:rsidR="00B028E4" w:rsidRPr="001A6A72" w14:paraId="580B1EF4" w14:textId="77777777" w:rsidTr="00DA6DB9">
        <w:tc>
          <w:tcPr>
            <w:tcW w:w="3261" w:type="dxa"/>
            <w:tcMar>
              <w:top w:w="113" w:type="dxa"/>
            </w:tcMar>
          </w:tcPr>
          <w:p w14:paraId="58E2F80D" w14:textId="77777777" w:rsidR="00B028E4" w:rsidRPr="001A6A72" w:rsidRDefault="00B028E4" w:rsidP="00CD184D">
            <w:pPr>
              <w:pStyle w:val="BodyText-nospacebelow"/>
              <w:spacing w:before="0" w:line="276" w:lineRule="auto"/>
              <w:ind w:left="0" w:right="0"/>
            </w:pPr>
            <w:r w:rsidRPr="001A6A72">
              <w:t>Victoria</w:t>
            </w:r>
          </w:p>
        </w:tc>
        <w:tc>
          <w:tcPr>
            <w:tcW w:w="6237" w:type="dxa"/>
            <w:tcMar>
              <w:top w:w="113" w:type="dxa"/>
            </w:tcMar>
          </w:tcPr>
          <w:p w14:paraId="1652FDBE" w14:textId="77777777" w:rsidR="00B028E4" w:rsidRDefault="00B028E4" w:rsidP="00CD184D">
            <w:pPr>
              <w:pStyle w:val="BodyText-nospacebelow"/>
              <w:spacing w:before="0" w:after="120" w:line="276" w:lineRule="auto"/>
              <w:ind w:left="0" w:right="0"/>
            </w:pPr>
            <w:r>
              <w:t>All councils must adopt a councillor code of conduct which needs to be publicly available on the council’s website.</w:t>
            </w:r>
          </w:p>
          <w:p w14:paraId="08DD0E89" w14:textId="77777777" w:rsidR="00B028E4" w:rsidRDefault="00B028E4" w:rsidP="00CD184D">
            <w:pPr>
              <w:pStyle w:val="BodyText-nospacebelow"/>
              <w:spacing w:before="0" w:after="120" w:line="276" w:lineRule="auto"/>
              <w:ind w:left="0" w:right="0"/>
            </w:pPr>
            <w:r>
              <w:t>There are various levels of misconduct:</w:t>
            </w:r>
          </w:p>
          <w:p w14:paraId="23834D34" w14:textId="77777777" w:rsidR="00B028E4" w:rsidRDefault="00B028E4" w:rsidP="00CD184D">
            <w:pPr>
              <w:pStyle w:val="BodyText-nospacebelow"/>
              <w:spacing w:before="0" w:after="120" w:line="276" w:lineRule="auto"/>
              <w:ind w:left="0" w:right="0"/>
            </w:pPr>
            <w:r>
              <w:t>Misconduct – repeatedly contravenes the councillor conduct principles or does not comply with the internal resolution procedure or sanctions imposed for breaching the code;</w:t>
            </w:r>
          </w:p>
          <w:p w14:paraId="7F35768A" w14:textId="77777777" w:rsidR="00B028E4" w:rsidRDefault="00B028E4" w:rsidP="00CD184D">
            <w:pPr>
              <w:pStyle w:val="BodyText-nospacebelow"/>
              <w:spacing w:before="0" w:after="120" w:line="276" w:lineRule="auto"/>
              <w:ind w:left="0" w:right="0"/>
            </w:pPr>
            <w:r>
              <w:lastRenderedPageBreak/>
              <w:t>Serious misconduct – behaviour that is more disruptive to good governance at a local level;</w:t>
            </w:r>
          </w:p>
          <w:p w14:paraId="4111843E" w14:textId="77777777" w:rsidR="00B028E4" w:rsidRPr="001A6A72" w:rsidRDefault="00B028E4" w:rsidP="00CD184D">
            <w:pPr>
              <w:pStyle w:val="BodyText-nospacebelow"/>
              <w:spacing w:before="0" w:line="276" w:lineRule="auto"/>
              <w:ind w:left="0" w:right="0"/>
            </w:pPr>
            <w:r>
              <w:t>Gross misconduct – breaches of the councillor conduct principles and certain sections of the Local Government Act (Vic).</w:t>
            </w:r>
          </w:p>
        </w:tc>
      </w:tr>
      <w:tr w:rsidR="006A21E9" w:rsidRPr="001A6A72" w14:paraId="432C3868" w14:textId="77777777" w:rsidTr="00DA6DB9">
        <w:tc>
          <w:tcPr>
            <w:tcW w:w="3261" w:type="dxa"/>
            <w:tcMar>
              <w:top w:w="113" w:type="dxa"/>
            </w:tcMar>
          </w:tcPr>
          <w:p w14:paraId="048F8920" w14:textId="77777777" w:rsidR="006A21E9" w:rsidRPr="001A6A72" w:rsidRDefault="006A21E9" w:rsidP="001A6A72">
            <w:pPr>
              <w:pStyle w:val="BodyText-nospacebelow"/>
              <w:spacing w:before="0" w:line="276" w:lineRule="auto"/>
              <w:ind w:left="0" w:right="0"/>
            </w:pPr>
            <w:r w:rsidRPr="001A6A72">
              <w:lastRenderedPageBreak/>
              <w:t>Queensland</w:t>
            </w:r>
          </w:p>
        </w:tc>
        <w:tc>
          <w:tcPr>
            <w:tcW w:w="6237" w:type="dxa"/>
            <w:tcMar>
              <w:top w:w="113" w:type="dxa"/>
            </w:tcMar>
          </w:tcPr>
          <w:p w14:paraId="0A5C7ACD" w14:textId="77777777" w:rsidR="0042430D" w:rsidRDefault="0057504B" w:rsidP="00EC2FF4">
            <w:pPr>
              <w:pStyle w:val="BodyText-nospacebelow"/>
              <w:spacing w:before="0" w:after="120" w:line="276" w:lineRule="auto"/>
              <w:ind w:left="0" w:right="0"/>
            </w:pPr>
            <w:r>
              <w:t>The Local Government Act (Qld) sets out the conduct and performance of councillors. Councils are responsible for managing inappropriate behaviour (low level matters that are not misconduct)</w:t>
            </w:r>
            <w:r w:rsidR="007C41D7">
              <w:t>.</w:t>
            </w:r>
            <w:r w:rsidR="00760AAA">
              <w:t xml:space="preserve"> </w:t>
            </w:r>
          </w:p>
          <w:p w14:paraId="118C526A" w14:textId="18DFD2EE" w:rsidR="006A21E9" w:rsidRDefault="00760AAA" w:rsidP="00EC2FF4">
            <w:pPr>
              <w:pStyle w:val="BodyText-nospacebelow"/>
              <w:spacing w:before="0" w:after="120" w:line="276" w:lineRule="auto"/>
              <w:ind w:left="0" w:right="0"/>
            </w:pPr>
            <w:r>
              <w:t>M</w:t>
            </w:r>
            <w:r w:rsidR="0057504B">
              <w:t>atters of misconduct (</w:t>
            </w:r>
            <w:r w:rsidR="003E21E0">
              <w:t>defined in</w:t>
            </w:r>
            <w:r w:rsidR="0057504B">
              <w:t xml:space="preserve"> the Act) are referred to </w:t>
            </w:r>
            <w:r w:rsidR="003E21E0">
              <w:t xml:space="preserve">a </w:t>
            </w:r>
            <w:r w:rsidR="0057504B">
              <w:t>regional conduct review panel or the Tribunal.</w:t>
            </w:r>
          </w:p>
          <w:p w14:paraId="4F42726A" w14:textId="77777777" w:rsidR="00CF536B" w:rsidRPr="001A6A72" w:rsidRDefault="00CF536B" w:rsidP="001A6A72">
            <w:pPr>
              <w:pStyle w:val="BodyText-nospacebelow"/>
              <w:spacing w:before="0" w:line="276" w:lineRule="auto"/>
              <w:ind w:left="0" w:right="0"/>
            </w:pPr>
            <w:r>
              <w:t xml:space="preserve">A mandatory, uniform Code of Conduct </w:t>
            </w:r>
            <w:r w:rsidR="0057504B">
              <w:t>is proposed.</w:t>
            </w:r>
          </w:p>
        </w:tc>
      </w:tr>
      <w:tr w:rsidR="006A21E9" w:rsidRPr="001A6A72" w14:paraId="45CA168C" w14:textId="77777777" w:rsidTr="00DA6DB9">
        <w:trPr>
          <w:trHeight w:val="865"/>
        </w:trPr>
        <w:tc>
          <w:tcPr>
            <w:tcW w:w="3261" w:type="dxa"/>
            <w:tcBorders>
              <w:bottom w:val="single" w:sz="4" w:space="0" w:color="auto"/>
            </w:tcBorders>
            <w:tcMar>
              <w:top w:w="113" w:type="dxa"/>
            </w:tcMar>
          </w:tcPr>
          <w:p w14:paraId="788F4FAC" w14:textId="77777777" w:rsidR="006A21E9" w:rsidRPr="001A6A72" w:rsidRDefault="006A21E9" w:rsidP="001A6A72">
            <w:pPr>
              <w:pStyle w:val="BodyText-nospacebelow"/>
              <w:spacing w:before="0" w:line="276" w:lineRule="auto"/>
              <w:ind w:left="0" w:right="0"/>
            </w:pPr>
            <w:r w:rsidRPr="001A6A72">
              <w:t>South Australia</w:t>
            </w:r>
          </w:p>
        </w:tc>
        <w:tc>
          <w:tcPr>
            <w:tcW w:w="6237" w:type="dxa"/>
            <w:tcBorders>
              <w:bottom w:val="single" w:sz="4" w:space="0" w:color="auto"/>
            </w:tcBorders>
            <w:tcMar>
              <w:top w:w="113" w:type="dxa"/>
            </w:tcMar>
          </w:tcPr>
          <w:p w14:paraId="2CF064B5" w14:textId="5CED23BC" w:rsidR="00FA791C" w:rsidRDefault="006A21E9" w:rsidP="00EC2FF4">
            <w:pPr>
              <w:pStyle w:val="BodyText-nospacebelow"/>
              <w:spacing w:before="0" w:after="120" w:line="276" w:lineRule="auto"/>
              <w:ind w:left="0" w:right="0"/>
            </w:pPr>
            <w:r>
              <w:t xml:space="preserve">Code of Conduct for Council Members is published in the </w:t>
            </w:r>
            <w:r w:rsidRPr="006A21E9">
              <w:rPr>
                <w:i/>
              </w:rPr>
              <w:t>Gazette</w:t>
            </w:r>
            <w:r>
              <w:t xml:space="preserve">. The Code applies to all </w:t>
            </w:r>
            <w:r w:rsidR="00246B9A">
              <w:t>elected member</w:t>
            </w:r>
            <w:r>
              <w:t>s</w:t>
            </w:r>
            <w:r w:rsidR="00FA791C">
              <w:t>.</w:t>
            </w:r>
          </w:p>
          <w:p w14:paraId="1D544AE6" w14:textId="179D209F" w:rsidR="00FA791C" w:rsidRPr="001A6A72" w:rsidRDefault="00FA791C" w:rsidP="00151400">
            <w:pPr>
              <w:pStyle w:val="BodyText-nospacebelow"/>
              <w:spacing w:before="0" w:line="276" w:lineRule="auto"/>
              <w:ind w:left="0" w:right="0"/>
            </w:pPr>
            <w:r>
              <w:t xml:space="preserve">The </w:t>
            </w:r>
            <w:r w:rsidR="005E79E1">
              <w:t>C</w:t>
            </w:r>
            <w:r>
              <w:t xml:space="preserve">ode addresses general principles </w:t>
            </w:r>
            <w:r w:rsidR="003E21E0">
              <w:t>with which</w:t>
            </w:r>
            <w:r>
              <w:t xml:space="preserve"> a</w:t>
            </w:r>
            <w:r w:rsidR="00C13752">
              <w:t>n</w:t>
            </w:r>
            <w:r>
              <w:t xml:space="preserve"> </w:t>
            </w:r>
            <w:r w:rsidR="00246B9A">
              <w:t>elected member</w:t>
            </w:r>
            <w:r>
              <w:t xml:space="preserve"> must comply and </w:t>
            </w:r>
            <w:r w:rsidR="005E79E1">
              <w:t>determines what is</w:t>
            </w:r>
            <w:r>
              <w:t xml:space="preserve"> misconduct</w:t>
            </w:r>
            <w:r w:rsidR="005E79E1">
              <w:t>.</w:t>
            </w:r>
          </w:p>
        </w:tc>
      </w:tr>
      <w:tr w:rsidR="006A21E9" w:rsidRPr="001A6A72" w14:paraId="764F804B" w14:textId="77777777" w:rsidTr="00DA6DB9">
        <w:tc>
          <w:tcPr>
            <w:tcW w:w="3261" w:type="dxa"/>
            <w:tcMar>
              <w:top w:w="113" w:type="dxa"/>
            </w:tcMar>
          </w:tcPr>
          <w:p w14:paraId="14520218" w14:textId="77777777" w:rsidR="006A21E9" w:rsidRPr="001A6A72" w:rsidRDefault="00133392" w:rsidP="001A6A72">
            <w:pPr>
              <w:pStyle w:val="BodyText-nospacebelow"/>
              <w:spacing w:before="0" w:line="276" w:lineRule="auto"/>
              <w:ind w:left="0" w:right="0"/>
            </w:pPr>
            <w:r>
              <w:t>Tasmania</w:t>
            </w:r>
          </w:p>
        </w:tc>
        <w:tc>
          <w:tcPr>
            <w:tcW w:w="6237" w:type="dxa"/>
            <w:tcBorders>
              <w:top w:val="nil"/>
            </w:tcBorders>
            <w:tcMar>
              <w:top w:w="113" w:type="dxa"/>
            </w:tcMar>
          </w:tcPr>
          <w:p w14:paraId="29271688" w14:textId="77777777" w:rsidR="009A6CF3" w:rsidRDefault="009A6CF3" w:rsidP="00EC2FF4">
            <w:pPr>
              <w:pStyle w:val="BodyText-nospacebelow"/>
              <w:spacing w:before="0" w:after="120" w:line="276" w:lineRule="auto"/>
              <w:ind w:left="0" w:right="0"/>
            </w:pPr>
            <w:r>
              <w:t xml:space="preserve">Model Code of Conduct </w:t>
            </w:r>
            <w:r w:rsidR="003E21E0">
              <w:t>sets out</w:t>
            </w:r>
            <w:r>
              <w:t xml:space="preserve"> the standard of behaviour for all Councillors. </w:t>
            </w:r>
          </w:p>
          <w:p w14:paraId="5B9821A4" w14:textId="77777777" w:rsidR="006A21E9" w:rsidRPr="001A6A72" w:rsidRDefault="009A6CF3" w:rsidP="001A6A72">
            <w:pPr>
              <w:pStyle w:val="BodyText-nospacebelow"/>
              <w:spacing w:before="0" w:line="276" w:lineRule="auto"/>
              <w:ind w:left="0" w:right="0"/>
            </w:pPr>
            <w:r>
              <w:t xml:space="preserve">The Model addresses a range of matters, including decision making, conflict of interest, use of office and use of resources. </w:t>
            </w:r>
          </w:p>
        </w:tc>
      </w:tr>
    </w:tbl>
    <w:p w14:paraId="5CA4BEEB" w14:textId="77777777" w:rsidR="00FE290E" w:rsidRDefault="00FE290E" w:rsidP="001A6A72">
      <w:pPr>
        <w:pStyle w:val="BodyText-nospacebelow"/>
      </w:pPr>
      <w:bookmarkStart w:id="341" w:name="_Toc493746713"/>
      <w:bookmarkStart w:id="342" w:name="_Toc493768845"/>
      <w:bookmarkStart w:id="343" w:name="_Toc493859915"/>
      <w:bookmarkStart w:id="344" w:name="_Toc495491815"/>
      <w:bookmarkStart w:id="345" w:name="_Toc495497595"/>
      <w:bookmarkStart w:id="346" w:name="_Toc495671443"/>
      <w:bookmarkStart w:id="347" w:name="_Toc495676041"/>
    </w:p>
    <w:bookmarkEnd w:id="341"/>
    <w:bookmarkEnd w:id="342"/>
    <w:bookmarkEnd w:id="343"/>
    <w:bookmarkEnd w:id="344"/>
    <w:bookmarkEnd w:id="345"/>
    <w:bookmarkEnd w:id="346"/>
    <w:bookmarkEnd w:id="347"/>
    <w:p w14:paraId="2E2022A4" w14:textId="269D682F" w:rsidR="001967BE" w:rsidRPr="001F7083" w:rsidRDefault="00AE43B7" w:rsidP="00C97225">
      <w:pPr>
        <w:pStyle w:val="BodyText-nospacebelow"/>
        <w:rPr>
          <w:rStyle w:val="Emphasis"/>
        </w:rPr>
      </w:pPr>
      <w:r w:rsidRPr="00C97225">
        <w:rPr>
          <w:rStyle w:val="Emphasis"/>
        </w:rPr>
        <w:t>Current situation</w:t>
      </w:r>
    </w:p>
    <w:p w14:paraId="21DDB895" w14:textId="35B14DB1" w:rsidR="001A6A72" w:rsidRPr="001A6A72" w:rsidRDefault="001A6A72" w:rsidP="00AC131F">
      <w:pPr>
        <w:pStyle w:val="BodyText-nospacebelow"/>
        <w:jc w:val="both"/>
      </w:pPr>
      <w:r w:rsidRPr="001A6A72">
        <w:t xml:space="preserve">The Rules of Conduct Regulations provide the general principles to guide the behaviour of </w:t>
      </w:r>
      <w:r w:rsidR="00246B9A">
        <w:t>elected member</w:t>
      </w:r>
      <w:r w:rsidRPr="001A6A72">
        <w:t>s, including that they should:</w:t>
      </w:r>
    </w:p>
    <w:p w14:paraId="51FEFF26" w14:textId="702E3AA1" w:rsidR="001A6A72" w:rsidRPr="001A6A72" w:rsidRDefault="001A6A72" w:rsidP="00AC131F">
      <w:pPr>
        <w:pStyle w:val="BodyText-nospacebelow"/>
        <w:numPr>
          <w:ilvl w:val="0"/>
          <w:numId w:val="25"/>
        </w:numPr>
        <w:jc w:val="both"/>
      </w:pPr>
      <w:r w:rsidRPr="001A6A72">
        <w:t>act wit</w:t>
      </w:r>
      <w:r w:rsidR="004D5CC7">
        <w:t>h reasonable care and diligence</w:t>
      </w:r>
    </w:p>
    <w:p w14:paraId="3E8F3889" w14:textId="6988339B" w:rsidR="001A6A72" w:rsidRPr="001A6A72" w:rsidRDefault="004D5CC7" w:rsidP="00AC131F">
      <w:pPr>
        <w:pStyle w:val="BodyText-nospacebelow"/>
        <w:numPr>
          <w:ilvl w:val="0"/>
          <w:numId w:val="25"/>
        </w:numPr>
        <w:jc w:val="both"/>
      </w:pPr>
      <w:r>
        <w:t>act with honesty and integrity</w:t>
      </w:r>
    </w:p>
    <w:p w14:paraId="1778B08C" w14:textId="52E9F73A" w:rsidR="001A6A72" w:rsidRPr="001A6A72" w:rsidRDefault="004D5CC7" w:rsidP="00AC131F">
      <w:pPr>
        <w:pStyle w:val="BodyText-nospacebelow"/>
        <w:numPr>
          <w:ilvl w:val="0"/>
          <w:numId w:val="25"/>
        </w:numPr>
        <w:jc w:val="both"/>
      </w:pPr>
      <w:r>
        <w:t>act lawfully, and</w:t>
      </w:r>
    </w:p>
    <w:p w14:paraId="0C1996FF" w14:textId="77777777" w:rsidR="001A6A72" w:rsidRDefault="001A6A72" w:rsidP="00AC131F">
      <w:pPr>
        <w:pStyle w:val="BodyText-nospacebelow"/>
        <w:numPr>
          <w:ilvl w:val="0"/>
          <w:numId w:val="25"/>
        </w:numPr>
        <w:jc w:val="both"/>
      </w:pPr>
      <w:r w:rsidRPr="001A6A72">
        <w:t>avoid damage to the reputation of the local government.</w:t>
      </w:r>
    </w:p>
    <w:p w14:paraId="4CC26796" w14:textId="77777777" w:rsidR="001967BE" w:rsidRPr="001A6A72" w:rsidRDefault="001967BE" w:rsidP="00AC131F">
      <w:pPr>
        <w:pStyle w:val="BodyText-nospacebelow"/>
        <w:ind w:left="720"/>
        <w:jc w:val="both"/>
      </w:pPr>
    </w:p>
    <w:p w14:paraId="590CD31C" w14:textId="6DFE565D" w:rsidR="00DB3A1A" w:rsidRDefault="001A6A72" w:rsidP="00AC131F">
      <w:pPr>
        <w:pStyle w:val="BodyText-nospacebelow"/>
        <w:jc w:val="both"/>
      </w:pPr>
      <w:r w:rsidRPr="001A6A72">
        <w:t xml:space="preserve">While it is not a rule that </w:t>
      </w:r>
      <w:r w:rsidR="00246B9A">
        <w:t>elected member</w:t>
      </w:r>
      <w:r w:rsidRPr="001A6A72">
        <w:t xml:space="preserve">s have to observe the principles set out in the </w:t>
      </w:r>
      <w:r w:rsidR="00EC2FF4">
        <w:t>r</w:t>
      </w:r>
      <w:r w:rsidRPr="001A6A72">
        <w:t xml:space="preserve">egulations, there are a number of rules </w:t>
      </w:r>
      <w:r w:rsidR="00BB33A9">
        <w:t>where non-compliance</w:t>
      </w:r>
      <w:r w:rsidRPr="001A6A72">
        <w:t xml:space="preserve"> constitute</w:t>
      </w:r>
      <w:r w:rsidR="00BB33A9">
        <w:t>s</w:t>
      </w:r>
      <w:r w:rsidRPr="001A6A72">
        <w:t xml:space="preserve"> a minor breach. </w:t>
      </w:r>
      <w:r w:rsidR="00BB33A9">
        <w:t xml:space="preserve"> A</w:t>
      </w:r>
      <w:r w:rsidRPr="001A6A72">
        <w:t>lleged breach</w:t>
      </w:r>
      <w:r w:rsidR="00BB33A9">
        <w:t>es</w:t>
      </w:r>
      <w:r w:rsidRPr="001A6A72">
        <w:t xml:space="preserve"> </w:t>
      </w:r>
      <w:r w:rsidR="00BB33A9">
        <w:t>are considered</w:t>
      </w:r>
      <w:r w:rsidRPr="001A6A72">
        <w:t xml:space="preserve"> by the Standards Panel.</w:t>
      </w:r>
    </w:p>
    <w:p w14:paraId="5C0BCF68" w14:textId="77777777" w:rsidR="00DB3A1A" w:rsidRDefault="00DB3A1A" w:rsidP="00AC131F">
      <w:pPr>
        <w:pStyle w:val="BodyText-nospacebelow"/>
        <w:jc w:val="both"/>
      </w:pPr>
    </w:p>
    <w:p w14:paraId="4C20BABF" w14:textId="77777777" w:rsidR="001A6A72" w:rsidRPr="001A6A72" w:rsidRDefault="001A6A72" w:rsidP="00AC131F">
      <w:pPr>
        <w:pStyle w:val="BodyText-nospacebelow"/>
        <w:jc w:val="both"/>
      </w:pPr>
      <w:r w:rsidRPr="001A6A72">
        <w:lastRenderedPageBreak/>
        <w:t>The Rules of Conduct prescribe the following behaviour as a minor breach:</w:t>
      </w:r>
    </w:p>
    <w:p w14:paraId="7A1F9260" w14:textId="77777777" w:rsidR="00DA6DB9" w:rsidRDefault="00DA6DB9" w:rsidP="00AC131F">
      <w:pPr>
        <w:pStyle w:val="BodyText-nospacebelow"/>
        <w:jc w:val="both"/>
        <w:rPr>
          <w:rStyle w:val="Emphasis"/>
        </w:rPr>
      </w:pPr>
    </w:p>
    <w:p w14:paraId="57B5CF82" w14:textId="77777777" w:rsidR="001A6A72" w:rsidRPr="001967BE" w:rsidRDefault="001A6A72" w:rsidP="00AC131F">
      <w:pPr>
        <w:pStyle w:val="BodyText-nospacebelow"/>
        <w:jc w:val="both"/>
        <w:rPr>
          <w:rStyle w:val="Emphasis"/>
        </w:rPr>
      </w:pPr>
      <w:r w:rsidRPr="001967BE">
        <w:rPr>
          <w:rStyle w:val="Emphasis"/>
        </w:rPr>
        <w:t>Disclosing information</w:t>
      </w:r>
    </w:p>
    <w:p w14:paraId="74E681FE" w14:textId="4E6C0E6A" w:rsidR="001A6A72" w:rsidRDefault="001A6A72" w:rsidP="00AC131F">
      <w:pPr>
        <w:pStyle w:val="BodyText-nospacebelow"/>
        <w:jc w:val="both"/>
      </w:pPr>
      <w:r w:rsidRPr="001A6A72">
        <w:t xml:space="preserve">Regulation 6 </w:t>
      </w:r>
      <w:r w:rsidR="00EC2FF4">
        <w:t>states</w:t>
      </w:r>
      <w:r w:rsidRPr="001A6A72">
        <w:t xml:space="preserve"> that a</w:t>
      </w:r>
      <w:r w:rsidR="00246B9A">
        <w:t>n</w:t>
      </w:r>
      <w:r w:rsidRPr="001A6A72">
        <w:t xml:space="preserve"> </w:t>
      </w:r>
      <w:r w:rsidR="00246B9A">
        <w:t>elected member</w:t>
      </w:r>
      <w:r w:rsidRPr="001A6A72">
        <w:t xml:space="preserve"> must not disclose information that a</w:t>
      </w:r>
      <w:r w:rsidR="00246B9A">
        <w:t>n</w:t>
      </w:r>
      <w:r w:rsidRPr="001A6A72">
        <w:t xml:space="preserve"> </w:t>
      </w:r>
      <w:r w:rsidR="00246B9A">
        <w:t>elected member</w:t>
      </w:r>
      <w:r w:rsidRPr="001A6A72">
        <w:t xml:space="preserve"> derived from a confidential document or acquired from a closed meeting (unless the information was from a non-confidential document).</w:t>
      </w:r>
    </w:p>
    <w:p w14:paraId="4A15F053" w14:textId="77777777" w:rsidR="004D5CC7" w:rsidRPr="001A6A72" w:rsidRDefault="004D5CC7" w:rsidP="00AC131F">
      <w:pPr>
        <w:pStyle w:val="BodyText-nospacebelow"/>
        <w:jc w:val="both"/>
      </w:pPr>
    </w:p>
    <w:p w14:paraId="46B16E27" w14:textId="30F5E141" w:rsidR="001A6A72" w:rsidRDefault="001A6A72" w:rsidP="00AC131F">
      <w:pPr>
        <w:pStyle w:val="BodyText-nospacebelow"/>
        <w:jc w:val="both"/>
      </w:pPr>
      <w:r w:rsidRPr="001A6A72">
        <w:t xml:space="preserve">There are a number of exceptions, including if the information is already in the public domain or </w:t>
      </w:r>
      <w:r w:rsidR="007825A3">
        <w:t xml:space="preserve">provided </w:t>
      </w:r>
      <w:r w:rsidRPr="001A6A72">
        <w:t xml:space="preserve">to an officer of the </w:t>
      </w:r>
      <w:r w:rsidR="007817C6">
        <w:t>Department</w:t>
      </w:r>
      <w:r w:rsidRPr="001A6A72">
        <w:t>, the Minister or a legal practitioner for the purpose of obtaining legal advice.</w:t>
      </w:r>
    </w:p>
    <w:p w14:paraId="1FDBAB62" w14:textId="77777777" w:rsidR="001967BE" w:rsidRPr="001A6A72" w:rsidRDefault="001967BE" w:rsidP="00AC131F">
      <w:pPr>
        <w:pStyle w:val="BodyText-nospacebelow"/>
        <w:jc w:val="both"/>
      </w:pPr>
    </w:p>
    <w:p w14:paraId="494A8094" w14:textId="77777777" w:rsidR="001A6A72" w:rsidRPr="001967BE" w:rsidRDefault="001A6A72" w:rsidP="00AC131F">
      <w:pPr>
        <w:pStyle w:val="BodyText-nospacebelow"/>
        <w:jc w:val="both"/>
        <w:rPr>
          <w:rStyle w:val="Emphasis"/>
        </w:rPr>
      </w:pPr>
      <w:r w:rsidRPr="001967BE">
        <w:rPr>
          <w:rStyle w:val="Emphasis"/>
        </w:rPr>
        <w:t>Securing personal advantage or disadvantaging others</w:t>
      </w:r>
    </w:p>
    <w:p w14:paraId="4A338D86" w14:textId="38145A96" w:rsidR="001A6A72" w:rsidRDefault="001A6A72" w:rsidP="00AC131F">
      <w:pPr>
        <w:pStyle w:val="BodyText-nospacebelow"/>
        <w:jc w:val="both"/>
      </w:pPr>
      <w:r w:rsidRPr="001A6A72">
        <w:t xml:space="preserve">Regulation 7 </w:t>
      </w:r>
      <w:r w:rsidR="00EC2FF4">
        <w:t>states</w:t>
      </w:r>
      <w:r w:rsidRPr="001A6A72">
        <w:t xml:space="preserve"> that a</w:t>
      </w:r>
      <w:r w:rsidR="00246B9A">
        <w:t>n</w:t>
      </w:r>
      <w:r w:rsidRPr="001A6A72">
        <w:t xml:space="preserve"> </w:t>
      </w:r>
      <w:r w:rsidR="00246B9A">
        <w:t>elected member</w:t>
      </w:r>
      <w:r w:rsidRPr="001A6A72">
        <w:t xml:space="preserve"> must not make improper use of the person’s office to gain advantage for the person or to cause detriment to the local government or any other person.</w:t>
      </w:r>
    </w:p>
    <w:p w14:paraId="36C92CC4" w14:textId="77777777" w:rsidR="001967BE" w:rsidRPr="001A6A72" w:rsidRDefault="001967BE" w:rsidP="00AC131F">
      <w:pPr>
        <w:pStyle w:val="BodyText-nospacebelow"/>
        <w:jc w:val="both"/>
      </w:pPr>
    </w:p>
    <w:p w14:paraId="1A90517A" w14:textId="77777777" w:rsidR="00DA6DB9" w:rsidRDefault="00DA6DB9" w:rsidP="00AC131F">
      <w:pPr>
        <w:pStyle w:val="BodyText-nospacebelow"/>
        <w:jc w:val="both"/>
        <w:rPr>
          <w:rStyle w:val="Emphasis"/>
        </w:rPr>
      </w:pPr>
    </w:p>
    <w:p w14:paraId="5EC721EF" w14:textId="77777777" w:rsidR="001A6A72" w:rsidRPr="001967BE" w:rsidRDefault="001A6A72" w:rsidP="00AC131F">
      <w:pPr>
        <w:pStyle w:val="BodyText-nospacebelow"/>
        <w:jc w:val="both"/>
        <w:rPr>
          <w:rStyle w:val="Emphasis"/>
        </w:rPr>
      </w:pPr>
      <w:r w:rsidRPr="001967BE">
        <w:rPr>
          <w:rStyle w:val="Emphasis"/>
        </w:rPr>
        <w:t>Misuse of local government resources</w:t>
      </w:r>
    </w:p>
    <w:p w14:paraId="186DB9A6" w14:textId="4F6A15B6" w:rsidR="001A6A72" w:rsidRDefault="001A6A72" w:rsidP="00AC131F">
      <w:pPr>
        <w:pStyle w:val="BodyText-nospacebelow"/>
        <w:jc w:val="both"/>
      </w:pPr>
      <w:r w:rsidRPr="001A6A72">
        <w:t>Regulation 8 prohibits a</w:t>
      </w:r>
      <w:r w:rsidR="00246B9A">
        <w:t>n</w:t>
      </w:r>
      <w:r w:rsidRPr="001A6A72">
        <w:t xml:space="preserve"> </w:t>
      </w:r>
      <w:r w:rsidR="00246B9A">
        <w:t>elected member</w:t>
      </w:r>
      <w:r w:rsidRPr="001A6A72">
        <w:t xml:space="preserve"> from using the resources of a local government to persuade electors to vote in a particular way or for any other purpose unless authorised by council or the CEO.</w:t>
      </w:r>
    </w:p>
    <w:p w14:paraId="4477D764" w14:textId="77777777" w:rsidR="001967BE" w:rsidRPr="001A6A72" w:rsidRDefault="001967BE" w:rsidP="00AC131F">
      <w:pPr>
        <w:pStyle w:val="BodyText-nospacebelow"/>
        <w:jc w:val="both"/>
        <w:rPr>
          <w:b/>
        </w:rPr>
      </w:pPr>
    </w:p>
    <w:p w14:paraId="448EF91C" w14:textId="77777777" w:rsidR="001A6A72" w:rsidRPr="001967BE" w:rsidRDefault="001A6A72" w:rsidP="00AC131F">
      <w:pPr>
        <w:pStyle w:val="BodyText-nospacebelow"/>
        <w:jc w:val="both"/>
        <w:rPr>
          <w:rStyle w:val="Emphasis"/>
        </w:rPr>
      </w:pPr>
      <w:r w:rsidRPr="001967BE">
        <w:rPr>
          <w:rStyle w:val="Emphasis"/>
        </w:rPr>
        <w:t>Involvement in administration</w:t>
      </w:r>
    </w:p>
    <w:p w14:paraId="3BF78296" w14:textId="684B7E8B" w:rsidR="001A6A72" w:rsidRDefault="001A6A72" w:rsidP="00AC131F">
      <w:pPr>
        <w:pStyle w:val="BodyText-nospacebelow"/>
        <w:jc w:val="both"/>
      </w:pPr>
      <w:r w:rsidRPr="001A6A72">
        <w:t>Regulation 9 prohibits a</w:t>
      </w:r>
      <w:r w:rsidR="00246B9A">
        <w:t>n</w:t>
      </w:r>
      <w:r w:rsidRPr="001A6A72">
        <w:t xml:space="preserve"> </w:t>
      </w:r>
      <w:r w:rsidR="00246B9A">
        <w:t>elected member</w:t>
      </w:r>
      <w:r w:rsidRPr="001A6A72">
        <w:t xml:space="preserve"> from undertaking a task that contributes to the administration of the local government unless authorisation is granted by the council or CEO. </w:t>
      </w:r>
    </w:p>
    <w:p w14:paraId="21597F0C" w14:textId="77777777" w:rsidR="001967BE" w:rsidRPr="001A6A72" w:rsidRDefault="001967BE" w:rsidP="00AC131F">
      <w:pPr>
        <w:pStyle w:val="BodyText-nospacebelow"/>
        <w:jc w:val="both"/>
        <w:rPr>
          <w:b/>
        </w:rPr>
      </w:pPr>
    </w:p>
    <w:p w14:paraId="016BBEF0" w14:textId="77777777" w:rsidR="001A6A72" w:rsidRPr="001967BE" w:rsidRDefault="001A6A72" w:rsidP="00AC131F">
      <w:pPr>
        <w:pStyle w:val="BodyText-nospacebelow"/>
        <w:jc w:val="both"/>
        <w:rPr>
          <w:rStyle w:val="Emphasis"/>
        </w:rPr>
      </w:pPr>
      <w:r w:rsidRPr="001967BE">
        <w:rPr>
          <w:rStyle w:val="Emphasis"/>
        </w:rPr>
        <w:t>Relations with local government employees</w:t>
      </w:r>
    </w:p>
    <w:p w14:paraId="1D88ACEB" w14:textId="438FA6EF" w:rsidR="001A6A72" w:rsidRDefault="001A6A72" w:rsidP="00AC131F">
      <w:pPr>
        <w:pStyle w:val="BodyText-nospacebelow"/>
        <w:jc w:val="both"/>
      </w:pPr>
      <w:r w:rsidRPr="001A6A72">
        <w:t>Regulation 10 provides that a</w:t>
      </w:r>
      <w:r w:rsidR="00246B9A">
        <w:t>n</w:t>
      </w:r>
      <w:r w:rsidRPr="001A6A72">
        <w:t xml:space="preserve"> </w:t>
      </w:r>
      <w:r w:rsidR="00246B9A">
        <w:t>elected member</w:t>
      </w:r>
      <w:r w:rsidRPr="001A6A72">
        <w:t xml:space="preserve"> is not to direct, attempt to direct or attempt to influence a person who is a local government employee. </w:t>
      </w:r>
    </w:p>
    <w:p w14:paraId="1F5E81E6" w14:textId="77777777" w:rsidR="001967BE" w:rsidRPr="001A6A72" w:rsidRDefault="001967BE" w:rsidP="00AC131F">
      <w:pPr>
        <w:pStyle w:val="BodyText-nospacebelow"/>
        <w:jc w:val="both"/>
      </w:pPr>
    </w:p>
    <w:p w14:paraId="07AA2153" w14:textId="63CF4D68" w:rsidR="001A6A72" w:rsidRDefault="001A6A72" w:rsidP="00AC131F">
      <w:pPr>
        <w:pStyle w:val="BodyText-nospacebelow"/>
        <w:jc w:val="both"/>
      </w:pPr>
      <w:r w:rsidRPr="001A6A72">
        <w:t>It also prohibits a</w:t>
      </w:r>
      <w:r w:rsidR="00246B9A">
        <w:t>n</w:t>
      </w:r>
      <w:r w:rsidRPr="001A6A72">
        <w:t xml:space="preserve"> </w:t>
      </w:r>
      <w:r w:rsidR="00246B9A">
        <w:t>elected member</w:t>
      </w:r>
      <w:r w:rsidRPr="001A6A72">
        <w:t xml:space="preserve"> attending a council meeting, committee meeting or other event where members of the public are present</w:t>
      </w:r>
      <w:r w:rsidR="007825A3">
        <w:t>,</w:t>
      </w:r>
      <w:r w:rsidRPr="001A6A72">
        <w:t xml:space="preserve"> from making statements that a local government employee is incomp</w:t>
      </w:r>
      <w:r w:rsidR="00EC2FF4">
        <w:t>etent or</w:t>
      </w:r>
      <w:r w:rsidRPr="001A6A72">
        <w:t xml:space="preserve"> dishonest, or from using offensive or objectionable expressions about a local government employee.</w:t>
      </w:r>
    </w:p>
    <w:p w14:paraId="24CD10EF" w14:textId="77777777" w:rsidR="001967BE" w:rsidRPr="001A6A72" w:rsidRDefault="001967BE" w:rsidP="00AC131F">
      <w:pPr>
        <w:pStyle w:val="BodyText-nospacebelow"/>
        <w:jc w:val="both"/>
        <w:rPr>
          <w:b/>
        </w:rPr>
      </w:pPr>
    </w:p>
    <w:p w14:paraId="6A0F5D40" w14:textId="77777777" w:rsidR="001A6A72" w:rsidRPr="001967BE" w:rsidRDefault="001A6A72" w:rsidP="00AC131F">
      <w:pPr>
        <w:pStyle w:val="BodyText-nospacebelow"/>
        <w:jc w:val="both"/>
        <w:rPr>
          <w:rStyle w:val="Emphasis"/>
        </w:rPr>
      </w:pPr>
      <w:r w:rsidRPr="001967BE">
        <w:rPr>
          <w:rStyle w:val="Emphasis"/>
        </w:rPr>
        <w:t>Disclosure of interest</w:t>
      </w:r>
    </w:p>
    <w:p w14:paraId="6A796030" w14:textId="5C7FD619" w:rsidR="001A6A72" w:rsidRDefault="001A6A72" w:rsidP="00AC131F">
      <w:pPr>
        <w:pStyle w:val="BodyText-nospacebelow"/>
        <w:jc w:val="both"/>
      </w:pPr>
      <w:r w:rsidRPr="001A6A72">
        <w:lastRenderedPageBreak/>
        <w:t>Regulation 11 defines an interest as ‘</w:t>
      </w:r>
      <w:r w:rsidRPr="001A6A72">
        <w:rPr>
          <w:i/>
        </w:rPr>
        <w:t>an interest that could, or could reasonably be perceived to, adversely affect the impartiality of the person having the interest and includes an interest arising from kinship, friendship or membership of an association</w:t>
      </w:r>
      <w:r w:rsidRPr="001A6A72">
        <w:t>’.</w:t>
      </w:r>
    </w:p>
    <w:p w14:paraId="4D6C043A" w14:textId="77777777" w:rsidR="001967BE" w:rsidRPr="001A6A72" w:rsidRDefault="001967BE" w:rsidP="00AC131F">
      <w:pPr>
        <w:pStyle w:val="BodyText-nospacebelow"/>
        <w:jc w:val="both"/>
      </w:pPr>
    </w:p>
    <w:p w14:paraId="43EB0966" w14:textId="77777777" w:rsidR="001A6A72" w:rsidRDefault="001A6A72" w:rsidP="00AC131F">
      <w:pPr>
        <w:pStyle w:val="BodyText-nospacebelow"/>
        <w:jc w:val="both"/>
      </w:pPr>
      <w:r w:rsidRPr="001A6A72">
        <w:t>In accordance with the regulations, a person who has an interest in any matter that is to be discussed at a council or committee meeting is required to disclose the interest both in writing to the CEO and at the meeting before the matter is discussed.</w:t>
      </w:r>
    </w:p>
    <w:p w14:paraId="2AD47036" w14:textId="77777777" w:rsidR="001967BE" w:rsidRPr="001A6A72" w:rsidRDefault="001967BE" w:rsidP="00AC131F">
      <w:pPr>
        <w:pStyle w:val="BodyText-nospacebelow"/>
        <w:jc w:val="both"/>
      </w:pPr>
    </w:p>
    <w:p w14:paraId="32E19F82" w14:textId="77777777" w:rsidR="001A6A72" w:rsidRDefault="001A6A72" w:rsidP="00AC131F">
      <w:pPr>
        <w:pStyle w:val="BodyText-nospacebelow"/>
        <w:jc w:val="both"/>
      </w:pPr>
      <w:r w:rsidRPr="001A6A72">
        <w:t xml:space="preserve">Interests referred to in the Rules of Conduct Regulations differ from financial and proximity interests defined under the Act. </w:t>
      </w:r>
      <w:r w:rsidR="00EC2FF4">
        <w:t xml:space="preserve"> </w:t>
      </w:r>
      <w:r w:rsidRPr="001A6A72">
        <w:t>An interest in accordance with the Rules of Conduct Regulations do</w:t>
      </w:r>
      <w:r w:rsidR="00EC2FF4">
        <w:t>es</w:t>
      </w:r>
      <w:r w:rsidRPr="001A6A72">
        <w:t xml:space="preserve"> not preclude a member from participating in the matter to be discussed. Rather the interest needs to be noted </w:t>
      </w:r>
      <w:r w:rsidR="00EC2FF4">
        <w:t>at</w:t>
      </w:r>
      <w:r w:rsidRPr="001A6A72">
        <w:t xml:space="preserve"> the meeting and recorded in the minutes. It is a minor breach if an interest is not disclosed.</w:t>
      </w:r>
    </w:p>
    <w:p w14:paraId="14B11A8B" w14:textId="77777777" w:rsidR="001967BE" w:rsidRPr="001A6A72" w:rsidRDefault="001967BE" w:rsidP="00AC131F">
      <w:pPr>
        <w:pStyle w:val="BodyText-nospacebelow"/>
        <w:jc w:val="both"/>
        <w:rPr>
          <w:b/>
        </w:rPr>
      </w:pPr>
    </w:p>
    <w:p w14:paraId="2169B044" w14:textId="203EC4EB" w:rsidR="001A6A72" w:rsidRPr="001A6A72" w:rsidRDefault="001A6A72" w:rsidP="00AC131F">
      <w:pPr>
        <w:pStyle w:val="Heading3"/>
        <w:jc w:val="both"/>
      </w:pPr>
      <w:bookmarkStart w:id="348" w:name="_Toc493746714"/>
      <w:bookmarkStart w:id="349" w:name="_Toc493768846"/>
      <w:bookmarkStart w:id="350" w:name="_Toc493859916"/>
      <w:bookmarkStart w:id="351" w:name="_Toc495491816"/>
      <w:bookmarkStart w:id="352" w:name="_Toc495497596"/>
      <w:bookmarkStart w:id="353" w:name="_Toc495671444"/>
      <w:bookmarkStart w:id="354" w:name="_Toc495676042"/>
      <w:bookmarkStart w:id="355" w:name="_Toc495678336"/>
      <w:bookmarkStart w:id="356" w:name="_Toc495998334"/>
      <w:bookmarkStart w:id="357" w:name="_Toc497741804"/>
      <w:r w:rsidRPr="001A6A72">
        <w:t xml:space="preserve">Option </w:t>
      </w:r>
      <w:r w:rsidR="00AE43B7">
        <w:t>1</w:t>
      </w:r>
      <w:r w:rsidRPr="001A6A72">
        <w:t xml:space="preserve">: </w:t>
      </w:r>
      <w:r w:rsidR="00E658FC">
        <w:t>Streamlined</w:t>
      </w:r>
      <w:r w:rsidRPr="001A6A72">
        <w:t xml:space="preserve"> Rules of Conduct</w:t>
      </w:r>
      <w:bookmarkEnd w:id="348"/>
      <w:bookmarkEnd w:id="349"/>
      <w:bookmarkEnd w:id="350"/>
      <w:bookmarkEnd w:id="351"/>
      <w:bookmarkEnd w:id="352"/>
      <w:bookmarkEnd w:id="353"/>
      <w:bookmarkEnd w:id="354"/>
      <w:bookmarkEnd w:id="355"/>
      <w:bookmarkEnd w:id="356"/>
      <w:bookmarkEnd w:id="357"/>
    </w:p>
    <w:p w14:paraId="6E9BDE84" w14:textId="2D983465" w:rsidR="005E160D" w:rsidRDefault="001A6A72" w:rsidP="00AC131F">
      <w:pPr>
        <w:pStyle w:val="BodyText-nospacebelow"/>
        <w:jc w:val="both"/>
      </w:pPr>
      <w:r w:rsidRPr="001A6A72">
        <w:t>Option</w:t>
      </w:r>
      <w:r w:rsidRPr="001A6A72" w:rsidDel="00AE43B7">
        <w:t xml:space="preserve"> </w:t>
      </w:r>
      <w:r w:rsidR="00AE43B7">
        <w:t>1</w:t>
      </w:r>
      <w:r w:rsidR="00AE43B7" w:rsidRPr="001A6A72">
        <w:t xml:space="preserve"> </w:t>
      </w:r>
      <w:r w:rsidRPr="001A6A72">
        <w:t xml:space="preserve">proposes that the Rules of Conduct are </w:t>
      </w:r>
      <w:r w:rsidR="00A572DA">
        <w:t>streamlined</w:t>
      </w:r>
      <w:r w:rsidRPr="001A6A72">
        <w:t xml:space="preserve"> and more emphasis is placed on conduct that is likely to</w:t>
      </w:r>
      <w:r w:rsidR="005E160D">
        <w:t>:</w:t>
      </w:r>
    </w:p>
    <w:p w14:paraId="6CB46889" w14:textId="0FF7CF45" w:rsidR="005E160D" w:rsidRDefault="001A6A72" w:rsidP="00AC131F">
      <w:pPr>
        <w:pStyle w:val="BodyText-nospacebelow"/>
        <w:numPr>
          <w:ilvl w:val="0"/>
          <w:numId w:val="96"/>
        </w:numPr>
        <w:jc w:val="both"/>
      </w:pPr>
      <w:r w:rsidRPr="001A6A72">
        <w:t>be a detriment to the local government</w:t>
      </w:r>
      <w:r w:rsidR="003D717F">
        <w:t>,</w:t>
      </w:r>
      <w:r w:rsidRPr="001A6A72">
        <w:t xml:space="preserve"> </w:t>
      </w:r>
    </w:p>
    <w:p w14:paraId="601B2FE7" w14:textId="29C55A84" w:rsidR="005E160D" w:rsidRDefault="001A6A72" w:rsidP="00AC131F">
      <w:pPr>
        <w:pStyle w:val="BodyText-nospacebelow"/>
        <w:numPr>
          <w:ilvl w:val="0"/>
          <w:numId w:val="96"/>
        </w:numPr>
        <w:jc w:val="both"/>
      </w:pPr>
      <w:r w:rsidRPr="001A6A72">
        <w:t>result in council dysfunction</w:t>
      </w:r>
      <w:r w:rsidR="003D717F">
        <w:t>,</w:t>
      </w:r>
      <w:r w:rsidRPr="001A6A72">
        <w:t xml:space="preserve"> or </w:t>
      </w:r>
    </w:p>
    <w:p w14:paraId="0E098C8F" w14:textId="77777777" w:rsidR="001A6A72" w:rsidRDefault="001A6A72" w:rsidP="00AC131F">
      <w:pPr>
        <w:pStyle w:val="BodyText-nospacebelow"/>
        <w:numPr>
          <w:ilvl w:val="0"/>
          <w:numId w:val="96"/>
        </w:numPr>
        <w:jc w:val="both"/>
      </w:pPr>
      <w:r w:rsidRPr="001A6A72">
        <w:t xml:space="preserve">impair public confidence in decision making. </w:t>
      </w:r>
    </w:p>
    <w:p w14:paraId="1F62030C" w14:textId="77777777" w:rsidR="001967BE" w:rsidRPr="001A6A72" w:rsidRDefault="001967BE" w:rsidP="00AC131F">
      <w:pPr>
        <w:pStyle w:val="BodyText-nospacebelow"/>
        <w:jc w:val="both"/>
      </w:pPr>
    </w:p>
    <w:p w14:paraId="0E1BA693" w14:textId="77777777" w:rsidR="001D5328" w:rsidRDefault="00656675" w:rsidP="00AC131F">
      <w:pPr>
        <w:pStyle w:val="BodyText-nospacebelow"/>
        <w:jc w:val="both"/>
      </w:pPr>
      <w:r>
        <w:t>T</w:t>
      </w:r>
      <w:r w:rsidR="001A6A72" w:rsidRPr="001A6A72">
        <w:t xml:space="preserve">his option proposes to minimise the </w:t>
      </w:r>
      <w:r w:rsidR="00A572DA">
        <w:t>r</w:t>
      </w:r>
      <w:r w:rsidR="001A6A72" w:rsidRPr="001A6A72">
        <w:t>ules that constitute a minor breach</w:t>
      </w:r>
      <w:r w:rsidR="001D5328">
        <w:t xml:space="preserve"> and which are dealt with externally</w:t>
      </w:r>
      <w:r>
        <w:t xml:space="preserve">. </w:t>
      </w:r>
      <w:r w:rsidR="001A6A72" w:rsidRPr="001A6A72">
        <w:t xml:space="preserve"> </w:t>
      </w:r>
      <w:r w:rsidRPr="001A6A72">
        <w:t>I</w:t>
      </w:r>
      <w:r w:rsidR="001A6A72" w:rsidRPr="001A6A72">
        <w:t>t</w:t>
      </w:r>
      <w:r>
        <w:t xml:space="preserve"> </w:t>
      </w:r>
      <w:r w:rsidR="001A6A72" w:rsidRPr="001A6A72">
        <w:t>is intended that those</w:t>
      </w:r>
      <w:r w:rsidR="000D01E4">
        <w:t xml:space="preserve"> which are</w:t>
      </w:r>
      <w:r w:rsidR="001A6A72" w:rsidRPr="001A6A72">
        <w:t xml:space="preserve"> removed will be captured under the loca</w:t>
      </w:r>
      <w:r w:rsidR="001D5328">
        <w:t>l government’s Code of Conduct and will be dealt with locally.  This reinforces the principle of autonomy.</w:t>
      </w:r>
    </w:p>
    <w:p w14:paraId="55D20641" w14:textId="77777777" w:rsidR="001D5328" w:rsidRDefault="001D5328" w:rsidP="00AC131F">
      <w:pPr>
        <w:pStyle w:val="BodyText-nospacebelow"/>
        <w:jc w:val="both"/>
      </w:pPr>
    </w:p>
    <w:p w14:paraId="7546D5EF" w14:textId="77777777" w:rsidR="001A6A72" w:rsidRPr="001A6A72" w:rsidRDefault="001A6A72" w:rsidP="00AC131F">
      <w:pPr>
        <w:pStyle w:val="BodyText-nospacebelow"/>
        <w:jc w:val="both"/>
      </w:pPr>
      <w:r w:rsidRPr="001A6A72">
        <w:t xml:space="preserve">The </w:t>
      </w:r>
      <w:r w:rsidR="00A572DA">
        <w:t>streamlined</w:t>
      </w:r>
      <w:r w:rsidRPr="001A6A72">
        <w:t xml:space="preserve"> </w:t>
      </w:r>
      <w:r w:rsidR="00A572DA">
        <w:t>r</w:t>
      </w:r>
      <w:r w:rsidRPr="001A6A72">
        <w:t>ules will focus on:</w:t>
      </w:r>
    </w:p>
    <w:p w14:paraId="398A285D" w14:textId="36CD2D0F" w:rsidR="001A6A72" w:rsidRPr="001A6A72" w:rsidRDefault="001D5328" w:rsidP="00AC131F">
      <w:pPr>
        <w:pStyle w:val="BodyText-nospacebelow"/>
        <w:numPr>
          <w:ilvl w:val="0"/>
          <w:numId w:val="26"/>
        </w:numPr>
        <w:jc w:val="both"/>
      </w:pPr>
      <w:r>
        <w:t>m</w:t>
      </w:r>
      <w:r w:rsidR="001A6A72" w:rsidRPr="001A6A72">
        <w:t>isuse of information</w:t>
      </w:r>
      <w:r>
        <w:t>,</w:t>
      </w:r>
    </w:p>
    <w:p w14:paraId="043B390D" w14:textId="071129E0" w:rsidR="001A6A72" w:rsidRPr="001A6A72" w:rsidRDefault="001D5328" w:rsidP="00AC131F">
      <w:pPr>
        <w:pStyle w:val="BodyText-nospacebelow"/>
        <w:numPr>
          <w:ilvl w:val="0"/>
          <w:numId w:val="26"/>
        </w:numPr>
        <w:jc w:val="both"/>
      </w:pPr>
      <w:r>
        <w:t>d</w:t>
      </w:r>
      <w:r w:rsidR="001A6A72" w:rsidRPr="001A6A72">
        <w:t>isclosure of interest</w:t>
      </w:r>
      <w:r>
        <w:t>,</w:t>
      </w:r>
      <w:r w:rsidR="005E160D">
        <w:t xml:space="preserve"> and</w:t>
      </w:r>
    </w:p>
    <w:p w14:paraId="6F086337" w14:textId="77777777" w:rsidR="001A6A72" w:rsidRDefault="001D5328" w:rsidP="00AC131F">
      <w:pPr>
        <w:pStyle w:val="BodyText-nospacebelow"/>
        <w:numPr>
          <w:ilvl w:val="0"/>
          <w:numId w:val="26"/>
        </w:numPr>
        <w:jc w:val="both"/>
      </w:pPr>
      <w:r>
        <w:t>s</w:t>
      </w:r>
      <w:r w:rsidR="001A6A72" w:rsidRPr="001A6A72">
        <w:t>ecuring personal advantage or disadvantaging others</w:t>
      </w:r>
      <w:r w:rsidR="00A572DA">
        <w:t>.</w:t>
      </w:r>
    </w:p>
    <w:p w14:paraId="2FD3175D" w14:textId="77777777" w:rsidR="001967BE" w:rsidRPr="001A6A72" w:rsidRDefault="001967BE" w:rsidP="00AC131F">
      <w:pPr>
        <w:pStyle w:val="BodyText-nospacebelow"/>
        <w:ind w:left="720"/>
        <w:jc w:val="both"/>
      </w:pPr>
    </w:p>
    <w:p w14:paraId="5034114B" w14:textId="5706B0D4" w:rsidR="003D12CD" w:rsidRDefault="001D5328" w:rsidP="00AC131F">
      <w:pPr>
        <w:pStyle w:val="BodyText-nospacebelow"/>
        <w:jc w:val="both"/>
      </w:pPr>
      <w:r>
        <w:t>This will</w:t>
      </w:r>
      <w:r w:rsidR="005E160D">
        <w:t xml:space="preserve"> increase</w:t>
      </w:r>
      <w:r w:rsidR="00ED462D">
        <w:t xml:space="preserve"> the responsibility of local governments to manage disputes at a local </w:t>
      </w:r>
      <w:r>
        <w:t>level</w:t>
      </w:r>
      <w:r w:rsidR="00ED462D">
        <w:t xml:space="preserve">. </w:t>
      </w:r>
      <w:r>
        <w:t xml:space="preserve"> Matters relating to relationships between </w:t>
      </w:r>
      <w:r w:rsidR="00246B9A">
        <w:t>elected member</w:t>
      </w:r>
      <w:r>
        <w:t xml:space="preserve">s, and between staff and </w:t>
      </w:r>
      <w:r w:rsidR="00246B9A">
        <w:t>elected member</w:t>
      </w:r>
      <w:r>
        <w:t xml:space="preserve">s, could be seen to be </w:t>
      </w:r>
      <w:r w:rsidRPr="001A6A72">
        <w:t>more appropriately dealt with at a local level.</w:t>
      </w:r>
      <w:r>
        <w:t xml:space="preserve">  This could result in those types of issues being dealt with more rapidly and before they escalate.</w:t>
      </w:r>
      <w:r w:rsidR="00ED462D">
        <w:t xml:space="preserve"> </w:t>
      </w:r>
    </w:p>
    <w:p w14:paraId="78884129" w14:textId="77777777" w:rsidR="001967BE" w:rsidRPr="001A6A72" w:rsidRDefault="001967BE" w:rsidP="00AC131F">
      <w:pPr>
        <w:pStyle w:val="BodyText-nospacebelow"/>
        <w:jc w:val="both"/>
      </w:pPr>
    </w:p>
    <w:p w14:paraId="1E38B6B6" w14:textId="479623DD" w:rsidR="001A6A72" w:rsidRDefault="001D5328" w:rsidP="00AC131F">
      <w:pPr>
        <w:pStyle w:val="BodyText-nospacebelow"/>
        <w:jc w:val="both"/>
      </w:pPr>
      <w:r>
        <w:lastRenderedPageBreak/>
        <w:t>A</w:t>
      </w:r>
      <w:r w:rsidR="001A6A72" w:rsidRPr="001A6A72">
        <w:t xml:space="preserve"> review of complaints</w:t>
      </w:r>
      <w:r w:rsidR="005E160D">
        <w:t xml:space="preserve"> </w:t>
      </w:r>
      <w:r>
        <w:t>has</w:t>
      </w:r>
      <w:r w:rsidR="001A6A72" w:rsidRPr="001A6A72">
        <w:t xml:space="preserve"> identified that most complaints are made within three months of the incident, </w:t>
      </w:r>
      <w:r w:rsidR="005E160D">
        <w:t>with</w:t>
      </w:r>
      <w:r w:rsidR="005E160D" w:rsidRPr="001A6A72">
        <w:t xml:space="preserve"> </w:t>
      </w:r>
      <w:r w:rsidR="001A6A72" w:rsidRPr="001A6A72">
        <w:t xml:space="preserve">very few </w:t>
      </w:r>
      <w:r w:rsidR="005E160D">
        <w:t xml:space="preserve">made later </w:t>
      </w:r>
      <w:r w:rsidR="001A6A72" w:rsidRPr="001A6A72">
        <w:t xml:space="preserve">than six months, as identified in the </w:t>
      </w:r>
      <w:r w:rsidR="00D01964">
        <w:t>graph</w:t>
      </w:r>
      <w:r w:rsidR="00D01964" w:rsidRPr="001A6A72">
        <w:t xml:space="preserve"> </w:t>
      </w:r>
      <w:r w:rsidR="001A6A72" w:rsidRPr="001A6A72">
        <w:t>below.</w:t>
      </w:r>
    </w:p>
    <w:p w14:paraId="00C61E7E" w14:textId="77777777" w:rsidR="001967BE" w:rsidRPr="001A6A72" w:rsidRDefault="001967BE" w:rsidP="001A6A72">
      <w:pPr>
        <w:pStyle w:val="BodyText-nospacebelow"/>
      </w:pPr>
    </w:p>
    <w:p w14:paraId="4B8C67FE" w14:textId="77777777" w:rsidR="001A6A72" w:rsidRPr="001A6A72" w:rsidRDefault="001A6A72" w:rsidP="001A6A72">
      <w:pPr>
        <w:pStyle w:val="BodyText-nospacebelow"/>
      </w:pPr>
      <w:r w:rsidRPr="001A6A72">
        <w:rPr>
          <w:noProof/>
          <w:lang w:eastAsia="en-AU"/>
        </w:rPr>
        <w:drawing>
          <wp:inline distT="0" distB="0" distL="0" distR="0" wp14:anchorId="11AB31BC" wp14:editId="0FAC59D5">
            <wp:extent cx="5727940" cy="2674189"/>
            <wp:effectExtent l="0" t="0" r="6350" b="12065"/>
            <wp:docPr id="28" name="Chart 28" descr="In the following graph, the term &quot;target behaviour&quot; means behaviour with potential consequences for a local government's integrity, performance or reputation. The term &quot;Non-target behaviour&quot; means behaviour which does not have such consequences. &#10;&#10;Data in graph begins. &#10;&#10;Target behaviour. Thirty four complaints lodged within seven days of incident. Sixty one complaints lodged between eight to thirty days of incident. Fifty six complaints lodged between one to three months of incident. Twenty five complaints lodged between three to six months of incident. Nine complaints lodged between six to eight months of incident. Two complaints reported between eight to twelve months of incident. Three complaints lodged between twelve to eighteen months of incident. Two complaints reported between eighteen to twenty four months of incident. &#10;&#10;Non-target behaviour.  Fifty four complaints lodged within seven days of incident. One hundred and twelve complaints lodged between eight to thirty days of incident. Seventy six complaints lodged between one to three months of incident. Thirty eight complaints lodged between three to six months of incident. Ten complaints lodged between six to eight months of incident. Seven complaints reported between eight to twelve months of incident. Six complaints lodged between twelve to eighteen months of incident. Eleven complaints reported between eighteen to twenty four months of incident. &#10;" title="Average time taken after an incident for a complaint of minor breach to be lodg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2F4FB0" w14:textId="77777777" w:rsidR="001967BE" w:rsidRDefault="001A6A72" w:rsidP="00AC131F">
      <w:pPr>
        <w:pStyle w:val="TableText"/>
        <w:spacing w:before="0" w:after="0" w:line="276" w:lineRule="auto"/>
        <w:jc w:val="both"/>
      </w:pPr>
      <w:r w:rsidRPr="001A6A72">
        <w:t>Target behaviour is that which has significant potential consequences for local government integrity, performance or reputation.  Non-target behaviour has no significant consequences for the local government.</w:t>
      </w:r>
    </w:p>
    <w:p w14:paraId="5810EBF3" w14:textId="77777777" w:rsidR="001D5328" w:rsidRDefault="001D5328" w:rsidP="00AC131F">
      <w:pPr>
        <w:pStyle w:val="TableText"/>
        <w:spacing w:before="0" w:after="0" w:line="276" w:lineRule="auto"/>
        <w:jc w:val="both"/>
      </w:pPr>
    </w:p>
    <w:p w14:paraId="1C38C164" w14:textId="7E55F90D" w:rsidR="001D5328" w:rsidRDefault="001D5328" w:rsidP="00AC131F">
      <w:pPr>
        <w:pStyle w:val="TableText"/>
        <w:spacing w:before="0" w:after="0" w:line="276" w:lineRule="auto"/>
        <w:jc w:val="both"/>
      </w:pPr>
      <w:r>
        <w:t>T</w:t>
      </w:r>
      <w:r w:rsidRPr="001A6A72">
        <w:t xml:space="preserve">he time limit for submitting a complaint </w:t>
      </w:r>
      <w:r>
        <w:t>c</w:t>
      </w:r>
      <w:r w:rsidRPr="001A6A72">
        <w:t xml:space="preserve">ould be reduced from </w:t>
      </w:r>
      <w:r>
        <w:t xml:space="preserve">the existing </w:t>
      </w:r>
      <w:r w:rsidRPr="001A6A72">
        <w:t xml:space="preserve">two years after the incident to three months, with </w:t>
      </w:r>
      <w:r>
        <w:t xml:space="preserve">a </w:t>
      </w:r>
      <w:r w:rsidRPr="001A6A72">
        <w:t xml:space="preserve">provision for an extension </w:t>
      </w:r>
      <w:r w:rsidR="007825A3">
        <w:t xml:space="preserve">of </w:t>
      </w:r>
      <w:r w:rsidRPr="001A6A72">
        <w:t xml:space="preserve">up to 12 months to be granted in exceptional circumstances. </w:t>
      </w:r>
      <w:r>
        <w:t xml:space="preserve"> </w:t>
      </w:r>
    </w:p>
    <w:p w14:paraId="485FD353" w14:textId="77777777" w:rsidR="001D5328" w:rsidRDefault="001D5328" w:rsidP="001967BE">
      <w:pPr>
        <w:pStyle w:val="TableText"/>
      </w:pPr>
    </w:p>
    <w:p w14:paraId="1F3AE142" w14:textId="589A8814" w:rsidR="00895691" w:rsidRDefault="00C44D33" w:rsidP="00895691">
      <w:pPr>
        <w:pStyle w:val="IntenseQuote"/>
        <w:rPr>
          <w:b/>
          <w:sz w:val="28"/>
        </w:rPr>
      </w:pPr>
      <w:r>
        <w:rPr>
          <w:b/>
          <w:sz w:val="28"/>
        </w:rPr>
        <w:t>Streamlined</w:t>
      </w:r>
      <w:r w:rsidR="00895691">
        <w:rPr>
          <w:b/>
          <w:sz w:val="28"/>
        </w:rPr>
        <w:t xml:space="preserve"> r</w:t>
      </w:r>
      <w:r w:rsidR="00E8703A">
        <w:rPr>
          <w:b/>
          <w:sz w:val="28"/>
        </w:rPr>
        <w:t>u</w:t>
      </w:r>
      <w:r w:rsidR="00895691">
        <w:rPr>
          <w:b/>
          <w:sz w:val="28"/>
        </w:rPr>
        <w:t>les of conduct: Guidance questions</w:t>
      </w:r>
    </w:p>
    <w:p w14:paraId="30E06D1B" w14:textId="77777777" w:rsidR="008D0D55" w:rsidRDefault="008D0D55" w:rsidP="00F840FA">
      <w:pPr>
        <w:pStyle w:val="BodyText2-nospacebelow"/>
        <w:numPr>
          <w:ilvl w:val="0"/>
          <w:numId w:val="19"/>
        </w:numPr>
        <w:spacing w:after="120"/>
        <w:ind w:hanging="607"/>
        <w:rPr>
          <w:lang w:eastAsia="en-AU"/>
        </w:rPr>
      </w:pPr>
      <w:r>
        <w:t xml:space="preserve">Do you </w:t>
      </w:r>
      <w:r>
        <w:rPr>
          <w:lang w:eastAsia="en-AU"/>
        </w:rPr>
        <w:t xml:space="preserve">support </w:t>
      </w:r>
      <w:r w:rsidR="00802872">
        <w:rPr>
          <w:lang w:eastAsia="en-AU"/>
        </w:rPr>
        <w:t>streamlined</w:t>
      </w:r>
      <w:r>
        <w:rPr>
          <w:lang w:eastAsia="en-AU"/>
        </w:rPr>
        <w:t xml:space="preserve"> Rules of Conduct </w:t>
      </w:r>
      <w:r w:rsidR="001D5328">
        <w:rPr>
          <w:lang w:eastAsia="en-AU"/>
        </w:rPr>
        <w:t>r</w:t>
      </w:r>
      <w:r>
        <w:rPr>
          <w:lang w:eastAsia="en-AU"/>
        </w:rPr>
        <w:t>egulations? Why?</w:t>
      </w:r>
    </w:p>
    <w:p w14:paraId="2CC66D44" w14:textId="77777777" w:rsidR="00E8703A" w:rsidRDefault="00E8703A" w:rsidP="00F840FA">
      <w:pPr>
        <w:pStyle w:val="BodyText2-nospacebelow"/>
        <w:numPr>
          <w:ilvl w:val="0"/>
          <w:numId w:val="19"/>
        </w:numPr>
        <w:spacing w:after="120"/>
        <w:ind w:hanging="607"/>
        <w:rPr>
          <w:lang w:eastAsia="en-AU"/>
        </w:rPr>
      </w:pPr>
      <w:r>
        <w:rPr>
          <w:lang w:eastAsia="en-AU"/>
        </w:rPr>
        <w:t>If the rules were streamlined, which elements should be retained?</w:t>
      </w:r>
    </w:p>
    <w:p w14:paraId="535A95FB" w14:textId="61D795DB" w:rsidR="008D0D55" w:rsidRDefault="008D0D55" w:rsidP="00F840FA">
      <w:pPr>
        <w:pStyle w:val="BodyText2-nospacebelow"/>
        <w:numPr>
          <w:ilvl w:val="0"/>
          <w:numId w:val="19"/>
        </w:numPr>
        <w:spacing w:after="120"/>
        <w:ind w:hanging="607"/>
      </w:pPr>
      <w:r>
        <w:rPr>
          <w:lang w:eastAsia="en-AU"/>
        </w:rPr>
        <w:t xml:space="preserve">Do you support a reduction in the time frame </w:t>
      </w:r>
      <w:r w:rsidR="000D357F">
        <w:rPr>
          <w:lang w:eastAsia="en-AU"/>
        </w:rPr>
        <w:t xml:space="preserve">in which </w:t>
      </w:r>
      <w:r>
        <w:rPr>
          <w:lang w:eastAsia="en-AU"/>
        </w:rPr>
        <w:t>complaints can be made? Is three</w:t>
      </w:r>
      <w:r>
        <w:t xml:space="preserve"> months adequate?</w:t>
      </w:r>
    </w:p>
    <w:p w14:paraId="55389493" w14:textId="77777777" w:rsidR="008D0D55" w:rsidRPr="001A6A72" w:rsidRDefault="008D0D55" w:rsidP="00C71D1E">
      <w:pPr>
        <w:pStyle w:val="BodyText2-nospacebelow"/>
      </w:pPr>
    </w:p>
    <w:p w14:paraId="76A8B5CC" w14:textId="35137234" w:rsidR="001A6A72" w:rsidRPr="001A6A72" w:rsidRDefault="001A6A72" w:rsidP="001967BE">
      <w:pPr>
        <w:pStyle w:val="Heading3"/>
      </w:pPr>
      <w:bookmarkStart w:id="358" w:name="_Toc493746715"/>
      <w:bookmarkStart w:id="359" w:name="_Toc493768847"/>
      <w:bookmarkStart w:id="360" w:name="_Toc493859917"/>
      <w:bookmarkStart w:id="361" w:name="_Toc495491817"/>
      <w:bookmarkStart w:id="362" w:name="_Toc495497597"/>
      <w:bookmarkStart w:id="363" w:name="_Toc495671445"/>
      <w:bookmarkStart w:id="364" w:name="_Toc495676043"/>
      <w:bookmarkStart w:id="365" w:name="_Toc495678337"/>
      <w:bookmarkStart w:id="366" w:name="_Toc495998335"/>
      <w:bookmarkStart w:id="367" w:name="_Toc497741805"/>
      <w:r w:rsidRPr="001A6A72">
        <w:t xml:space="preserve">Option </w:t>
      </w:r>
      <w:r w:rsidR="00AE43B7">
        <w:t>2</w:t>
      </w:r>
      <w:r w:rsidRPr="001A6A72">
        <w:t>: Revised disciplinary framework</w:t>
      </w:r>
      <w:bookmarkEnd w:id="358"/>
      <w:bookmarkEnd w:id="359"/>
      <w:bookmarkEnd w:id="360"/>
      <w:bookmarkEnd w:id="361"/>
      <w:bookmarkEnd w:id="362"/>
      <w:bookmarkEnd w:id="363"/>
      <w:bookmarkEnd w:id="364"/>
      <w:bookmarkEnd w:id="365"/>
      <w:bookmarkEnd w:id="366"/>
      <w:bookmarkEnd w:id="367"/>
    </w:p>
    <w:p w14:paraId="4153509D" w14:textId="331D1478" w:rsidR="001A6A72" w:rsidRDefault="001A6A72" w:rsidP="00AC131F">
      <w:pPr>
        <w:pStyle w:val="BodyText-nospacebelow"/>
        <w:jc w:val="both"/>
      </w:pPr>
      <w:r w:rsidRPr="001A6A72">
        <w:t>Option</w:t>
      </w:r>
      <w:r w:rsidRPr="001A6A72" w:rsidDel="00AE43B7">
        <w:t xml:space="preserve"> </w:t>
      </w:r>
      <w:r w:rsidR="00AE43B7">
        <w:t>2</w:t>
      </w:r>
      <w:r w:rsidR="00AE43B7" w:rsidRPr="001A6A72">
        <w:t xml:space="preserve"> </w:t>
      </w:r>
      <w:r w:rsidRPr="001A6A72">
        <w:t xml:space="preserve">proposes that a disciplinary framework </w:t>
      </w:r>
      <w:r w:rsidR="000D01E4">
        <w:t xml:space="preserve">that </w:t>
      </w:r>
      <w:r w:rsidRPr="001A6A72">
        <w:t>is less prescriptive and more outcome-based</w:t>
      </w:r>
      <w:r w:rsidR="000D01E4">
        <w:t xml:space="preserve"> is introduced</w:t>
      </w:r>
      <w:r w:rsidRPr="001A6A72">
        <w:t xml:space="preserve">. Such a scheme would require </w:t>
      </w:r>
      <w:r w:rsidR="00246B9A">
        <w:t>elected member</w:t>
      </w:r>
      <w:r w:rsidRPr="001A6A72">
        <w:t xml:space="preserve">s to refrain from conduct likely to impair </w:t>
      </w:r>
      <w:r w:rsidRPr="001A6A72">
        <w:lastRenderedPageBreak/>
        <w:t>the integrity, operational performance or reputation of the local government, and they would be held accountable should they fail to do so.  The focus would be on abuse</w:t>
      </w:r>
      <w:r w:rsidR="005E160D">
        <w:t>s</w:t>
      </w:r>
      <w:r w:rsidRPr="001A6A72">
        <w:t xml:space="preserve"> of position, breach</w:t>
      </w:r>
      <w:r w:rsidR="005E160D">
        <w:t>es</w:t>
      </w:r>
      <w:r w:rsidRPr="001A6A72">
        <w:t xml:space="preserve"> of trust, dishonesty and bias</w:t>
      </w:r>
      <w:r w:rsidR="005E160D">
        <w:t xml:space="preserve"> that can be demonstrated</w:t>
      </w:r>
      <w:r w:rsidRPr="001A6A72">
        <w:t xml:space="preserve">.  </w:t>
      </w:r>
    </w:p>
    <w:p w14:paraId="34487A77" w14:textId="77777777" w:rsidR="001967BE" w:rsidRPr="001A6A72" w:rsidRDefault="001967BE" w:rsidP="00AC131F">
      <w:pPr>
        <w:pStyle w:val="BodyText-nospacebelow"/>
        <w:jc w:val="both"/>
      </w:pPr>
    </w:p>
    <w:p w14:paraId="5B8F027E" w14:textId="5FFF25EE" w:rsidR="001A6A72" w:rsidRDefault="005E160D" w:rsidP="00AC131F">
      <w:pPr>
        <w:pStyle w:val="BodyText-nospacebelow"/>
        <w:jc w:val="both"/>
      </w:pPr>
      <w:r>
        <w:t>R</w:t>
      </w:r>
      <w:r w:rsidR="001A6A72" w:rsidRPr="001A6A72">
        <w:t>ule-based disciplinary model</w:t>
      </w:r>
      <w:r>
        <w:t>s</w:t>
      </w:r>
      <w:r w:rsidR="001A6A72" w:rsidRPr="001A6A72">
        <w:t xml:space="preserve">, such as the current minor breach system, </w:t>
      </w:r>
      <w:r>
        <w:t xml:space="preserve">are generally not able </w:t>
      </w:r>
      <w:r w:rsidR="001A6A72" w:rsidRPr="001A6A72">
        <w:t>to capture all dysfunctional conduct</w:t>
      </w:r>
      <w:r>
        <w:t>,</w:t>
      </w:r>
      <w:r w:rsidR="001A6A72" w:rsidRPr="001A6A72">
        <w:t xml:space="preserve"> or exclude all minor lapses that might result in vexatious complaints. A more flexible outcome-based misconduct management model may </w:t>
      </w:r>
      <w:r w:rsidR="00895691">
        <w:t>provide</w:t>
      </w:r>
      <w:r w:rsidR="001A6A72" w:rsidRPr="001A6A72">
        <w:t xml:space="preserve"> greater focus on the impact, intent and context of the conduct. </w:t>
      </w:r>
      <w:r w:rsidR="00895691">
        <w:t xml:space="preserve"> T</w:t>
      </w:r>
      <w:r w:rsidR="001A6A72" w:rsidRPr="001A6A72">
        <w:t>he investigation</w:t>
      </w:r>
      <w:r>
        <w:t xml:space="preserve">, evidence gathering and determination process </w:t>
      </w:r>
      <w:r w:rsidR="001A6A72" w:rsidRPr="001A6A72">
        <w:t xml:space="preserve">required is likely to be considerably more resource intensive compared to </w:t>
      </w:r>
      <w:r w:rsidR="00AE43B7">
        <w:t>t</w:t>
      </w:r>
      <w:r w:rsidR="00D01964">
        <w:t>h</w:t>
      </w:r>
      <w:r w:rsidR="00AE43B7">
        <w:t>e current situation or Option 1</w:t>
      </w:r>
      <w:r w:rsidR="001A6A72" w:rsidRPr="001A6A72">
        <w:t xml:space="preserve">. </w:t>
      </w:r>
    </w:p>
    <w:p w14:paraId="185F7EC2" w14:textId="77777777" w:rsidR="001967BE" w:rsidRPr="001A6A72" w:rsidRDefault="001967BE" w:rsidP="00AC131F">
      <w:pPr>
        <w:pStyle w:val="BodyText-nospacebelow"/>
        <w:jc w:val="both"/>
      </w:pPr>
    </w:p>
    <w:p w14:paraId="228E89EE" w14:textId="52572D6F" w:rsidR="001A6A72" w:rsidRPr="001A6A72" w:rsidRDefault="001A6A72" w:rsidP="00AC131F">
      <w:pPr>
        <w:pStyle w:val="BodyText-nospacebelow"/>
        <w:jc w:val="both"/>
      </w:pPr>
      <w:r w:rsidRPr="001A6A72">
        <w:t xml:space="preserve">In a practical sense, the current Rules of Conduct regulations would be repealed and the Act would </w:t>
      </w:r>
      <w:r w:rsidR="005E160D">
        <w:t xml:space="preserve">be amended to </w:t>
      </w:r>
      <w:r w:rsidR="00C838C1">
        <w:t>set out that a</w:t>
      </w:r>
      <w:r w:rsidR="00246B9A">
        <w:t>n</w:t>
      </w:r>
      <w:r w:rsidR="00C838C1">
        <w:t xml:space="preserve"> </w:t>
      </w:r>
      <w:r w:rsidR="00246B9A">
        <w:t>elected member</w:t>
      </w:r>
      <w:r w:rsidRPr="001A6A72">
        <w:t xml:space="preserve"> is to refrain from:</w:t>
      </w:r>
    </w:p>
    <w:p w14:paraId="514E44CE" w14:textId="7E0500AE" w:rsidR="001A6A72" w:rsidRPr="001A6A72" w:rsidRDefault="001A6A72" w:rsidP="00AC131F">
      <w:pPr>
        <w:pStyle w:val="BodyText-nospacebelow"/>
        <w:numPr>
          <w:ilvl w:val="0"/>
          <w:numId w:val="27"/>
        </w:numPr>
        <w:jc w:val="both"/>
      </w:pPr>
      <w:r w:rsidRPr="001A6A72">
        <w:t>impairing the integrity of the local government</w:t>
      </w:r>
      <w:r w:rsidR="005E160D">
        <w:t>;</w:t>
      </w:r>
    </w:p>
    <w:p w14:paraId="42B26867" w14:textId="772AD2B1" w:rsidR="001A6A72" w:rsidRPr="001A6A72" w:rsidRDefault="001A6A72" w:rsidP="00AC131F">
      <w:pPr>
        <w:pStyle w:val="BodyText-nospacebelow"/>
        <w:numPr>
          <w:ilvl w:val="0"/>
          <w:numId w:val="27"/>
        </w:numPr>
        <w:jc w:val="both"/>
      </w:pPr>
      <w:r w:rsidRPr="001A6A72">
        <w:t>impairing the operational performance of the local government</w:t>
      </w:r>
      <w:r w:rsidR="005E160D">
        <w:t>;</w:t>
      </w:r>
    </w:p>
    <w:p w14:paraId="515C21E4" w14:textId="38AC6F50" w:rsidR="001A6A72" w:rsidRPr="001A6A72" w:rsidRDefault="001A6A72" w:rsidP="00AC131F">
      <w:pPr>
        <w:pStyle w:val="BodyText-nospacebelow"/>
        <w:numPr>
          <w:ilvl w:val="0"/>
          <w:numId w:val="27"/>
        </w:numPr>
        <w:jc w:val="both"/>
      </w:pPr>
      <w:r w:rsidRPr="001A6A72">
        <w:t>impairing the reputation of the local government</w:t>
      </w:r>
      <w:r w:rsidR="005E160D">
        <w:t>; and</w:t>
      </w:r>
    </w:p>
    <w:p w14:paraId="568D05F0" w14:textId="77777777" w:rsidR="001A6A72" w:rsidRDefault="001A6A72" w:rsidP="00AC131F">
      <w:pPr>
        <w:pStyle w:val="BodyText-nospacebelow"/>
        <w:numPr>
          <w:ilvl w:val="0"/>
          <w:numId w:val="27"/>
        </w:numPr>
        <w:jc w:val="both"/>
      </w:pPr>
      <w:r w:rsidRPr="001A6A72">
        <w:t>any other matters as set out in regulations.</w:t>
      </w:r>
    </w:p>
    <w:p w14:paraId="7B29A76B" w14:textId="77777777" w:rsidR="001967BE" w:rsidRPr="001A6A72" w:rsidRDefault="001967BE" w:rsidP="00AC131F">
      <w:pPr>
        <w:pStyle w:val="BodyText-nospacebelow"/>
        <w:ind w:left="720"/>
        <w:jc w:val="both"/>
      </w:pPr>
    </w:p>
    <w:p w14:paraId="0808AEE8" w14:textId="77777777" w:rsidR="001A6A72" w:rsidRDefault="00C838C1" w:rsidP="00AC131F">
      <w:pPr>
        <w:pStyle w:val="BodyText-nospacebelow"/>
        <w:jc w:val="both"/>
      </w:pPr>
      <w:r>
        <w:t>A</w:t>
      </w:r>
      <w:r w:rsidR="001A6A72" w:rsidRPr="001A6A72">
        <w:t xml:space="preserve">ll complaints where a person believed that the outcomes were breached would be submitted </w:t>
      </w:r>
      <w:r>
        <w:t>through</w:t>
      </w:r>
      <w:r w:rsidR="001A6A72" w:rsidRPr="001A6A72">
        <w:t xml:space="preserve"> the local government complaints officer</w:t>
      </w:r>
      <w:r w:rsidR="00895691">
        <w:t xml:space="preserve"> (</w:t>
      </w:r>
      <w:r w:rsidR="001A6A72" w:rsidRPr="001A6A72">
        <w:t>usually the CEO</w:t>
      </w:r>
      <w:r w:rsidR="00895691">
        <w:t>) to the reviewing body.</w:t>
      </w:r>
      <w:r>
        <w:t xml:space="preserve">  </w:t>
      </w:r>
      <w:r w:rsidR="00895691">
        <w:t>T</w:t>
      </w:r>
      <w:r w:rsidR="001A6A72" w:rsidRPr="001A6A72">
        <w:t xml:space="preserve">he reviewing body </w:t>
      </w:r>
      <w:r w:rsidR="00895691">
        <w:t>would</w:t>
      </w:r>
      <w:r w:rsidR="00895691" w:rsidRPr="001A6A72">
        <w:t xml:space="preserve"> </w:t>
      </w:r>
      <w:r w:rsidR="001A6A72" w:rsidRPr="001A6A72">
        <w:t xml:space="preserve">assess complaints based on whether the integrity, operational performance or reputation of the local government has been impaired, rather than whether a breach </w:t>
      </w:r>
      <w:r>
        <w:t>of</w:t>
      </w:r>
      <w:r w:rsidR="001A6A72" w:rsidRPr="001A6A72">
        <w:t xml:space="preserve"> a </w:t>
      </w:r>
      <w:r w:rsidRPr="001A6A72">
        <w:t xml:space="preserve">specific </w:t>
      </w:r>
      <w:r w:rsidR="001A6A72" w:rsidRPr="001A6A72">
        <w:t xml:space="preserve">regulation has occurred. </w:t>
      </w:r>
      <w:r w:rsidR="00BA2AE1">
        <w:t xml:space="preserve"> T</w:t>
      </w:r>
      <w:r w:rsidR="00BA2AE1" w:rsidRPr="001A6A72">
        <w:t xml:space="preserve">his </w:t>
      </w:r>
      <w:r w:rsidR="00BA2AE1">
        <w:t>proposal may</w:t>
      </w:r>
      <w:r w:rsidR="00BA2AE1" w:rsidRPr="001A6A72">
        <w:t xml:space="preserve"> </w:t>
      </w:r>
      <w:r w:rsidR="00895691">
        <w:t>create uncertainty as to what behaviours would constitute a breach</w:t>
      </w:r>
      <w:r w:rsidR="00895691" w:rsidRPr="001A6A72">
        <w:t xml:space="preserve"> </w:t>
      </w:r>
      <w:r w:rsidR="00895691">
        <w:t xml:space="preserve">and </w:t>
      </w:r>
      <w:r>
        <w:t xml:space="preserve">could </w:t>
      </w:r>
      <w:r w:rsidR="00895691">
        <w:t xml:space="preserve">result in an </w:t>
      </w:r>
      <w:r w:rsidR="00BA2AE1" w:rsidRPr="001A6A72">
        <w:t xml:space="preserve">increase </w:t>
      </w:r>
      <w:r w:rsidR="006817C7">
        <w:t xml:space="preserve">in </w:t>
      </w:r>
      <w:r w:rsidR="00BA2AE1" w:rsidRPr="001A6A72">
        <w:t>th</w:t>
      </w:r>
      <w:r w:rsidR="00BA2AE1">
        <w:t>e number of complaints received</w:t>
      </w:r>
      <w:r w:rsidR="00895691">
        <w:t>.</w:t>
      </w:r>
    </w:p>
    <w:p w14:paraId="502AB7A6" w14:textId="77777777" w:rsidR="001967BE" w:rsidRPr="001A6A72" w:rsidRDefault="001967BE" w:rsidP="00AC131F">
      <w:pPr>
        <w:pStyle w:val="BodyText-nospacebelow"/>
        <w:jc w:val="both"/>
      </w:pPr>
    </w:p>
    <w:p w14:paraId="11D42C15" w14:textId="2722D8D9" w:rsidR="001A6A72" w:rsidRDefault="001A6A72" w:rsidP="00AC131F">
      <w:pPr>
        <w:pStyle w:val="BodyText-nospacebelow"/>
        <w:jc w:val="both"/>
      </w:pPr>
      <w:r w:rsidRPr="001A6A72">
        <w:t xml:space="preserve">As with Option </w:t>
      </w:r>
      <w:r w:rsidR="00AE43B7">
        <w:t>1</w:t>
      </w:r>
      <w:r w:rsidRPr="001A6A72">
        <w:t xml:space="preserve">, the time limit for submitting a complaint </w:t>
      </w:r>
      <w:r w:rsidR="00C838C1">
        <w:t>c</w:t>
      </w:r>
      <w:r w:rsidRPr="001A6A72">
        <w:t>ould be reduced from two years after the incident to three months, with provision for an extension</w:t>
      </w:r>
      <w:r w:rsidR="006817C7">
        <w:t xml:space="preserve"> of</w:t>
      </w:r>
      <w:r w:rsidRPr="001A6A72">
        <w:t xml:space="preserve"> up to 12 months to be granted in exceptional circumstances.</w:t>
      </w:r>
    </w:p>
    <w:p w14:paraId="13ABCDC4" w14:textId="77777777" w:rsidR="001967BE" w:rsidRPr="001A6A72" w:rsidRDefault="001967BE" w:rsidP="00AC131F">
      <w:pPr>
        <w:pStyle w:val="BodyText-nospacebelow"/>
        <w:jc w:val="both"/>
      </w:pPr>
    </w:p>
    <w:p w14:paraId="41018B28" w14:textId="01235DEE" w:rsidR="001A6A72" w:rsidRDefault="001A6A72" w:rsidP="00AC131F">
      <w:pPr>
        <w:pStyle w:val="BodyText-nospacebelow"/>
        <w:jc w:val="both"/>
      </w:pPr>
      <w:r w:rsidRPr="001A6A72">
        <w:t xml:space="preserve">The </w:t>
      </w:r>
      <w:r w:rsidR="00C838C1">
        <w:t>options</w:t>
      </w:r>
      <w:r w:rsidRPr="001A6A72">
        <w:t xml:space="preserve"> for complaint management </w:t>
      </w:r>
      <w:r w:rsidR="00C838C1">
        <w:t xml:space="preserve">are discussed in </w:t>
      </w:r>
      <w:r w:rsidR="007825A3">
        <w:t xml:space="preserve">the next </w:t>
      </w:r>
      <w:r w:rsidRPr="00C838C1">
        <w:t>section</w:t>
      </w:r>
      <w:r w:rsidRPr="001A6A72">
        <w:t xml:space="preserve">. </w:t>
      </w:r>
    </w:p>
    <w:p w14:paraId="734444C9" w14:textId="77777777" w:rsidR="00C71D1E" w:rsidRDefault="00C71D1E" w:rsidP="001A6A72">
      <w:pPr>
        <w:pStyle w:val="BodyText-nospacebelow"/>
      </w:pPr>
    </w:p>
    <w:p w14:paraId="1D0FC942" w14:textId="77777777" w:rsidR="00895691" w:rsidRDefault="00895691" w:rsidP="00895691">
      <w:pPr>
        <w:pStyle w:val="IntenseQuote"/>
        <w:rPr>
          <w:b/>
          <w:sz w:val="28"/>
        </w:rPr>
      </w:pPr>
      <w:r w:rsidRPr="00895691">
        <w:rPr>
          <w:b/>
          <w:sz w:val="28"/>
        </w:rPr>
        <w:t>Revised disciplinary framework</w:t>
      </w:r>
      <w:r>
        <w:rPr>
          <w:b/>
          <w:sz w:val="28"/>
        </w:rPr>
        <w:t>: Guidance questions</w:t>
      </w:r>
    </w:p>
    <w:p w14:paraId="01A8B4BC" w14:textId="0C579C6A" w:rsidR="00C71D1E" w:rsidRDefault="00C838C1" w:rsidP="00F840FA">
      <w:pPr>
        <w:pStyle w:val="BodyText2-nospacebelow"/>
        <w:numPr>
          <w:ilvl w:val="0"/>
          <w:numId w:val="19"/>
        </w:numPr>
        <w:spacing w:after="120"/>
        <w:ind w:hanging="607"/>
        <w:rPr>
          <w:lang w:eastAsia="en-AU"/>
        </w:rPr>
      </w:pPr>
      <w:r>
        <w:t xml:space="preserve">Do you </w:t>
      </w:r>
      <w:r>
        <w:rPr>
          <w:lang w:eastAsia="en-AU"/>
        </w:rPr>
        <w:t>support an outcome-ba</w:t>
      </w:r>
      <w:r w:rsidR="00C71D1E">
        <w:rPr>
          <w:lang w:eastAsia="en-AU"/>
        </w:rPr>
        <w:t xml:space="preserve">sed framework for </w:t>
      </w:r>
      <w:r w:rsidR="00246B9A">
        <w:rPr>
          <w:lang w:eastAsia="en-AU"/>
        </w:rPr>
        <w:t>elected member</w:t>
      </w:r>
      <w:r w:rsidR="007825A3">
        <w:rPr>
          <w:lang w:eastAsia="en-AU"/>
        </w:rPr>
        <w:t>s? Why or why not?</w:t>
      </w:r>
    </w:p>
    <w:p w14:paraId="402A35E9" w14:textId="5BA49672" w:rsidR="00C71D1E" w:rsidRDefault="00C71D1E" w:rsidP="00F840FA">
      <w:pPr>
        <w:pStyle w:val="BodyText2-nospacebelow"/>
        <w:numPr>
          <w:ilvl w:val="0"/>
          <w:numId w:val="19"/>
        </w:numPr>
        <w:spacing w:after="120"/>
        <w:ind w:hanging="607"/>
      </w:pPr>
      <w:r>
        <w:rPr>
          <w:lang w:eastAsia="en-AU"/>
        </w:rPr>
        <w:t>What sp</w:t>
      </w:r>
      <w:r>
        <w:t>ecific behaviours should an outcomes based framework target?</w:t>
      </w:r>
    </w:p>
    <w:p w14:paraId="564BA54D" w14:textId="38A88487" w:rsidR="00922E89" w:rsidDel="00AE43B7" w:rsidRDefault="00922E89" w:rsidP="00FE290E">
      <w:pPr>
        <w:pStyle w:val="BodyText2-nospacebelow"/>
        <w:spacing w:after="120"/>
        <w:ind w:left="1030"/>
      </w:pPr>
      <w:bookmarkStart w:id="368" w:name="_Toc495675213"/>
      <w:bookmarkStart w:id="369" w:name="_Toc495675630"/>
      <w:bookmarkStart w:id="370" w:name="_Toc495675766"/>
      <w:bookmarkStart w:id="371" w:name="_Toc495675215"/>
      <w:bookmarkStart w:id="372" w:name="_Toc495675632"/>
      <w:bookmarkStart w:id="373" w:name="_Toc495675768"/>
      <w:bookmarkStart w:id="374" w:name="_Toc495675217"/>
      <w:bookmarkStart w:id="375" w:name="_Toc495675634"/>
      <w:bookmarkStart w:id="376" w:name="_Toc495675770"/>
      <w:bookmarkStart w:id="377" w:name="_Toc495675219"/>
      <w:bookmarkStart w:id="378" w:name="_Toc495675636"/>
      <w:bookmarkStart w:id="379" w:name="_Toc495675772"/>
      <w:bookmarkStart w:id="380" w:name="_Toc495675221"/>
      <w:bookmarkStart w:id="381" w:name="_Toc495675638"/>
      <w:bookmarkStart w:id="382" w:name="_Toc495675774"/>
      <w:bookmarkStart w:id="383" w:name="_Toc495675226"/>
      <w:bookmarkStart w:id="384" w:name="_Toc495675643"/>
      <w:bookmarkStart w:id="385" w:name="_Toc495675779"/>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36CF411" w14:textId="77777777" w:rsidR="00865137" w:rsidRDefault="00865137">
      <w:pPr>
        <w:rPr>
          <w:rFonts w:eastAsiaTheme="majorEastAsia" w:cs="Arial"/>
          <w:bCs/>
          <w:color w:val="2C5C86"/>
          <w:sz w:val="32"/>
          <w:szCs w:val="26"/>
          <w:lang w:eastAsia="en-AU"/>
        </w:rPr>
      </w:pPr>
      <w:bookmarkStart w:id="386" w:name="_Toc495676044"/>
      <w:bookmarkStart w:id="387" w:name="_Toc495678338"/>
      <w:bookmarkStart w:id="388" w:name="_Toc493746717"/>
      <w:bookmarkStart w:id="389" w:name="_Toc493768849"/>
      <w:bookmarkStart w:id="390" w:name="_Toc493859919"/>
      <w:bookmarkStart w:id="391" w:name="_Toc495491819"/>
      <w:bookmarkStart w:id="392" w:name="_Toc495497599"/>
      <w:bookmarkStart w:id="393" w:name="_Toc495671446"/>
      <w:r>
        <w:br w:type="page"/>
      </w:r>
    </w:p>
    <w:p w14:paraId="1D6B276B" w14:textId="3F156914" w:rsidR="00B4536C" w:rsidRDefault="00B4536C" w:rsidP="00E658FC">
      <w:pPr>
        <w:pStyle w:val="Heading2"/>
        <w:numPr>
          <w:ilvl w:val="1"/>
          <w:numId w:val="30"/>
        </w:numPr>
      </w:pPr>
      <w:bookmarkStart w:id="394" w:name="_Toc495998336"/>
      <w:bookmarkStart w:id="395" w:name="_Toc497741806"/>
      <w:r>
        <w:lastRenderedPageBreak/>
        <w:t>Other matters recommended in the 2015-16 review</w:t>
      </w:r>
      <w:bookmarkEnd w:id="386"/>
      <w:bookmarkEnd w:id="387"/>
      <w:bookmarkEnd w:id="394"/>
      <w:bookmarkEnd w:id="395"/>
    </w:p>
    <w:p w14:paraId="0BCF1CA1" w14:textId="6B1BA397" w:rsidR="00DB759E" w:rsidRDefault="00DB759E" w:rsidP="00DB759E">
      <w:pPr>
        <w:pStyle w:val="Heading3"/>
      </w:pPr>
      <w:bookmarkStart w:id="396" w:name="_Toc495998337"/>
      <w:bookmarkStart w:id="397" w:name="_Toc497741807"/>
      <w:r>
        <w:t>Application of Rules of Conduct</w:t>
      </w:r>
      <w:bookmarkEnd w:id="396"/>
      <w:bookmarkEnd w:id="397"/>
    </w:p>
    <w:p w14:paraId="4ED12237" w14:textId="5AC67DA5" w:rsidR="00DF7FF8" w:rsidRDefault="00C24D34" w:rsidP="00AC131F">
      <w:pPr>
        <w:jc w:val="both"/>
      </w:pPr>
      <w:r>
        <w:t>The</w:t>
      </w:r>
      <w:r w:rsidR="00B4536C">
        <w:t xml:space="preserve"> 2015-16 review </w:t>
      </w:r>
      <w:r>
        <w:t xml:space="preserve">recommended that the </w:t>
      </w:r>
      <w:r w:rsidR="00B4536C">
        <w:t>r</w:t>
      </w:r>
      <w:r w:rsidR="00DF7FF8">
        <w:t>ules governing behaviour be extended</w:t>
      </w:r>
      <w:r w:rsidR="00B4536C">
        <w:t xml:space="preserve"> to candidates in local government elections</w:t>
      </w:r>
      <w:r w:rsidR="00DF7FF8">
        <w:t xml:space="preserve">.  In this case </w:t>
      </w:r>
      <w:r w:rsidR="00B4536C">
        <w:t xml:space="preserve">sanctions </w:t>
      </w:r>
      <w:r w:rsidR="00DF7FF8">
        <w:t xml:space="preserve">would only apply </w:t>
      </w:r>
      <w:r w:rsidR="00B4536C">
        <w:t xml:space="preserve">for any minor breaches if the candidate </w:t>
      </w:r>
      <w:r w:rsidR="00DF7FF8">
        <w:t>was ultimately</w:t>
      </w:r>
      <w:r w:rsidR="00B4536C">
        <w:t xml:space="preserve"> elected.</w:t>
      </w:r>
      <w:r w:rsidR="002D73B5">
        <w:t xml:space="preserve">  </w:t>
      </w:r>
      <w:r w:rsidR="00DF7FF8">
        <w:t xml:space="preserve">This change would ensure that all nominees for election would be held to the same high standard of behaviour, as </w:t>
      </w:r>
      <w:r w:rsidR="00C44D33">
        <w:t xml:space="preserve">currently </w:t>
      </w:r>
      <w:r w:rsidR="00DF7FF8">
        <w:t xml:space="preserve">councillors seeking re-election must conform with the rules of conduct while other nominees do not. </w:t>
      </w:r>
    </w:p>
    <w:p w14:paraId="6EF95B68" w14:textId="11866BD8" w:rsidR="00DB759E" w:rsidRPr="00E53FE3" w:rsidRDefault="00DB759E" w:rsidP="00DB759E">
      <w:pPr>
        <w:pStyle w:val="IntenseQuote"/>
        <w:rPr>
          <w:b/>
          <w:sz w:val="28"/>
        </w:rPr>
      </w:pPr>
      <w:r w:rsidRPr="00E53FE3">
        <w:rPr>
          <w:b/>
          <w:sz w:val="28"/>
        </w:rPr>
        <w:t>Application of the Rules of Conduct:  Guidance question</w:t>
      </w:r>
    </w:p>
    <w:p w14:paraId="6F3487E9" w14:textId="3591E79F" w:rsidR="00DB759E" w:rsidRDefault="00DB759E" w:rsidP="00DB759E">
      <w:pPr>
        <w:pStyle w:val="BodyText2-nospacebelow"/>
        <w:numPr>
          <w:ilvl w:val="0"/>
          <w:numId w:val="19"/>
        </w:numPr>
        <w:spacing w:after="120"/>
        <w:rPr>
          <w:lang w:eastAsia="en-AU"/>
        </w:rPr>
      </w:pPr>
      <w:r>
        <w:t xml:space="preserve">Should the rules of conduct that govern behaviour of elected members be extended to </w:t>
      </w:r>
      <w:r w:rsidR="00865137">
        <w:t>all candidates</w:t>
      </w:r>
      <w:r>
        <w:t xml:space="preserve"> in council elections?  Please explain.</w:t>
      </w:r>
    </w:p>
    <w:p w14:paraId="2114F786" w14:textId="77777777" w:rsidR="00DB759E" w:rsidRPr="00B4536C" w:rsidRDefault="00DB759E" w:rsidP="00DB759E">
      <w:pPr>
        <w:pStyle w:val="Heading3"/>
      </w:pPr>
      <w:bookmarkStart w:id="398" w:name="_Toc495998338"/>
      <w:bookmarkStart w:id="399" w:name="_Toc497741808"/>
      <w:r>
        <w:t>Offence provisions</w:t>
      </w:r>
      <w:bookmarkEnd w:id="398"/>
      <w:bookmarkEnd w:id="399"/>
    </w:p>
    <w:p w14:paraId="1C43BB32" w14:textId="686A0E6F" w:rsidR="00B4536C" w:rsidRDefault="00B4536C" w:rsidP="00AC131F">
      <w:pPr>
        <w:jc w:val="both"/>
      </w:pPr>
      <w:r>
        <w:t xml:space="preserve">It was further proposed that the </w:t>
      </w:r>
      <w:r w:rsidR="00DB759E">
        <w:t>restriction</w:t>
      </w:r>
      <w:r w:rsidR="00C44D33">
        <w:t xml:space="preserve"> relating to </w:t>
      </w:r>
      <w:r w:rsidR="00DB759E">
        <w:t>improper use</w:t>
      </w:r>
      <w:r w:rsidR="00C44D33">
        <w:t xml:space="preserve"> of information </w:t>
      </w:r>
      <w:r w:rsidR="00DB759E">
        <w:t xml:space="preserve">acquired in the performance of their role </w:t>
      </w:r>
      <w:r>
        <w:t>apply to persons who</w:t>
      </w:r>
      <w:r w:rsidR="003B1556">
        <w:t xml:space="preserve"> were formerly elected members</w:t>
      </w:r>
      <w:r w:rsidR="00865137">
        <w:t>,</w:t>
      </w:r>
      <w:r w:rsidR="003B1556">
        <w:t xml:space="preserve"> </w:t>
      </w:r>
      <w:r>
        <w:t xml:space="preserve">for a period of 12 months after their separation from local government. </w:t>
      </w:r>
      <w:r w:rsidR="00DB759E">
        <w:t>This offence carries a maximum penalty of $10,000 or imprisonment for 2 years</w:t>
      </w:r>
      <w:r w:rsidR="00865137">
        <w:t>, a</w:t>
      </w:r>
      <w:r w:rsidR="00DB759E">
        <w:t xml:space="preserve">nd currently only applies to </w:t>
      </w:r>
      <w:r w:rsidR="00246B9A">
        <w:t>elected member</w:t>
      </w:r>
      <w:r w:rsidR="00DB759E">
        <w:t>s, committee members and employees.</w:t>
      </w:r>
    </w:p>
    <w:p w14:paraId="49808F8A" w14:textId="23473ADD" w:rsidR="00B4536C" w:rsidRPr="00E53FE3" w:rsidRDefault="00DB759E" w:rsidP="00E658FC">
      <w:pPr>
        <w:pStyle w:val="IntenseQuote"/>
        <w:rPr>
          <w:b/>
          <w:sz w:val="28"/>
        </w:rPr>
      </w:pPr>
      <w:r>
        <w:rPr>
          <w:b/>
          <w:sz w:val="28"/>
        </w:rPr>
        <w:t>Offence Provisions</w:t>
      </w:r>
      <w:r w:rsidR="00E53FE3" w:rsidRPr="00E53FE3">
        <w:rPr>
          <w:b/>
          <w:sz w:val="28"/>
        </w:rPr>
        <w:t xml:space="preserve">:  </w:t>
      </w:r>
      <w:r w:rsidR="00B4536C" w:rsidRPr="00E53FE3">
        <w:rPr>
          <w:b/>
          <w:sz w:val="28"/>
        </w:rPr>
        <w:t>Guidance question</w:t>
      </w:r>
      <w:r w:rsidR="003B1556" w:rsidRPr="00E53FE3">
        <w:rPr>
          <w:b/>
          <w:sz w:val="28"/>
        </w:rPr>
        <w:t>s</w:t>
      </w:r>
    </w:p>
    <w:p w14:paraId="39C1FC15" w14:textId="66CDE671" w:rsidR="00DF7FF8" w:rsidRDefault="00DF7FF8" w:rsidP="00DB759E">
      <w:pPr>
        <w:pStyle w:val="BodyText2-nospacebelow"/>
        <w:numPr>
          <w:ilvl w:val="0"/>
          <w:numId w:val="19"/>
        </w:numPr>
        <w:spacing w:after="120"/>
        <w:rPr>
          <w:lang w:eastAsia="en-AU"/>
        </w:rPr>
      </w:pPr>
      <w:bookmarkStart w:id="400" w:name="_Toc495676046"/>
      <w:r>
        <w:t xml:space="preserve">Should the </w:t>
      </w:r>
      <w:r w:rsidR="00DB759E">
        <w:t>offence</w:t>
      </w:r>
      <w:r>
        <w:t xml:space="preserve"> </w:t>
      </w:r>
      <w:r w:rsidR="00DB759E">
        <w:t>covering</w:t>
      </w:r>
      <w:r w:rsidR="00C44D33">
        <w:t xml:space="preserve"> </w:t>
      </w:r>
      <w:r w:rsidR="00DB759E">
        <w:t>improper use of</w:t>
      </w:r>
      <w:r w:rsidR="00C44D33">
        <w:t xml:space="preserve"> information</w:t>
      </w:r>
      <w:r>
        <w:t xml:space="preserve"> be extended to former members of council</w:t>
      </w:r>
      <w:r w:rsidR="00DB759E">
        <w:t xml:space="preserve"> for a period of twelve months</w:t>
      </w:r>
      <w:r>
        <w:t>?</w:t>
      </w:r>
      <w:r w:rsidR="00C44D33">
        <w:t xml:space="preserve">  Why?</w:t>
      </w:r>
    </w:p>
    <w:p w14:paraId="4934A151" w14:textId="5ACE1F7B" w:rsidR="00865137" w:rsidRDefault="00865137" w:rsidP="00DB759E">
      <w:pPr>
        <w:pStyle w:val="BodyText2-nospacebelow"/>
        <w:numPr>
          <w:ilvl w:val="0"/>
          <w:numId w:val="19"/>
        </w:numPr>
        <w:spacing w:after="120"/>
        <w:rPr>
          <w:lang w:eastAsia="en-AU"/>
        </w:rPr>
      </w:pPr>
      <w:r>
        <w:rPr>
          <w:lang w:eastAsia="en-AU"/>
        </w:rPr>
        <w:t>Should this restriction apply to former employees?  Please explain.</w:t>
      </w:r>
    </w:p>
    <w:p w14:paraId="7005668C" w14:textId="7B021346" w:rsidR="00B4536C" w:rsidRPr="00B4536C" w:rsidRDefault="00C24D34" w:rsidP="00750F9E">
      <w:pPr>
        <w:pStyle w:val="Heading3"/>
      </w:pPr>
      <w:bookmarkStart w:id="401" w:name="_Toc495678341"/>
      <w:bookmarkStart w:id="402" w:name="_Toc495998339"/>
      <w:bookmarkStart w:id="403" w:name="_Toc497741809"/>
      <w:bookmarkEnd w:id="400"/>
      <w:r>
        <w:t>Confidentiality</w:t>
      </w:r>
      <w:bookmarkEnd w:id="401"/>
      <w:bookmarkEnd w:id="402"/>
      <w:bookmarkEnd w:id="403"/>
    </w:p>
    <w:p w14:paraId="17454827" w14:textId="77777777" w:rsidR="00BE55BD" w:rsidRDefault="00C24D34" w:rsidP="00AC131F">
      <w:pPr>
        <w:jc w:val="both"/>
      </w:pPr>
      <w:r>
        <w:t xml:space="preserve">Currently, </w:t>
      </w:r>
      <w:r w:rsidR="00FA70FF">
        <w:t>the Act</w:t>
      </w:r>
      <w:r>
        <w:t xml:space="preserve"> </w:t>
      </w:r>
      <w:r w:rsidR="00865137">
        <w:t>restricts</w:t>
      </w:r>
      <w:r>
        <w:t xml:space="preserve"> </w:t>
      </w:r>
      <w:r w:rsidR="00865137">
        <w:t>a person who makes a complaint or becomes aware of any detail of a complaint made</w:t>
      </w:r>
      <w:r>
        <w:t xml:space="preserve"> during the campaign period </w:t>
      </w:r>
      <w:r w:rsidR="00865137">
        <w:t>from disclosing that a complaint has been made or any details.  This restriction applies up until election day.</w:t>
      </w:r>
      <w:r w:rsidR="00BE55BD">
        <w:t xml:space="preserve">  </w:t>
      </w:r>
      <w:r w:rsidR="00865137">
        <w:t xml:space="preserve">This provision was inserted to </w:t>
      </w:r>
      <w:r w:rsidR="00BE55BD">
        <w:t xml:space="preserve">prevent the complaints system being used as a tool in an election period against a candidate seeking re-election.  </w:t>
      </w:r>
    </w:p>
    <w:p w14:paraId="3520CDD3" w14:textId="25F6203A" w:rsidR="00C24D34" w:rsidRPr="00C24D34" w:rsidRDefault="00C24D34" w:rsidP="00AC131F">
      <w:pPr>
        <w:jc w:val="both"/>
      </w:pPr>
      <w:r>
        <w:lastRenderedPageBreak/>
        <w:t xml:space="preserve">The 2015-16 review proposed that </w:t>
      </w:r>
      <w:r w:rsidR="00BE55BD">
        <w:t xml:space="preserve">this restriction on the disclosure of the existence or details of a complaint apply at all times and not only during campaign periods. </w:t>
      </w:r>
    </w:p>
    <w:p w14:paraId="219FF3C6" w14:textId="54BCC984" w:rsidR="00C24D34" w:rsidRPr="00E53FE3" w:rsidRDefault="00E53FE3" w:rsidP="00C24D34">
      <w:pPr>
        <w:pStyle w:val="IntenseQuote"/>
        <w:rPr>
          <w:b/>
          <w:sz w:val="28"/>
        </w:rPr>
      </w:pPr>
      <w:r>
        <w:rPr>
          <w:b/>
          <w:sz w:val="28"/>
        </w:rPr>
        <w:t>Con</w:t>
      </w:r>
      <w:r w:rsidR="00BE55BD">
        <w:rPr>
          <w:b/>
          <w:sz w:val="28"/>
        </w:rPr>
        <w:t>fidentiality: Guidance question</w:t>
      </w:r>
    </w:p>
    <w:p w14:paraId="0ECFCD27" w14:textId="4C289A94" w:rsidR="001F6EA6" w:rsidRDefault="001F6EA6" w:rsidP="00DB759E">
      <w:pPr>
        <w:pStyle w:val="BodyText2-nospacebelow"/>
        <w:numPr>
          <w:ilvl w:val="0"/>
          <w:numId w:val="19"/>
        </w:numPr>
        <w:spacing w:after="120"/>
        <w:rPr>
          <w:lang w:eastAsia="en-AU"/>
        </w:rPr>
      </w:pPr>
      <w:r>
        <w:t xml:space="preserve">Is it appropriate </w:t>
      </w:r>
      <w:r w:rsidR="00FA70FF">
        <w:t xml:space="preserve">to require </w:t>
      </w:r>
      <w:r>
        <w:t xml:space="preserve">the </w:t>
      </w:r>
      <w:r w:rsidR="00BE55BD">
        <w:t xml:space="preserve">existence and </w:t>
      </w:r>
      <w:r>
        <w:t>details of a complaint to remain confidential until the matter is resolved?</w:t>
      </w:r>
      <w:r w:rsidR="00BE55BD">
        <w:t xml:space="preserve">  Why?</w:t>
      </w:r>
    </w:p>
    <w:p w14:paraId="2F116453" w14:textId="0B499EC8" w:rsidR="00241DBB" w:rsidRDefault="001F6EA6" w:rsidP="00163351">
      <w:pPr>
        <w:pStyle w:val="Heading2"/>
        <w:numPr>
          <w:ilvl w:val="1"/>
          <w:numId w:val="30"/>
        </w:numPr>
      </w:pPr>
      <w:bookmarkStart w:id="404" w:name="_Toc495678342"/>
      <w:bookmarkStart w:id="405" w:name="_Toc495676047"/>
      <w:bookmarkStart w:id="406" w:name="_Toc495998340"/>
      <w:bookmarkStart w:id="407" w:name="_Toc497741810"/>
      <w:bookmarkEnd w:id="388"/>
      <w:bookmarkEnd w:id="389"/>
      <w:bookmarkEnd w:id="390"/>
      <w:bookmarkEnd w:id="391"/>
      <w:bookmarkEnd w:id="392"/>
      <w:bookmarkEnd w:id="393"/>
      <w:r>
        <w:t xml:space="preserve">Reforms to the Local Government Standards Panel and the means to review alleged breaches of the Rules of Conduct </w:t>
      </w:r>
      <w:bookmarkEnd w:id="404"/>
      <w:bookmarkEnd w:id="405"/>
      <w:r>
        <w:t>Regulations</w:t>
      </w:r>
      <w:bookmarkEnd w:id="406"/>
      <w:bookmarkEnd w:id="407"/>
    </w:p>
    <w:p w14:paraId="49428677" w14:textId="48754E13" w:rsidR="00241DBB" w:rsidRDefault="000C5C9C" w:rsidP="00AC131F">
      <w:pPr>
        <w:pStyle w:val="BodyText-nospacebelow"/>
        <w:jc w:val="both"/>
      </w:pPr>
      <w:r w:rsidRPr="00241DBB">
        <w:t xml:space="preserve">The </w:t>
      </w:r>
      <w:r w:rsidR="00241DBB" w:rsidRPr="00241DBB">
        <w:t>Local Government Standards Panel</w:t>
      </w:r>
      <w:r w:rsidR="00124F78">
        <w:rPr>
          <w:rStyle w:val="FootnoteReference"/>
        </w:rPr>
        <w:footnoteReference w:id="7"/>
      </w:r>
      <w:r w:rsidR="00241DBB" w:rsidRPr="00241DBB">
        <w:t xml:space="preserve"> </w:t>
      </w:r>
      <w:r>
        <w:t xml:space="preserve">currently </w:t>
      </w:r>
      <w:r w:rsidR="00241DBB" w:rsidRPr="00241DBB">
        <w:t>review</w:t>
      </w:r>
      <w:r w:rsidR="004D3206">
        <w:t>s</w:t>
      </w:r>
      <w:r w:rsidR="00241DBB" w:rsidRPr="00241DBB">
        <w:t xml:space="preserve"> alleged breaches of the Rules of Conduct Regulations. </w:t>
      </w:r>
      <w:r>
        <w:t xml:space="preserve"> </w:t>
      </w:r>
      <w:r w:rsidR="00241DBB" w:rsidRPr="00241DBB">
        <w:t xml:space="preserve">In practice, most local governments and most </w:t>
      </w:r>
      <w:r w:rsidR="00246B9A">
        <w:t>elected member</w:t>
      </w:r>
      <w:r w:rsidR="00241DBB" w:rsidRPr="00241DBB">
        <w:t xml:space="preserve">s have little or no contact with the minor breach system.  Between the commencement of the system in late 2007 and August 2015, 68 per cent of the total minor breach allegations (343 allegations out of 507 in total) </w:t>
      </w:r>
      <w:r w:rsidR="001B10CD">
        <w:t>were</w:t>
      </w:r>
      <w:r w:rsidR="00241DBB" w:rsidRPr="00241DBB">
        <w:t xml:space="preserve"> generated from </w:t>
      </w:r>
      <w:r w:rsidR="004D3206">
        <w:t>less than 10 per</w:t>
      </w:r>
      <w:r w:rsidR="006817C7">
        <w:t xml:space="preserve"> </w:t>
      </w:r>
      <w:r w:rsidR="004D3206">
        <w:t>cent of the State’s local governments and</w:t>
      </w:r>
      <w:r w:rsidR="00241DBB" w:rsidRPr="00241DBB">
        <w:t xml:space="preserve"> involv</w:t>
      </w:r>
      <w:r w:rsidR="001B10CD">
        <w:t>ed</w:t>
      </w:r>
      <w:r w:rsidR="00241DBB" w:rsidRPr="00241DBB">
        <w:t xml:space="preserve"> complaints against </w:t>
      </w:r>
      <w:r w:rsidR="00494081">
        <w:t>just 6 per cent of all</w:t>
      </w:r>
      <w:r w:rsidR="00494081" w:rsidRPr="00241DBB">
        <w:t xml:space="preserve"> </w:t>
      </w:r>
      <w:r w:rsidR="00246B9A">
        <w:t>elected member</w:t>
      </w:r>
      <w:r w:rsidR="00241DBB" w:rsidRPr="00241DBB">
        <w:t xml:space="preserve">s.  </w:t>
      </w:r>
      <w:r w:rsidR="006817C7">
        <w:t>80</w:t>
      </w:r>
      <w:r w:rsidR="006817C7" w:rsidRPr="00241DBB">
        <w:t xml:space="preserve"> </w:t>
      </w:r>
      <w:r w:rsidR="00241DBB" w:rsidRPr="00241DBB">
        <w:t xml:space="preserve">local governments have not used the system at all.  </w:t>
      </w:r>
    </w:p>
    <w:p w14:paraId="182D538E" w14:textId="77777777" w:rsidR="008A29DA" w:rsidRPr="00241DBB" w:rsidRDefault="008A29DA" w:rsidP="00AC131F">
      <w:pPr>
        <w:pStyle w:val="BodyText-nospacebelow"/>
        <w:jc w:val="both"/>
      </w:pPr>
    </w:p>
    <w:p w14:paraId="1DEB3DA3" w14:textId="2551CAA0" w:rsidR="007D67E2" w:rsidRDefault="007D67E2" w:rsidP="00AC131F">
      <w:pPr>
        <w:pStyle w:val="BodyText-nospacebelow"/>
        <w:jc w:val="both"/>
      </w:pPr>
      <w:r>
        <w:t>A graph of the number of complaints received by the Panel since 2011-12 shows that there have been large increases in complaints over the past three financial years.</w:t>
      </w:r>
    </w:p>
    <w:p w14:paraId="64A861E4" w14:textId="77777777" w:rsidR="007D67E2" w:rsidRDefault="007D67E2" w:rsidP="007D67E2">
      <w:pPr>
        <w:pStyle w:val="BodyText-nospacebelow"/>
      </w:pPr>
    </w:p>
    <w:p w14:paraId="2AC05334" w14:textId="77777777" w:rsidR="007D67E2" w:rsidRDefault="007D67E2" w:rsidP="007D67E2">
      <w:pPr>
        <w:pStyle w:val="BodyText-nospacebelow"/>
      </w:pPr>
      <w:r>
        <w:rPr>
          <w:noProof/>
          <w:lang w:eastAsia="en-AU"/>
        </w:rPr>
        <w:lastRenderedPageBreak/>
        <w:drawing>
          <wp:inline distT="0" distB="0" distL="0" distR="0" wp14:anchorId="5C0475FB" wp14:editId="1E637C2E">
            <wp:extent cx="5730240" cy="3307080"/>
            <wp:effectExtent l="0" t="0" r="3810" b="7620"/>
            <wp:docPr id="1" name="Picture 1" descr="In 2011, thirty two complaints received and thirty six finalised. In 2012, twenty complaints received and thirty seven finalised. In 2013, seventeen complaints received and twenty eight finalised. In 2014, fifty five complaints received and thirty one finalised. In 2015, fifty five complaints received and fifty seven finalised. In 2016, sixty eight complaints received and fifty nine finalised. " title="Standard panel compl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3136.717B090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30240" cy="3307080"/>
                    </a:xfrm>
                    <a:prstGeom prst="rect">
                      <a:avLst/>
                    </a:prstGeom>
                    <a:noFill/>
                    <a:ln>
                      <a:noFill/>
                    </a:ln>
                  </pic:spPr>
                </pic:pic>
              </a:graphicData>
            </a:graphic>
          </wp:inline>
        </w:drawing>
      </w:r>
    </w:p>
    <w:p w14:paraId="2F44B088" w14:textId="77777777" w:rsidR="007D67E2" w:rsidRDefault="007D67E2" w:rsidP="007D67E2">
      <w:pPr>
        <w:pStyle w:val="BodyText-nospacebelow"/>
      </w:pPr>
    </w:p>
    <w:p w14:paraId="7935258C" w14:textId="5740F855" w:rsidR="00241DBB" w:rsidRDefault="00241DBB" w:rsidP="00AC131F">
      <w:pPr>
        <w:pStyle w:val="BodyText-nospacebelow"/>
        <w:jc w:val="both"/>
      </w:pPr>
      <w:r w:rsidRPr="00241DBB">
        <w:t xml:space="preserve">While the minor breach system appears to be supported in principle by the local government sector, the current system can be slow, and does not necessarily allow for early intervention to address inappropriate behaviour. </w:t>
      </w:r>
      <w:r w:rsidR="007D67E2">
        <w:t xml:space="preserve"> </w:t>
      </w:r>
      <w:r w:rsidR="004E6660">
        <w:t>The significant number of complaints – and procedural fairness requirements – mean that the process is lengthy.</w:t>
      </w:r>
      <w:r w:rsidR="00F84227">
        <w:t xml:space="preserve">  </w:t>
      </w:r>
      <w:r w:rsidR="004E6660">
        <w:t>The goal to deter inappropriate conduct by</w:t>
      </w:r>
      <w:r w:rsidR="00646E2E">
        <w:t xml:space="preserve"> individual </w:t>
      </w:r>
      <w:r w:rsidR="00246B9A">
        <w:t>elected member</w:t>
      </w:r>
      <w:r w:rsidR="00646E2E">
        <w:t>s may</w:t>
      </w:r>
      <w:r w:rsidR="00F84227">
        <w:t xml:space="preserve"> consequently </w:t>
      </w:r>
      <w:r w:rsidR="004E6660">
        <w:t xml:space="preserve">be lost.  </w:t>
      </w:r>
      <w:r w:rsidRPr="00241DBB">
        <w:t xml:space="preserve">A </w:t>
      </w:r>
      <w:r w:rsidR="004E6660" w:rsidRPr="00241DBB">
        <w:t xml:space="preserve">breach </w:t>
      </w:r>
      <w:r w:rsidRPr="00241DBB">
        <w:t xml:space="preserve">finding may be an overreaction to a matter which is </w:t>
      </w:r>
      <w:r w:rsidR="004E6660">
        <w:t>relatively minor</w:t>
      </w:r>
      <w:r w:rsidR="00494081">
        <w:t>, and</w:t>
      </w:r>
      <w:r w:rsidRPr="00241DBB">
        <w:t xml:space="preserve"> which could be better dealt with in other ways. </w:t>
      </w:r>
    </w:p>
    <w:p w14:paraId="06EE6B64" w14:textId="77777777" w:rsidR="005E0504" w:rsidRDefault="005E0504" w:rsidP="00241DBB">
      <w:pPr>
        <w:pStyle w:val="BodyText-nospacebelow"/>
      </w:pPr>
    </w:p>
    <w:p w14:paraId="039A94CD" w14:textId="03322C2E" w:rsidR="005E0504" w:rsidRDefault="005E0504" w:rsidP="00AC131F">
      <w:pPr>
        <w:pStyle w:val="BodyText-nospacebelow"/>
        <w:jc w:val="both"/>
      </w:pPr>
      <w:r>
        <w:t>Of the 59 complaints of minor breach that were finalised by the Panel during 2016</w:t>
      </w:r>
      <w:r w:rsidR="001A1C81">
        <w:noBreakHyphen/>
      </w:r>
      <w:r>
        <w:t>17</w:t>
      </w:r>
      <w:r w:rsidR="005B1F86">
        <w:rPr>
          <w:rStyle w:val="FootnoteReference"/>
        </w:rPr>
        <w:footnoteReference w:id="8"/>
      </w:r>
      <w:r>
        <w:t>, the Panel made findings that:</w:t>
      </w:r>
    </w:p>
    <w:p w14:paraId="5C4B3C29" w14:textId="77777777" w:rsidR="005E0504" w:rsidRDefault="005E0504" w:rsidP="00AC131F">
      <w:pPr>
        <w:pStyle w:val="BodyText-nospacebelow"/>
        <w:numPr>
          <w:ilvl w:val="0"/>
          <w:numId w:val="104"/>
        </w:numPr>
        <w:jc w:val="both"/>
      </w:pPr>
      <w:r>
        <w:t>14 minor breaches had occurred</w:t>
      </w:r>
    </w:p>
    <w:p w14:paraId="4D4FD9DE" w14:textId="77777777" w:rsidR="005E0504" w:rsidRDefault="005E0504" w:rsidP="00AC131F">
      <w:pPr>
        <w:pStyle w:val="BodyText-nospacebelow"/>
        <w:numPr>
          <w:ilvl w:val="0"/>
          <w:numId w:val="104"/>
        </w:numPr>
        <w:jc w:val="both"/>
      </w:pPr>
      <w:r>
        <w:t>No minor breach had occurred in relation to 22 complaints.</w:t>
      </w:r>
    </w:p>
    <w:p w14:paraId="0B6605D9" w14:textId="77777777" w:rsidR="005E0504" w:rsidRDefault="005E0504" w:rsidP="00AC131F">
      <w:pPr>
        <w:pStyle w:val="BodyText-nospacebelow"/>
        <w:jc w:val="both"/>
      </w:pPr>
    </w:p>
    <w:p w14:paraId="63FB1465" w14:textId="77777777" w:rsidR="005E0504" w:rsidRDefault="005E0504" w:rsidP="00AC131F">
      <w:pPr>
        <w:pStyle w:val="BodyText-nospacebelow"/>
        <w:jc w:val="both"/>
      </w:pPr>
      <w:r>
        <w:t>Of the remaining complaints:</w:t>
      </w:r>
    </w:p>
    <w:p w14:paraId="324A5A3B" w14:textId="77777777" w:rsidR="005E0504" w:rsidRDefault="005E0504" w:rsidP="00AC131F">
      <w:pPr>
        <w:pStyle w:val="BodyText-nospacebelow"/>
        <w:numPr>
          <w:ilvl w:val="0"/>
          <w:numId w:val="105"/>
        </w:numPr>
        <w:jc w:val="both"/>
      </w:pPr>
      <w:r>
        <w:t>There were five complaints that were finalised on the basis that the Panel did not have jurisdiction to consider them or there was no allegation of minor breach.</w:t>
      </w:r>
    </w:p>
    <w:p w14:paraId="697466B8" w14:textId="77777777" w:rsidR="005E0504" w:rsidRDefault="005E0504" w:rsidP="00AC131F">
      <w:pPr>
        <w:pStyle w:val="BodyText-nospacebelow"/>
        <w:numPr>
          <w:ilvl w:val="0"/>
          <w:numId w:val="105"/>
        </w:numPr>
        <w:jc w:val="both"/>
      </w:pPr>
      <w:r>
        <w:t>There were 10 complaints which were finalised by becoming suspended as a consequence of the councillor, the subject of the complaint, ceasing to be an elected member.</w:t>
      </w:r>
    </w:p>
    <w:p w14:paraId="31958027" w14:textId="77777777" w:rsidR="005E0504" w:rsidRDefault="005E0504" w:rsidP="00AC131F">
      <w:pPr>
        <w:pStyle w:val="BodyText-nospacebelow"/>
        <w:numPr>
          <w:ilvl w:val="0"/>
          <w:numId w:val="105"/>
        </w:numPr>
        <w:jc w:val="both"/>
      </w:pPr>
      <w:r>
        <w:lastRenderedPageBreak/>
        <w:t>The Panel refused to deal with eight complaints because it was satisfied that the complaints were either frivolous, trivial, vexatious, misconceived or without substance.</w:t>
      </w:r>
    </w:p>
    <w:p w14:paraId="38F74A82" w14:textId="77777777" w:rsidR="00241DBB" w:rsidRPr="00241DBB" w:rsidRDefault="00241DBB" w:rsidP="008A29DA">
      <w:pPr>
        <w:pStyle w:val="Heading2"/>
      </w:pPr>
      <w:bookmarkStart w:id="408" w:name="_Toc491097262"/>
      <w:bookmarkStart w:id="409" w:name="_Toc491097652"/>
      <w:bookmarkStart w:id="410" w:name="_Toc491857110"/>
      <w:bookmarkStart w:id="411" w:name="_Toc491872730"/>
      <w:bookmarkStart w:id="412" w:name="_Toc491873664"/>
      <w:bookmarkStart w:id="413" w:name="_Toc491934292"/>
      <w:bookmarkStart w:id="414" w:name="_Toc492368921"/>
      <w:bookmarkStart w:id="415" w:name="_Toc492386648"/>
      <w:bookmarkStart w:id="416" w:name="_Toc492468890"/>
      <w:bookmarkStart w:id="417" w:name="_Toc492470565"/>
      <w:bookmarkStart w:id="418" w:name="_Toc492471245"/>
      <w:bookmarkStart w:id="419" w:name="_Toc492471367"/>
      <w:bookmarkStart w:id="420" w:name="_Toc493746718"/>
      <w:bookmarkStart w:id="421" w:name="_Toc493768850"/>
      <w:bookmarkStart w:id="422" w:name="_Toc493859920"/>
      <w:bookmarkStart w:id="423" w:name="_Toc495491820"/>
      <w:bookmarkStart w:id="424" w:name="_Toc495497600"/>
      <w:bookmarkStart w:id="425" w:name="_Toc495671447"/>
      <w:bookmarkStart w:id="426" w:name="_Toc495676048"/>
      <w:bookmarkStart w:id="427" w:name="_Toc495678343"/>
      <w:bookmarkStart w:id="428" w:name="_Toc495998341"/>
      <w:bookmarkStart w:id="429" w:name="_Toc497741811"/>
      <w:r w:rsidRPr="00241DBB">
        <w:t>Across Australia</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bl>
      <w:tblPr>
        <w:tblStyle w:val="DLGCTable-Data"/>
        <w:tblW w:w="0" w:type="auto"/>
        <w:tblLook w:val="04A0" w:firstRow="1" w:lastRow="0" w:firstColumn="1" w:lastColumn="0" w:noHBand="0" w:noVBand="1"/>
      </w:tblPr>
      <w:tblGrid>
        <w:gridCol w:w="2254"/>
        <w:gridCol w:w="6677"/>
      </w:tblGrid>
      <w:tr w:rsidR="007A2BAB" w:rsidRPr="00241DBB" w14:paraId="52078E26" w14:textId="77777777" w:rsidTr="00A7265E">
        <w:trPr>
          <w:cnfStyle w:val="100000000000" w:firstRow="1" w:lastRow="0" w:firstColumn="0" w:lastColumn="0" w:oddVBand="0" w:evenVBand="0" w:oddHBand="0" w:evenHBand="0" w:firstRowFirstColumn="0" w:firstRowLastColumn="0" w:lastRowFirstColumn="0" w:lastRowLastColumn="0"/>
          <w:trHeight w:val="389"/>
        </w:trPr>
        <w:tc>
          <w:tcPr>
            <w:tcW w:w="2254" w:type="dxa"/>
          </w:tcPr>
          <w:p w14:paraId="01F22131" w14:textId="77777777" w:rsidR="007A2BAB" w:rsidRPr="00241DBB" w:rsidRDefault="007A2BAB" w:rsidP="00241DBB">
            <w:pPr>
              <w:pStyle w:val="BodyText-nospacebelow"/>
              <w:spacing w:before="0" w:line="276" w:lineRule="auto"/>
              <w:ind w:left="0" w:right="0"/>
            </w:pPr>
            <w:r w:rsidRPr="00241DBB">
              <w:t>Jurisdiction</w:t>
            </w:r>
          </w:p>
        </w:tc>
        <w:tc>
          <w:tcPr>
            <w:tcW w:w="6677" w:type="dxa"/>
          </w:tcPr>
          <w:p w14:paraId="40EFFE9C" w14:textId="77777777" w:rsidR="007A2BAB" w:rsidRPr="00241DBB" w:rsidRDefault="007A2BAB" w:rsidP="00241DBB">
            <w:pPr>
              <w:pStyle w:val="BodyText-nospacebelow"/>
              <w:spacing w:before="0" w:line="276" w:lineRule="auto"/>
              <w:ind w:left="0" w:right="0"/>
            </w:pPr>
          </w:p>
        </w:tc>
      </w:tr>
      <w:tr w:rsidR="007A2BAB" w:rsidRPr="00241DBB" w14:paraId="7364177E" w14:textId="77777777" w:rsidTr="000F19B0">
        <w:tc>
          <w:tcPr>
            <w:tcW w:w="2254" w:type="dxa"/>
          </w:tcPr>
          <w:p w14:paraId="06E532BB" w14:textId="77777777" w:rsidR="007A2BAB" w:rsidRPr="00241DBB" w:rsidRDefault="007A2BAB" w:rsidP="00241DBB">
            <w:pPr>
              <w:pStyle w:val="BodyText-nospacebelow"/>
              <w:spacing w:before="0" w:line="276" w:lineRule="auto"/>
              <w:ind w:left="0" w:right="0"/>
            </w:pPr>
            <w:r w:rsidRPr="00241DBB">
              <w:t>New South Wales</w:t>
            </w:r>
          </w:p>
        </w:tc>
        <w:tc>
          <w:tcPr>
            <w:tcW w:w="6677" w:type="dxa"/>
          </w:tcPr>
          <w:p w14:paraId="21D7EB21" w14:textId="77777777" w:rsidR="007A2BAB" w:rsidRPr="00241DBB" w:rsidRDefault="00BF018F" w:rsidP="00F97F35">
            <w:pPr>
              <w:pStyle w:val="BodyText-nospacebelow"/>
              <w:spacing w:before="0" w:after="120" w:line="276" w:lineRule="auto"/>
              <w:ind w:left="0" w:right="0"/>
            </w:pPr>
            <w:r>
              <w:t xml:space="preserve">Local governments are required to manage any breach to the Model Code of Conduct at a local level, </w:t>
            </w:r>
            <w:r w:rsidR="001B10CD">
              <w:t>including</w:t>
            </w:r>
            <w:r>
              <w:t xml:space="preserve"> the appointment of a person to review allegations. Council is required to establish by resolut</w:t>
            </w:r>
            <w:r w:rsidR="001B10CD">
              <w:t>ion a panel of conduct reviewer.</w:t>
            </w:r>
            <w:r>
              <w:t xml:space="preserve"> </w:t>
            </w:r>
            <w:r w:rsidR="001B10CD">
              <w:t>C</w:t>
            </w:r>
            <w:r>
              <w:t xml:space="preserve">ouncils </w:t>
            </w:r>
            <w:r w:rsidR="001B10CD">
              <w:t>may</w:t>
            </w:r>
            <w:r>
              <w:t xml:space="preserve"> share a panel of conduct reviewers</w:t>
            </w:r>
            <w:r>
              <w:rPr>
                <w:rStyle w:val="FootnoteReference"/>
              </w:rPr>
              <w:footnoteReference w:id="9"/>
            </w:r>
            <w:r>
              <w:t>.</w:t>
            </w:r>
          </w:p>
        </w:tc>
      </w:tr>
      <w:tr w:rsidR="00B028E4" w:rsidRPr="00241DBB" w14:paraId="1AB432DE" w14:textId="77777777" w:rsidTr="00CD184D">
        <w:tc>
          <w:tcPr>
            <w:tcW w:w="2254" w:type="dxa"/>
          </w:tcPr>
          <w:p w14:paraId="2A0260FA" w14:textId="77777777" w:rsidR="00B028E4" w:rsidRPr="00241DBB" w:rsidRDefault="00B028E4" w:rsidP="00CD184D">
            <w:pPr>
              <w:pStyle w:val="BodyText-nospacebelow"/>
              <w:spacing w:before="0" w:line="276" w:lineRule="auto"/>
              <w:ind w:left="0" w:right="0"/>
            </w:pPr>
            <w:r w:rsidRPr="00241DBB">
              <w:t>Victoria</w:t>
            </w:r>
          </w:p>
        </w:tc>
        <w:tc>
          <w:tcPr>
            <w:tcW w:w="6677" w:type="dxa"/>
          </w:tcPr>
          <w:p w14:paraId="384F17C9" w14:textId="77777777" w:rsidR="00B028E4" w:rsidRDefault="00B028E4" w:rsidP="00CD184D">
            <w:pPr>
              <w:pStyle w:val="BodyText-nospacebelow"/>
              <w:spacing w:before="0" w:after="120" w:line="276" w:lineRule="auto"/>
              <w:ind w:left="0" w:right="0"/>
            </w:pPr>
            <w:r>
              <w:t>Local government councils are required to have an internal resolution procedure to address a breach of a code of conduct, including providing for an independent arbiter.</w:t>
            </w:r>
          </w:p>
          <w:p w14:paraId="4D504001" w14:textId="36D58161" w:rsidR="00B028E4" w:rsidRPr="00241DBB" w:rsidRDefault="00B028E4" w:rsidP="00CD184D">
            <w:pPr>
              <w:pStyle w:val="BodyText-nospacebelow"/>
              <w:spacing w:before="0" w:after="120" w:line="276" w:lineRule="auto"/>
              <w:ind w:left="0" w:right="0"/>
            </w:pPr>
            <w:r>
              <w:t xml:space="preserve">If the </w:t>
            </w:r>
            <w:r w:rsidR="00246B9A">
              <w:t>elected member</w:t>
            </w:r>
            <w:r>
              <w:t xml:space="preserve"> does not comply with the internal resolution process or repeatedly breaches the code of conduct (considered misconduct), the breach is referred to an independent Councillor Conduct Panel. The Councillor Conduct Panel is established by the Minister for Local Government and comprises legal and non-legal members (five members in total).</w:t>
            </w:r>
          </w:p>
        </w:tc>
      </w:tr>
      <w:tr w:rsidR="007A2BAB" w:rsidRPr="00241DBB" w14:paraId="78A1CF18" w14:textId="77777777" w:rsidTr="000F19B0">
        <w:tc>
          <w:tcPr>
            <w:tcW w:w="2254" w:type="dxa"/>
          </w:tcPr>
          <w:p w14:paraId="61E63A0D" w14:textId="77777777" w:rsidR="007A2BAB" w:rsidRPr="00241DBB" w:rsidRDefault="007A2BAB" w:rsidP="00241DBB">
            <w:pPr>
              <w:pStyle w:val="BodyText-nospacebelow"/>
              <w:spacing w:before="0" w:line="276" w:lineRule="auto"/>
              <w:ind w:left="0" w:right="0"/>
            </w:pPr>
            <w:r w:rsidRPr="00241DBB">
              <w:t>Queensland</w:t>
            </w:r>
          </w:p>
        </w:tc>
        <w:tc>
          <w:tcPr>
            <w:tcW w:w="6677" w:type="dxa"/>
          </w:tcPr>
          <w:p w14:paraId="584DF989" w14:textId="77777777" w:rsidR="00AA415C" w:rsidRDefault="00AA415C" w:rsidP="00F97F35">
            <w:pPr>
              <w:pStyle w:val="BodyText-nospacebelow"/>
              <w:spacing w:before="0" w:after="120" w:line="276" w:lineRule="auto"/>
              <w:ind w:left="0" w:right="0"/>
            </w:pPr>
            <w:r>
              <w:t xml:space="preserve">The Regional Conduct Review Panel is an independent body established under the </w:t>
            </w:r>
            <w:r w:rsidR="00142449" w:rsidRPr="00142449">
              <w:rPr>
                <w:i/>
              </w:rPr>
              <w:t>Local</w:t>
            </w:r>
            <w:r w:rsidRPr="00142449">
              <w:rPr>
                <w:i/>
              </w:rPr>
              <w:t xml:space="preserve"> Government Act 2009</w:t>
            </w:r>
            <w:r>
              <w:t xml:space="preserve"> (Qld) to hear and decide on complaints of misconduct. The Panel </w:t>
            </w:r>
            <w:r w:rsidR="001B10CD">
              <w:t>consists of</w:t>
            </w:r>
            <w:r>
              <w:t xml:space="preserve"> three members</w:t>
            </w:r>
            <w:r w:rsidR="001B10CD">
              <w:t xml:space="preserve"> from a pool of suitably</w:t>
            </w:r>
            <w:r>
              <w:t xml:space="preserve"> qualified persons appointed by the Department. The Panel is supported by the </w:t>
            </w:r>
            <w:r w:rsidR="007817C6">
              <w:t>Department</w:t>
            </w:r>
            <w:r>
              <w:t>.</w:t>
            </w:r>
            <w:r w:rsidR="00F97F35">
              <w:t xml:space="preserve"> </w:t>
            </w:r>
          </w:p>
          <w:p w14:paraId="426ADD6D" w14:textId="6F4E75F0" w:rsidR="007A2BAB" w:rsidRDefault="00DC6494" w:rsidP="00F97F35">
            <w:pPr>
              <w:pStyle w:val="BodyText-nospacebelow"/>
              <w:spacing w:before="0" w:after="120" w:line="276" w:lineRule="auto"/>
              <w:ind w:left="0" w:right="0"/>
            </w:pPr>
            <w:r>
              <w:t xml:space="preserve">A Remuneration and Discipline Tribunal is </w:t>
            </w:r>
            <w:r w:rsidR="001B10CD">
              <w:t xml:space="preserve">also </w:t>
            </w:r>
            <w:r>
              <w:t xml:space="preserve">established </w:t>
            </w:r>
            <w:r w:rsidR="001B10CD">
              <w:t>to</w:t>
            </w:r>
            <w:r>
              <w:t xml:space="preserve"> deal with remuneration for </w:t>
            </w:r>
            <w:r w:rsidR="00246B9A">
              <w:t>elected member</w:t>
            </w:r>
            <w:r>
              <w:t>s and determin</w:t>
            </w:r>
            <w:r w:rsidR="001B10CD">
              <w:t>e</w:t>
            </w:r>
            <w:r>
              <w:t xml:space="preserve"> cases of</w:t>
            </w:r>
            <w:r w:rsidR="00AA415C">
              <w:t xml:space="preserve"> serious</w:t>
            </w:r>
            <w:r>
              <w:t xml:space="preserve"> misconduct. </w:t>
            </w:r>
            <w:r w:rsidR="00096615">
              <w:t xml:space="preserve"> </w:t>
            </w:r>
            <w:r>
              <w:t xml:space="preserve">The Tribunal consists of three people appointed by the Governor. </w:t>
            </w:r>
          </w:p>
          <w:p w14:paraId="18BD8494" w14:textId="77777777" w:rsidR="00096615" w:rsidRDefault="001062CC" w:rsidP="00F97F35">
            <w:pPr>
              <w:pStyle w:val="BodyText-nospacebelow"/>
              <w:spacing w:before="0" w:after="120" w:line="276" w:lineRule="auto"/>
              <w:ind w:left="0" w:right="0"/>
            </w:pPr>
            <w:r>
              <w:t>Changes are proposed to this system following a</w:t>
            </w:r>
            <w:r w:rsidR="00096615">
              <w:t xml:space="preserve"> report tabled in Parliament in </w:t>
            </w:r>
            <w:r>
              <w:t xml:space="preserve">July </w:t>
            </w:r>
            <w:r w:rsidR="00096615">
              <w:t>2017 recommend</w:t>
            </w:r>
            <w:r>
              <w:t>ing</w:t>
            </w:r>
            <w:r w:rsidR="00096615">
              <w:t xml:space="preserve"> the introduction of an Independent Assessor to consider all </w:t>
            </w:r>
            <w:r w:rsidR="00096615">
              <w:lastRenderedPageBreak/>
              <w:t>complaints against councillors</w:t>
            </w:r>
            <w:r>
              <w:rPr>
                <w:rStyle w:val="FootnoteReference"/>
              </w:rPr>
              <w:footnoteReference w:id="10"/>
            </w:r>
            <w:r w:rsidR="00096615">
              <w:t>. The Assessor will be able to assess and prosecute complaints.</w:t>
            </w:r>
          </w:p>
          <w:p w14:paraId="3993DD69" w14:textId="77777777" w:rsidR="001062CC" w:rsidRPr="00241DBB" w:rsidRDefault="001062CC" w:rsidP="00F97F35">
            <w:pPr>
              <w:pStyle w:val="BodyText-nospacebelow"/>
              <w:spacing w:before="0" w:after="120" w:line="276" w:lineRule="auto"/>
              <w:ind w:left="0" w:right="0"/>
            </w:pPr>
            <w:r>
              <w:t>The report follows an independent Councillor Complaints Review Panel that was appointed in April 2016 to review how complaints about local governm</w:t>
            </w:r>
            <w:r w:rsidR="001B10CD">
              <w:t>ent councillors were dealt with</w:t>
            </w:r>
            <w:r>
              <w:rPr>
                <w:rStyle w:val="FootnoteReference"/>
              </w:rPr>
              <w:footnoteReference w:id="11"/>
            </w:r>
            <w:r w:rsidR="001B10CD">
              <w:t>.</w:t>
            </w:r>
          </w:p>
        </w:tc>
      </w:tr>
      <w:tr w:rsidR="007A2BAB" w:rsidRPr="00241DBB" w14:paraId="7B3A16FB" w14:textId="77777777" w:rsidTr="000F19B0">
        <w:tc>
          <w:tcPr>
            <w:tcW w:w="2254" w:type="dxa"/>
          </w:tcPr>
          <w:p w14:paraId="7670166E" w14:textId="77777777" w:rsidR="007A2BAB" w:rsidRPr="0093261E" w:rsidRDefault="007A2BAB" w:rsidP="00241DBB">
            <w:pPr>
              <w:pStyle w:val="BodyText-nospacebelow"/>
              <w:spacing w:before="0" w:line="276" w:lineRule="auto"/>
              <w:ind w:left="0" w:right="0"/>
            </w:pPr>
            <w:r w:rsidRPr="0093261E">
              <w:lastRenderedPageBreak/>
              <w:t>South Australia</w:t>
            </w:r>
          </w:p>
        </w:tc>
        <w:tc>
          <w:tcPr>
            <w:tcW w:w="6677" w:type="dxa"/>
          </w:tcPr>
          <w:p w14:paraId="45196D0D" w14:textId="77777777" w:rsidR="00922E89" w:rsidRPr="0093261E" w:rsidRDefault="00922E89" w:rsidP="00F97F35">
            <w:pPr>
              <w:pStyle w:val="BodyText-nospacebelow"/>
              <w:spacing w:before="0" w:after="120" w:line="276" w:lineRule="auto"/>
              <w:ind w:left="0" w:right="0"/>
            </w:pPr>
            <w:r w:rsidRPr="0093261E">
              <w:t xml:space="preserve">The Code of Conduct outlines the review process for complaints and misconduct. </w:t>
            </w:r>
          </w:p>
          <w:p w14:paraId="7B79658F" w14:textId="77777777" w:rsidR="007A2BAB" w:rsidRPr="0093261E" w:rsidRDefault="00922E89" w:rsidP="00F97F35">
            <w:pPr>
              <w:pStyle w:val="BodyText-nospacebelow"/>
              <w:spacing w:before="0" w:after="120" w:line="276" w:lineRule="auto"/>
              <w:ind w:left="0" w:right="0"/>
            </w:pPr>
            <w:r w:rsidRPr="0093261E">
              <w:t xml:space="preserve">Complaints of misconduct, which </w:t>
            </w:r>
            <w:r w:rsidR="00C602CE" w:rsidRPr="0093261E">
              <w:t>are</w:t>
            </w:r>
            <w:r w:rsidRPr="0093261E">
              <w:t xml:space="preserve"> </w:t>
            </w:r>
            <w:r w:rsidR="0093261E" w:rsidRPr="0093261E">
              <w:t>specified</w:t>
            </w:r>
            <w:r w:rsidRPr="0093261E">
              <w:t xml:space="preserve"> in the Code of Conduct, can be </w:t>
            </w:r>
            <w:r w:rsidR="00C602CE" w:rsidRPr="0093261E">
              <w:t xml:space="preserve">reported to the Council, Ombudsman, Electoral Commission (for specific breaches) or Office for Public Integrity. </w:t>
            </w:r>
          </w:p>
        </w:tc>
      </w:tr>
      <w:tr w:rsidR="007A2BAB" w:rsidRPr="00241DBB" w14:paraId="1CDCDCFD" w14:textId="77777777" w:rsidTr="000F19B0">
        <w:tc>
          <w:tcPr>
            <w:tcW w:w="2254" w:type="dxa"/>
          </w:tcPr>
          <w:p w14:paraId="7E909B15" w14:textId="77777777" w:rsidR="007A2BAB" w:rsidRPr="00241DBB" w:rsidRDefault="004A01EA" w:rsidP="00241DBB">
            <w:pPr>
              <w:pStyle w:val="BodyText-nospacebelow"/>
              <w:spacing w:before="0" w:line="276" w:lineRule="auto"/>
              <w:ind w:left="0" w:right="0"/>
            </w:pPr>
            <w:r>
              <w:t>Tasmania</w:t>
            </w:r>
          </w:p>
        </w:tc>
        <w:tc>
          <w:tcPr>
            <w:tcW w:w="6677" w:type="dxa"/>
          </w:tcPr>
          <w:p w14:paraId="0C9A773B" w14:textId="77777777" w:rsidR="007A2BAB" w:rsidRPr="00241DBB" w:rsidRDefault="004A01EA" w:rsidP="00F97F35">
            <w:pPr>
              <w:pStyle w:val="BodyText-nospacebelow"/>
              <w:spacing w:before="0" w:after="120" w:line="276" w:lineRule="auto"/>
              <w:ind w:left="0" w:right="0"/>
            </w:pPr>
            <w:r>
              <w:t>The Minister has established a Local Government Code of Conduct Panel which is responsible for the investigation and determination of code of conduct complaints.</w:t>
            </w:r>
          </w:p>
        </w:tc>
      </w:tr>
    </w:tbl>
    <w:p w14:paraId="6016A57B" w14:textId="77777777" w:rsidR="00241DBB" w:rsidRPr="00241DBB" w:rsidRDefault="00241DBB" w:rsidP="00970051">
      <w:pPr>
        <w:pStyle w:val="Heading3"/>
      </w:pPr>
      <w:bookmarkStart w:id="430" w:name="_Toc493746719"/>
      <w:bookmarkStart w:id="431" w:name="_Toc493768851"/>
      <w:bookmarkStart w:id="432" w:name="_Toc493859921"/>
      <w:bookmarkStart w:id="433" w:name="_Toc495491821"/>
      <w:bookmarkStart w:id="434" w:name="_Toc495497601"/>
      <w:bookmarkStart w:id="435" w:name="_Toc495671448"/>
      <w:bookmarkStart w:id="436" w:name="_Toc495676049"/>
      <w:bookmarkStart w:id="437" w:name="_Toc495678344"/>
      <w:bookmarkStart w:id="438" w:name="_Toc495998342"/>
      <w:bookmarkStart w:id="439" w:name="_Toc497741812"/>
      <w:r w:rsidRPr="00241DBB">
        <w:t>Option 1: Status Quo</w:t>
      </w:r>
      <w:bookmarkEnd w:id="430"/>
      <w:bookmarkEnd w:id="431"/>
      <w:bookmarkEnd w:id="432"/>
      <w:bookmarkEnd w:id="433"/>
      <w:bookmarkEnd w:id="434"/>
      <w:bookmarkEnd w:id="435"/>
      <w:bookmarkEnd w:id="436"/>
      <w:bookmarkEnd w:id="437"/>
      <w:bookmarkEnd w:id="438"/>
      <w:bookmarkEnd w:id="439"/>
    </w:p>
    <w:p w14:paraId="5FD75C23" w14:textId="71EC04DF" w:rsidR="00241DBB" w:rsidRDefault="00241DBB" w:rsidP="00AC131F">
      <w:pPr>
        <w:pStyle w:val="BodyText-nospacebelow"/>
        <w:jc w:val="both"/>
      </w:pPr>
      <w:r w:rsidRPr="00241DBB">
        <w:t xml:space="preserve">Option 1 is to maintain </w:t>
      </w:r>
      <w:r w:rsidR="00494081">
        <w:t xml:space="preserve">the </w:t>
      </w:r>
      <w:r w:rsidRPr="00241DBB">
        <w:t xml:space="preserve">Status Quo where all complaints against the Rules of Conduct Regulations are referred to the Standards Panel. The three person Panel consists of a person from the </w:t>
      </w:r>
      <w:r w:rsidR="007817C6">
        <w:t>Department</w:t>
      </w:r>
      <w:r w:rsidRPr="00241DBB">
        <w:t>, a person who has experience as a member of a council and a person with relevant legal knowledge.</w:t>
      </w:r>
    </w:p>
    <w:p w14:paraId="63F69F9A" w14:textId="77777777" w:rsidR="00970051" w:rsidRPr="00241DBB" w:rsidRDefault="00970051" w:rsidP="00AC131F">
      <w:pPr>
        <w:pStyle w:val="BodyText-nospacebelow"/>
        <w:jc w:val="both"/>
      </w:pPr>
    </w:p>
    <w:p w14:paraId="0755BE93" w14:textId="548CAD48" w:rsidR="00494081" w:rsidRDefault="00241DBB" w:rsidP="00AC131F">
      <w:pPr>
        <w:pStyle w:val="BodyText-nospacebelow"/>
        <w:jc w:val="both"/>
      </w:pPr>
      <w:r w:rsidRPr="00241DBB">
        <w:t>While the Act provides that more than one panel can be established, to date only one has been created</w:t>
      </w:r>
      <w:r w:rsidR="002B0E10">
        <w:t xml:space="preserve">. </w:t>
      </w:r>
      <w:r w:rsidR="00BE55BD">
        <w:t xml:space="preserve"> </w:t>
      </w:r>
      <w:r w:rsidR="000D357F">
        <w:t>Currently</w:t>
      </w:r>
      <w:r w:rsidR="00494081" w:rsidRPr="00241DBB">
        <w:t xml:space="preserve">, </w:t>
      </w:r>
      <w:r w:rsidR="00494081">
        <w:t>the</w:t>
      </w:r>
      <w:r w:rsidR="00494081" w:rsidRPr="00241DBB">
        <w:t xml:space="preserve"> Panel </w:t>
      </w:r>
      <w:r w:rsidR="00494081">
        <w:t xml:space="preserve">meets </w:t>
      </w:r>
      <w:r w:rsidR="000D357F">
        <w:t xml:space="preserve">at least </w:t>
      </w:r>
      <w:r w:rsidR="00494081">
        <w:t xml:space="preserve">monthly and considers four </w:t>
      </w:r>
      <w:r w:rsidR="00F06D6E">
        <w:t xml:space="preserve">or more </w:t>
      </w:r>
      <w:r w:rsidR="00494081">
        <w:t>complaints at each meeting, depending on the complexity of the complaints</w:t>
      </w:r>
      <w:r w:rsidR="00494081" w:rsidRPr="00241DBB">
        <w:t>.</w:t>
      </w:r>
    </w:p>
    <w:p w14:paraId="7F7CC8E4" w14:textId="77777777" w:rsidR="00970051" w:rsidRPr="00241DBB" w:rsidRDefault="00970051" w:rsidP="00AC131F">
      <w:pPr>
        <w:pStyle w:val="BodyText-nospacebelow"/>
        <w:jc w:val="both"/>
      </w:pPr>
    </w:p>
    <w:p w14:paraId="7133DB92" w14:textId="11924052" w:rsidR="00241DBB" w:rsidRDefault="00241DBB" w:rsidP="00AC131F">
      <w:pPr>
        <w:pStyle w:val="BodyText-nospacebelow"/>
        <w:jc w:val="both"/>
      </w:pPr>
      <w:r w:rsidRPr="00241DBB">
        <w:t xml:space="preserve">Local governments are charged for processing minor breach complaints.  The fee </w:t>
      </w:r>
      <w:r w:rsidR="00494081">
        <w:t>reflects</w:t>
      </w:r>
      <w:r w:rsidRPr="00241DBB">
        <w:t xml:space="preserve"> the time spent by </w:t>
      </w:r>
      <w:r w:rsidR="00F06D6E">
        <w:t>the legal panel member on the complaint</w:t>
      </w:r>
      <w:r w:rsidRPr="00241DBB">
        <w:t xml:space="preserve">.  No fee is charged to </w:t>
      </w:r>
      <w:r w:rsidR="00494081">
        <w:t>the person making the complaint</w:t>
      </w:r>
      <w:r w:rsidRPr="00241DBB">
        <w:t xml:space="preserve">, and </w:t>
      </w:r>
      <w:r w:rsidR="00246B9A">
        <w:t>elected member</w:t>
      </w:r>
      <w:r w:rsidRPr="00241DBB">
        <w:t xml:space="preserve">s found to have committed a breach are not required to </w:t>
      </w:r>
      <w:r w:rsidR="00494081">
        <w:t>repay</w:t>
      </w:r>
      <w:r w:rsidR="00494081" w:rsidRPr="00241DBB">
        <w:t xml:space="preserve"> </w:t>
      </w:r>
      <w:r w:rsidRPr="00241DBB">
        <w:t>the local government.</w:t>
      </w:r>
    </w:p>
    <w:p w14:paraId="6D7B5CE8" w14:textId="77777777" w:rsidR="00970051" w:rsidRPr="00241DBB" w:rsidRDefault="00970051" w:rsidP="00AC131F">
      <w:pPr>
        <w:pStyle w:val="BodyText-nospacebelow"/>
        <w:jc w:val="both"/>
      </w:pPr>
    </w:p>
    <w:p w14:paraId="30A82DA3" w14:textId="2190C647" w:rsidR="00241DBB" w:rsidRDefault="00494081" w:rsidP="00AC131F">
      <w:pPr>
        <w:pStyle w:val="BodyText-nospacebelow"/>
        <w:jc w:val="both"/>
      </w:pPr>
      <w:r>
        <w:lastRenderedPageBreak/>
        <w:t>Local governments paid approximately $1,187 per complaint in 2016-17</w:t>
      </w:r>
      <w:r w:rsidR="00241DBB" w:rsidRPr="00241DBB">
        <w:t xml:space="preserve"> (with an average of 1.7 allegations per complaint), but the real cost to the public is likely to be several times this amount, </w:t>
      </w:r>
      <w:r w:rsidR="00331101">
        <w:t>once</w:t>
      </w:r>
      <w:r w:rsidRPr="00241DBB">
        <w:t xml:space="preserve"> </w:t>
      </w:r>
      <w:r w:rsidR="00241DBB" w:rsidRPr="00241DBB">
        <w:t xml:space="preserve">State and local government administrative </w:t>
      </w:r>
      <w:r>
        <w:t>costs</w:t>
      </w:r>
      <w:r w:rsidR="00331101">
        <w:t xml:space="preserve"> are factored in</w:t>
      </w:r>
      <w:r w:rsidR="00F06D6E">
        <w:t>, including the time of the other panel members</w:t>
      </w:r>
      <w:r w:rsidR="00241DBB" w:rsidRPr="00241DBB">
        <w:t xml:space="preserve">.  </w:t>
      </w:r>
      <w:r w:rsidR="00F06D6E">
        <w:t>In addition there are</w:t>
      </w:r>
      <w:r w:rsidR="00241DBB" w:rsidRPr="00241DBB">
        <w:t xml:space="preserve"> intangible costs such as reduced local government productivity </w:t>
      </w:r>
      <w:r w:rsidR="00F06D6E">
        <w:t>and</w:t>
      </w:r>
      <w:r w:rsidR="00241DBB" w:rsidRPr="00241DBB">
        <w:t xml:space="preserve"> distress to participants. </w:t>
      </w:r>
    </w:p>
    <w:p w14:paraId="3EEB9BB5" w14:textId="77777777" w:rsidR="00970051" w:rsidRPr="00241DBB" w:rsidRDefault="00970051" w:rsidP="00AC131F">
      <w:pPr>
        <w:pStyle w:val="BodyText-nospacebelow"/>
        <w:jc w:val="both"/>
      </w:pPr>
    </w:p>
    <w:p w14:paraId="6FC15242" w14:textId="77777777" w:rsidR="00241DBB" w:rsidRDefault="00241DBB" w:rsidP="00AC131F">
      <w:pPr>
        <w:pStyle w:val="BodyText-nospacebelow"/>
        <w:jc w:val="both"/>
      </w:pPr>
      <w:r w:rsidRPr="00241DBB">
        <w:t>Amendments made to the Act in 2016 introduced the ability for the Panel to refuse to consider frivolous, vexatious and misconceived complaints and those lacking in substance.</w:t>
      </w:r>
      <w:r w:rsidR="00F06D6E">
        <w:t xml:space="preserve"> </w:t>
      </w:r>
      <w:r w:rsidRPr="00241DBB">
        <w:t xml:space="preserve"> </w:t>
      </w:r>
      <w:r w:rsidR="00AE4B48">
        <w:t xml:space="preserve">While potentially reducing </w:t>
      </w:r>
      <w:r w:rsidR="002B0E10">
        <w:t>th</w:t>
      </w:r>
      <w:r w:rsidR="00AE4B48">
        <w:t xml:space="preserve">e time taken to consider and rule on complaints, </w:t>
      </w:r>
      <w:r w:rsidR="002B0E10" w:rsidRPr="00241DBB">
        <w:t xml:space="preserve">resources </w:t>
      </w:r>
      <w:r w:rsidR="00AE4B48">
        <w:t>a</w:t>
      </w:r>
      <w:r w:rsidR="002B0E10">
        <w:t>re still</w:t>
      </w:r>
      <w:r w:rsidR="00AE4B48">
        <w:t xml:space="preserve"> required for </w:t>
      </w:r>
      <w:r w:rsidRPr="00241DBB">
        <w:t xml:space="preserve">assessment </w:t>
      </w:r>
      <w:r w:rsidR="00AE4B48">
        <w:t xml:space="preserve">and </w:t>
      </w:r>
      <w:r w:rsidR="00331101">
        <w:t xml:space="preserve">the </w:t>
      </w:r>
      <w:r w:rsidR="00AE4B48">
        <w:t xml:space="preserve">recording </w:t>
      </w:r>
      <w:r w:rsidR="00331101">
        <w:t xml:space="preserve">of </w:t>
      </w:r>
      <w:r w:rsidR="00AE4B48">
        <w:t>decisions</w:t>
      </w:r>
      <w:r w:rsidRPr="00241DBB">
        <w:t xml:space="preserve">. </w:t>
      </w:r>
    </w:p>
    <w:p w14:paraId="667D9035" w14:textId="4429CA12" w:rsidR="00241DBB" w:rsidRPr="00241DBB" w:rsidRDefault="00241DBB" w:rsidP="00AC131F">
      <w:pPr>
        <w:pStyle w:val="Heading3"/>
        <w:jc w:val="both"/>
      </w:pPr>
      <w:bookmarkStart w:id="440" w:name="_Toc493746720"/>
      <w:bookmarkStart w:id="441" w:name="_Toc493768852"/>
      <w:bookmarkStart w:id="442" w:name="_Toc493859922"/>
      <w:bookmarkStart w:id="443" w:name="_Toc495491822"/>
      <w:bookmarkStart w:id="444" w:name="_Toc495497602"/>
      <w:bookmarkStart w:id="445" w:name="_Toc495671449"/>
      <w:bookmarkStart w:id="446" w:name="_Toc495676050"/>
      <w:bookmarkStart w:id="447" w:name="_Toc495678345"/>
      <w:bookmarkStart w:id="448" w:name="_Toc495998343"/>
      <w:bookmarkStart w:id="449" w:name="_Toc497741813"/>
      <w:r w:rsidRPr="00241DBB">
        <w:t xml:space="preserve">Option 2: </w:t>
      </w:r>
      <w:r w:rsidR="000D357F">
        <w:t xml:space="preserve">Sector </w:t>
      </w:r>
      <w:r w:rsidRPr="00241DBB">
        <w:t>Conduct Review Committees</w:t>
      </w:r>
      <w:bookmarkEnd w:id="440"/>
      <w:bookmarkEnd w:id="441"/>
      <w:bookmarkEnd w:id="442"/>
      <w:bookmarkEnd w:id="443"/>
      <w:bookmarkEnd w:id="444"/>
      <w:bookmarkEnd w:id="445"/>
      <w:bookmarkEnd w:id="446"/>
      <w:bookmarkEnd w:id="447"/>
      <w:bookmarkEnd w:id="448"/>
      <w:bookmarkEnd w:id="449"/>
    </w:p>
    <w:p w14:paraId="7A12202F" w14:textId="30FC8C7D" w:rsidR="00241DBB" w:rsidRDefault="00241DBB" w:rsidP="00AC131F">
      <w:pPr>
        <w:pStyle w:val="BodyText-nospacebelow"/>
        <w:jc w:val="both"/>
      </w:pPr>
      <w:r w:rsidRPr="00241DBB">
        <w:t xml:space="preserve">Under this option, minor breach complaints would be processed by the local government complaints officer and forwarded to a </w:t>
      </w:r>
      <w:r w:rsidR="00C91F56">
        <w:t xml:space="preserve">sector-based </w:t>
      </w:r>
      <w:r w:rsidR="00672444">
        <w:t xml:space="preserve">Conduct </w:t>
      </w:r>
      <w:r w:rsidRPr="00241DBB">
        <w:t xml:space="preserve">Review Committee. </w:t>
      </w:r>
    </w:p>
    <w:p w14:paraId="2469B099" w14:textId="77777777" w:rsidR="00970051" w:rsidRPr="00241DBB" w:rsidRDefault="00970051" w:rsidP="00AC131F">
      <w:pPr>
        <w:pStyle w:val="BodyText-nospacebelow"/>
        <w:jc w:val="both"/>
      </w:pPr>
    </w:p>
    <w:p w14:paraId="05A8AB70" w14:textId="3C9C8BBB" w:rsidR="00241DBB" w:rsidRPr="00241DBB" w:rsidRDefault="00241DBB" w:rsidP="00AC131F">
      <w:pPr>
        <w:pStyle w:val="BodyText-nospacebelow"/>
        <w:jc w:val="both"/>
      </w:pPr>
      <w:r w:rsidRPr="00241DBB">
        <w:t xml:space="preserve">The </w:t>
      </w:r>
      <w:r w:rsidR="00672444">
        <w:t xml:space="preserve">Conduct </w:t>
      </w:r>
      <w:r w:rsidRPr="00241DBB">
        <w:t>Review Committee would be limited to the following actions:</w:t>
      </w:r>
    </w:p>
    <w:p w14:paraId="32C59099" w14:textId="639397D2" w:rsidR="00A005A6" w:rsidRDefault="006117B3" w:rsidP="00AC131F">
      <w:pPr>
        <w:pStyle w:val="BodyText-nospacebelow"/>
        <w:numPr>
          <w:ilvl w:val="0"/>
          <w:numId w:val="28"/>
        </w:numPr>
        <w:jc w:val="both"/>
      </w:pPr>
      <w:r>
        <w:t>d</w:t>
      </w:r>
      <w:r w:rsidR="00241DBB" w:rsidRPr="00241DBB">
        <w:t>ismiss</w:t>
      </w:r>
      <w:r w:rsidR="00331101">
        <w:t>ing</w:t>
      </w:r>
      <w:r w:rsidR="00241DBB" w:rsidRPr="00241DBB">
        <w:t xml:space="preserve"> the complaint due to non-compliance</w:t>
      </w:r>
    </w:p>
    <w:p w14:paraId="60491E2A" w14:textId="05E88E36" w:rsidR="00241DBB" w:rsidRPr="00241DBB" w:rsidRDefault="00A005A6" w:rsidP="00AC131F">
      <w:pPr>
        <w:pStyle w:val="BodyText-nospacebelow"/>
        <w:numPr>
          <w:ilvl w:val="0"/>
          <w:numId w:val="28"/>
        </w:numPr>
        <w:jc w:val="both"/>
      </w:pPr>
      <w:r>
        <w:t>dismiss</w:t>
      </w:r>
      <w:r w:rsidR="00331101">
        <w:t>ing</w:t>
      </w:r>
      <w:r>
        <w:t xml:space="preserve"> the complaint f</w:t>
      </w:r>
      <w:r w:rsidR="00241DBB" w:rsidRPr="00241DBB">
        <w:t>or being trivial, frivolous or vexatious</w:t>
      </w:r>
      <w:r>
        <w:t xml:space="preserve"> or without substance</w:t>
      </w:r>
    </w:p>
    <w:p w14:paraId="70171044" w14:textId="5BB59EE2" w:rsidR="00241DBB" w:rsidRPr="00241DBB" w:rsidRDefault="006117B3" w:rsidP="00AC131F">
      <w:pPr>
        <w:pStyle w:val="BodyText-nospacebelow"/>
        <w:numPr>
          <w:ilvl w:val="0"/>
          <w:numId w:val="28"/>
        </w:numPr>
        <w:jc w:val="both"/>
      </w:pPr>
      <w:r>
        <w:t>o</w:t>
      </w:r>
      <w:r w:rsidR="001C4988">
        <w:t>rder</w:t>
      </w:r>
      <w:r w:rsidR="00331101">
        <w:t>ing</w:t>
      </w:r>
      <w:r w:rsidR="001C4988">
        <w:t xml:space="preserve"> m</w:t>
      </w:r>
      <w:r w:rsidR="00241DBB" w:rsidRPr="00241DBB">
        <w:t>ediation</w:t>
      </w:r>
    </w:p>
    <w:p w14:paraId="3FD7E6D5" w14:textId="34169DCE" w:rsidR="00241DBB" w:rsidRPr="00241DBB" w:rsidRDefault="006117B3" w:rsidP="00AC131F">
      <w:pPr>
        <w:pStyle w:val="BodyText-nospacebelow"/>
        <w:numPr>
          <w:ilvl w:val="0"/>
          <w:numId w:val="28"/>
        </w:numPr>
        <w:jc w:val="both"/>
      </w:pPr>
      <w:r>
        <w:t>o</w:t>
      </w:r>
      <w:r w:rsidR="001C4988">
        <w:t>rder</w:t>
      </w:r>
      <w:r w:rsidR="00331101">
        <w:t>ing</w:t>
      </w:r>
      <w:r w:rsidR="001C4988">
        <w:t xml:space="preserve"> a p</w:t>
      </w:r>
      <w:r w:rsidR="00241DBB" w:rsidRPr="00241DBB">
        <w:t>ublic apology</w:t>
      </w:r>
    </w:p>
    <w:p w14:paraId="58BF4308" w14:textId="77777777" w:rsidR="00241DBB" w:rsidRDefault="006117B3" w:rsidP="00AC131F">
      <w:pPr>
        <w:pStyle w:val="BodyText-nospacebelow"/>
        <w:numPr>
          <w:ilvl w:val="0"/>
          <w:numId w:val="28"/>
        </w:numPr>
        <w:jc w:val="both"/>
      </w:pPr>
      <w:r>
        <w:t>d</w:t>
      </w:r>
      <w:r w:rsidR="00241DBB" w:rsidRPr="00241DBB">
        <w:t>irect</w:t>
      </w:r>
      <w:r w:rsidR="00331101">
        <w:t>ing</w:t>
      </w:r>
      <w:r w:rsidR="00241DBB" w:rsidRPr="00241DBB">
        <w:t xml:space="preserve"> the complaint to the Standards Panel.</w:t>
      </w:r>
    </w:p>
    <w:p w14:paraId="3C7B78F3" w14:textId="77777777" w:rsidR="00970051" w:rsidRPr="00241DBB" w:rsidRDefault="00970051" w:rsidP="00AC131F">
      <w:pPr>
        <w:pStyle w:val="BodyText-nospacebelow"/>
        <w:ind w:left="720"/>
        <w:jc w:val="both"/>
      </w:pPr>
    </w:p>
    <w:p w14:paraId="67DBE375" w14:textId="1CA32923" w:rsidR="00241DBB" w:rsidRDefault="00264900" w:rsidP="00AC131F">
      <w:pPr>
        <w:pStyle w:val="BodyText-nospacebelow"/>
        <w:jc w:val="both"/>
      </w:pPr>
      <w:r>
        <w:t>T</w:t>
      </w:r>
      <w:r w:rsidR="00241DBB" w:rsidRPr="00241DBB">
        <w:t xml:space="preserve">he </w:t>
      </w:r>
      <w:r w:rsidR="00672444">
        <w:t xml:space="preserve">Conduct </w:t>
      </w:r>
      <w:r w:rsidR="00241DBB" w:rsidRPr="00241DBB">
        <w:t xml:space="preserve">Review Committee </w:t>
      </w:r>
      <w:r>
        <w:t xml:space="preserve">could refer a matter to the Standards Panel if it </w:t>
      </w:r>
      <w:r w:rsidR="00241DBB" w:rsidRPr="00241DBB">
        <w:t xml:space="preserve">believes </w:t>
      </w:r>
      <w:r>
        <w:t>that a</w:t>
      </w:r>
      <w:r w:rsidR="00241DBB" w:rsidRPr="00241DBB">
        <w:t xml:space="preserve"> breach warrants the Panel’s involvement.</w:t>
      </w:r>
      <w:r w:rsidR="00B5216A">
        <w:t xml:space="preserve">  Regulations could prescribe matters </w:t>
      </w:r>
      <w:r w:rsidR="001C4988">
        <w:t xml:space="preserve">that </w:t>
      </w:r>
      <w:r w:rsidR="00B5216A">
        <w:t>must be sent directly to the Panel</w:t>
      </w:r>
      <w:r w:rsidR="001C4988">
        <w:t>.</w:t>
      </w:r>
      <w:r w:rsidR="00B5216A">
        <w:t xml:space="preserve"> </w:t>
      </w:r>
      <w:r w:rsidR="006117B3">
        <w:t xml:space="preserve"> </w:t>
      </w:r>
    </w:p>
    <w:p w14:paraId="450D6462" w14:textId="77777777" w:rsidR="00C76196" w:rsidRDefault="00C76196" w:rsidP="00AC131F">
      <w:pPr>
        <w:pStyle w:val="BodyText-nospacebelow"/>
        <w:jc w:val="both"/>
      </w:pPr>
    </w:p>
    <w:p w14:paraId="2E7CCB8A" w14:textId="585FEB8C" w:rsidR="00C76196" w:rsidRDefault="00C76196" w:rsidP="00AC131F">
      <w:pPr>
        <w:pStyle w:val="BodyText-nospacebelow"/>
        <w:jc w:val="both"/>
      </w:pPr>
      <w:r>
        <w:t xml:space="preserve">Under this model, a pool of potential members for the Conduct </w:t>
      </w:r>
      <w:r w:rsidR="00672444">
        <w:t>Review</w:t>
      </w:r>
      <w:r>
        <w:t xml:space="preserve"> </w:t>
      </w:r>
      <w:r w:rsidR="00672444">
        <w:t>Committee</w:t>
      </w:r>
      <w:r>
        <w:t xml:space="preserve"> would be established.  </w:t>
      </w:r>
      <w:r w:rsidRPr="00241DBB">
        <w:t xml:space="preserve">Membership </w:t>
      </w:r>
      <w:r>
        <w:t>could</w:t>
      </w:r>
      <w:r w:rsidRPr="00241DBB">
        <w:t xml:space="preserve"> be sought from </w:t>
      </w:r>
      <w:r>
        <w:t>one or more of the following groups:</w:t>
      </w:r>
      <w:r w:rsidRPr="00241DBB">
        <w:t xml:space="preserve"> </w:t>
      </w:r>
      <w:r w:rsidR="00246B9A">
        <w:t>elected member</w:t>
      </w:r>
      <w:r w:rsidRPr="00241DBB">
        <w:t>s</w:t>
      </w:r>
      <w:r>
        <w:t>,</w:t>
      </w:r>
      <w:r w:rsidRPr="00241DBB">
        <w:t xml:space="preserve"> </w:t>
      </w:r>
      <w:r>
        <w:t>people with</w:t>
      </w:r>
      <w:r w:rsidRPr="00241DBB">
        <w:t xml:space="preserve"> local government </w:t>
      </w:r>
      <w:r>
        <w:t>experience</w:t>
      </w:r>
      <w:r w:rsidRPr="00241DBB">
        <w:t xml:space="preserve"> and </w:t>
      </w:r>
      <w:r>
        <w:t>independent stakeholders.</w:t>
      </w:r>
      <w:r w:rsidRPr="00241DBB">
        <w:t xml:space="preserve"> </w:t>
      </w:r>
      <w:r>
        <w:t xml:space="preserve"> Appointments to the pool could be made by the Director General of the Department, which is consistent with the Queensland model.  Alternatively, assessment of the applications to be included in the pool could be made jointly by the Director General of the Department,</w:t>
      </w:r>
      <w:r w:rsidRPr="00241DBB">
        <w:t xml:space="preserve"> </w:t>
      </w:r>
      <w:r>
        <w:t>WALGA</w:t>
      </w:r>
      <w:r w:rsidRPr="00241DBB">
        <w:t xml:space="preserve"> and L</w:t>
      </w:r>
      <w:r w:rsidR="008953B5">
        <w:t>G</w:t>
      </w:r>
      <w:r>
        <w:t xml:space="preserve"> Professionals WA.</w:t>
      </w:r>
    </w:p>
    <w:p w14:paraId="79B1EFE5" w14:textId="77777777" w:rsidR="00970051" w:rsidRPr="00241DBB" w:rsidRDefault="00970051" w:rsidP="00241DBB">
      <w:pPr>
        <w:pStyle w:val="BodyText-nospacebelow"/>
      </w:pPr>
    </w:p>
    <w:p w14:paraId="3A4D0FB7" w14:textId="77777777" w:rsidR="00241DBB" w:rsidRPr="00241DBB" w:rsidRDefault="00241DBB" w:rsidP="00241DBB">
      <w:pPr>
        <w:pStyle w:val="BodyText-nospacebelow"/>
      </w:pPr>
      <w:r w:rsidRPr="00241DBB">
        <w:lastRenderedPageBreak/>
        <w:t>The flow chart below ou</w:t>
      </w:r>
      <w:r w:rsidR="006117B3">
        <w:t>tlines the approach of Option 2:</w:t>
      </w:r>
      <w:r w:rsidRPr="00241DBB">
        <w:rPr>
          <w:noProof/>
          <w:lang w:eastAsia="en-AU"/>
        </w:rPr>
        <w:drawing>
          <wp:inline distT="0" distB="0" distL="0" distR="0" wp14:anchorId="4ED6D0E3" wp14:editId="0C67E55A">
            <wp:extent cx="5867400" cy="3829050"/>
            <wp:effectExtent l="19050" t="0" r="19050" b="0"/>
            <wp:docPr id="2" name="Diagram 2" descr="Step one, the complaint is sent to the local government complaints officer. Step two, the complaint is reviewed by a conduct review commitee which is made up of members from surrounding local governments. Step three, the conduct review committee can refer the matter to the standard panel. The panel can either uphold the breach or refer it back to the committee for review. Step four, a complaint can be heard by the State Administrative Tribunal if an appeal is made after it has been heard by the standards panel. " title="Option 2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960AC22" w14:textId="77777777" w:rsidR="00241DBB" w:rsidRPr="00241DBB" w:rsidRDefault="00241DBB" w:rsidP="00241DBB">
      <w:pPr>
        <w:pStyle w:val="BodyText-nospacebelow"/>
      </w:pPr>
    </w:p>
    <w:p w14:paraId="595CCB80" w14:textId="615D4415" w:rsidR="006117B3" w:rsidRDefault="006117B3" w:rsidP="00AC131F">
      <w:pPr>
        <w:pStyle w:val="BodyText-nospacebelow"/>
        <w:jc w:val="both"/>
      </w:pPr>
      <w:r>
        <w:t xml:space="preserve">A party to the complaint would be able to seek a review by the </w:t>
      </w:r>
      <w:r w:rsidR="000D066D">
        <w:t xml:space="preserve">Standards </w:t>
      </w:r>
      <w:r>
        <w:t xml:space="preserve">Panel, with regulations </w:t>
      </w:r>
      <w:r w:rsidR="00C91F56">
        <w:t xml:space="preserve">setting out </w:t>
      </w:r>
      <w:r>
        <w:t>the circumstances where this could occur. The State Administrative Tribunal would remain the ultimate appeal body.</w:t>
      </w:r>
    </w:p>
    <w:p w14:paraId="57F7C684" w14:textId="77777777" w:rsidR="006117B3" w:rsidRDefault="006117B3" w:rsidP="00AC131F">
      <w:pPr>
        <w:pStyle w:val="BodyText-nospacebelow"/>
        <w:jc w:val="both"/>
      </w:pPr>
    </w:p>
    <w:p w14:paraId="578787B3" w14:textId="2A24C7EA" w:rsidR="006117B3" w:rsidRDefault="006117B3" w:rsidP="00AC131F">
      <w:pPr>
        <w:pStyle w:val="BodyText-nospacebelow"/>
        <w:jc w:val="both"/>
      </w:pPr>
      <w:r>
        <w:t xml:space="preserve">The local government from which the complaint originated would be responsible for the cost of establishing the </w:t>
      </w:r>
      <w:r w:rsidR="00672444">
        <w:t xml:space="preserve">Conduct </w:t>
      </w:r>
      <w:r>
        <w:t>Review Committee, including travel and accommodation expenses.  This option</w:t>
      </w:r>
      <w:r w:rsidRPr="00241DBB">
        <w:t xml:space="preserve"> may </w:t>
      </w:r>
      <w:r>
        <w:t>incur</w:t>
      </w:r>
      <w:r w:rsidRPr="00241DBB">
        <w:t xml:space="preserve"> additional costs to cover committee membership expenses.</w:t>
      </w:r>
    </w:p>
    <w:p w14:paraId="056DBE64" w14:textId="77777777" w:rsidR="006117B3" w:rsidRDefault="006117B3" w:rsidP="00AC131F">
      <w:pPr>
        <w:pStyle w:val="BodyText-nospacebelow"/>
        <w:jc w:val="both"/>
      </w:pPr>
    </w:p>
    <w:p w14:paraId="5E2DA611" w14:textId="11327575" w:rsidR="006117B3" w:rsidRDefault="006117B3" w:rsidP="00AC131F">
      <w:pPr>
        <w:pStyle w:val="BodyText-nospacebelow"/>
        <w:jc w:val="both"/>
      </w:pPr>
      <w:r>
        <w:t xml:space="preserve">It is expected that this option would reduce the number of complaints referred to the Standards Panel and would speed up the review of minor breach complaints. </w:t>
      </w:r>
      <w:r w:rsidR="00AE5354">
        <w:t xml:space="preserve"> A further potential advantage is that it could lead to greater support being provided </w:t>
      </w:r>
      <w:r w:rsidR="00C91F56">
        <w:t>by the sector to a local government that was experiencing multiple complaints being lodged</w:t>
      </w:r>
      <w:r w:rsidR="00AE5354">
        <w:t>.</w:t>
      </w:r>
    </w:p>
    <w:p w14:paraId="1848CCAB" w14:textId="77777777" w:rsidR="006117B3" w:rsidRDefault="006117B3" w:rsidP="00AC131F">
      <w:pPr>
        <w:pStyle w:val="BodyText-nospacebelow"/>
        <w:jc w:val="both"/>
      </w:pPr>
    </w:p>
    <w:p w14:paraId="3BE08494" w14:textId="5A656F6C" w:rsidR="000259B6" w:rsidRDefault="000259B6" w:rsidP="00AC131F">
      <w:pPr>
        <w:pStyle w:val="BodyText-nospacebelow"/>
        <w:jc w:val="both"/>
      </w:pPr>
      <w:r>
        <w:t xml:space="preserve">Guidelines </w:t>
      </w:r>
      <w:r w:rsidR="00C76196">
        <w:t>c</w:t>
      </w:r>
      <w:r w:rsidR="000D066D">
        <w:t xml:space="preserve">ould be prepared </w:t>
      </w:r>
      <w:r>
        <w:t>similar to th</w:t>
      </w:r>
      <w:r w:rsidR="00710EA2">
        <w:t>os</w:t>
      </w:r>
      <w:r w:rsidR="000D066D">
        <w:t xml:space="preserve">e </w:t>
      </w:r>
      <w:r w:rsidR="00710EA2">
        <w:t xml:space="preserve">in </w:t>
      </w:r>
      <w:r>
        <w:t xml:space="preserve">New South Wales for the Conduct Review Panels to assist </w:t>
      </w:r>
      <w:r w:rsidR="00672444">
        <w:t xml:space="preserve">Conduct </w:t>
      </w:r>
      <w:r>
        <w:t>Review Committee</w:t>
      </w:r>
      <w:r w:rsidR="00672444">
        <w:t xml:space="preserve"> members understand their duties</w:t>
      </w:r>
      <w:r>
        <w:t xml:space="preserve"> and obligations.</w:t>
      </w:r>
      <w:r w:rsidR="00AE5354">
        <w:t xml:space="preserve">  </w:t>
      </w:r>
    </w:p>
    <w:p w14:paraId="5056C516" w14:textId="77777777" w:rsidR="00AC131F" w:rsidRDefault="00AC131F">
      <w:pPr>
        <w:rPr>
          <w:b/>
          <w:bCs/>
          <w:iCs/>
          <w:sz w:val="28"/>
        </w:rPr>
      </w:pPr>
      <w:r>
        <w:rPr>
          <w:b/>
          <w:sz w:val="28"/>
        </w:rPr>
        <w:br w:type="page"/>
      </w:r>
    </w:p>
    <w:p w14:paraId="2F4AEE0B" w14:textId="532B75A0" w:rsidR="00A005A6" w:rsidRDefault="00C76196" w:rsidP="00A005A6">
      <w:pPr>
        <w:pStyle w:val="IntenseQuote"/>
        <w:rPr>
          <w:b/>
          <w:sz w:val="28"/>
        </w:rPr>
      </w:pPr>
      <w:r>
        <w:rPr>
          <w:b/>
          <w:sz w:val="28"/>
        </w:rPr>
        <w:lastRenderedPageBreak/>
        <w:t xml:space="preserve">Sector </w:t>
      </w:r>
      <w:r w:rsidR="00DF038C">
        <w:rPr>
          <w:b/>
          <w:sz w:val="28"/>
        </w:rPr>
        <w:t>c</w:t>
      </w:r>
      <w:r w:rsidR="00A005A6" w:rsidRPr="00A005A6">
        <w:rPr>
          <w:b/>
          <w:sz w:val="28"/>
        </w:rPr>
        <w:t>onduct review committees</w:t>
      </w:r>
      <w:r w:rsidR="00A005A6">
        <w:rPr>
          <w:b/>
          <w:sz w:val="28"/>
        </w:rPr>
        <w:t>: Guidance questions</w:t>
      </w:r>
    </w:p>
    <w:p w14:paraId="1EE0E030" w14:textId="1B871171" w:rsidR="00C76196" w:rsidRDefault="00C76196" w:rsidP="00DB759E">
      <w:pPr>
        <w:pStyle w:val="BodyText2-nospacebelow"/>
        <w:numPr>
          <w:ilvl w:val="0"/>
          <w:numId w:val="19"/>
        </w:numPr>
        <w:spacing w:after="120"/>
        <w:rPr>
          <w:lang w:eastAsia="en-AU"/>
        </w:rPr>
      </w:pPr>
      <w:r>
        <w:rPr>
          <w:lang w:eastAsia="en-AU"/>
        </w:rPr>
        <w:t>What do you see as the benefits and disadvantages of this model?</w:t>
      </w:r>
    </w:p>
    <w:p w14:paraId="689AF263" w14:textId="10A00CBA" w:rsidR="00A005A6" w:rsidRDefault="00A005A6" w:rsidP="00DB759E">
      <w:pPr>
        <w:pStyle w:val="BodyText2-nospacebelow"/>
        <w:numPr>
          <w:ilvl w:val="0"/>
          <w:numId w:val="19"/>
        </w:numPr>
        <w:spacing w:after="120"/>
        <w:rPr>
          <w:lang w:eastAsia="en-AU"/>
        </w:rPr>
      </w:pPr>
      <w:r>
        <w:t xml:space="preserve">What </w:t>
      </w:r>
      <w:r>
        <w:rPr>
          <w:lang w:eastAsia="en-AU"/>
        </w:rPr>
        <w:t xml:space="preserve">powers should the </w:t>
      </w:r>
      <w:r w:rsidR="00672444">
        <w:t xml:space="preserve">Conduct </w:t>
      </w:r>
      <w:r>
        <w:rPr>
          <w:lang w:eastAsia="en-AU"/>
        </w:rPr>
        <w:t>Review Committee have?</w:t>
      </w:r>
    </w:p>
    <w:p w14:paraId="56036D33" w14:textId="59AA4200" w:rsidR="00C76196" w:rsidRDefault="00C76196" w:rsidP="00DB759E">
      <w:pPr>
        <w:pStyle w:val="BodyText2-nospacebelow"/>
        <w:numPr>
          <w:ilvl w:val="0"/>
          <w:numId w:val="19"/>
        </w:numPr>
        <w:spacing w:after="120"/>
        <w:rPr>
          <w:lang w:eastAsia="en-AU"/>
        </w:rPr>
      </w:pPr>
      <w:r>
        <w:t>In your opinion w</w:t>
      </w:r>
      <w:r>
        <w:rPr>
          <w:lang w:eastAsia="en-AU"/>
        </w:rPr>
        <w:t>hat matters should go directly to the Standards Panel?</w:t>
      </w:r>
    </w:p>
    <w:p w14:paraId="678BB464" w14:textId="1E917FDB" w:rsidR="00C76196" w:rsidRDefault="00C76196" w:rsidP="00DB759E">
      <w:pPr>
        <w:pStyle w:val="BodyText2-nospacebelow"/>
        <w:numPr>
          <w:ilvl w:val="0"/>
          <w:numId w:val="19"/>
        </w:numPr>
        <w:spacing w:after="120"/>
        <w:rPr>
          <w:lang w:eastAsia="en-AU"/>
        </w:rPr>
      </w:pPr>
      <w:r>
        <w:rPr>
          <w:lang w:eastAsia="en-AU"/>
        </w:rPr>
        <w:t xml:space="preserve">Who should be able to be a member of a panel: </w:t>
      </w:r>
      <w:r w:rsidR="00246B9A">
        <w:rPr>
          <w:lang w:eastAsia="en-AU"/>
        </w:rPr>
        <w:t>elected member</w:t>
      </w:r>
      <w:r w:rsidRPr="00241DBB">
        <w:rPr>
          <w:lang w:eastAsia="en-AU"/>
        </w:rPr>
        <w:t>s</w:t>
      </w:r>
      <w:r>
        <w:rPr>
          <w:lang w:eastAsia="en-AU"/>
        </w:rPr>
        <w:t>, people with</w:t>
      </w:r>
      <w:r w:rsidRPr="00241DBB">
        <w:rPr>
          <w:lang w:eastAsia="en-AU"/>
        </w:rPr>
        <w:t xml:space="preserve"> local government </w:t>
      </w:r>
      <w:r>
        <w:rPr>
          <w:lang w:eastAsia="en-AU"/>
        </w:rPr>
        <w:t>experience,</w:t>
      </w:r>
      <w:r w:rsidRPr="00241DBB">
        <w:rPr>
          <w:lang w:eastAsia="en-AU"/>
        </w:rPr>
        <w:t xml:space="preserve"> </w:t>
      </w:r>
      <w:r>
        <w:rPr>
          <w:lang w:eastAsia="en-AU"/>
        </w:rPr>
        <w:t>independent stakeholders?</w:t>
      </w:r>
    </w:p>
    <w:p w14:paraId="75945164" w14:textId="77777777" w:rsidR="00C76196" w:rsidRDefault="00C76196" w:rsidP="00DB759E">
      <w:pPr>
        <w:pStyle w:val="BodyText2-nospacebelow"/>
        <w:numPr>
          <w:ilvl w:val="0"/>
          <w:numId w:val="19"/>
        </w:numPr>
        <w:spacing w:after="120"/>
      </w:pPr>
      <w:r>
        <w:rPr>
          <w:lang w:eastAsia="en-AU"/>
        </w:rPr>
        <w:t>Who should</w:t>
      </w:r>
      <w:r>
        <w:t xml:space="preserve"> select the members for the pool?</w:t>
      </w:r>
    </w:p>
    <w:p w14:paraId="270188EE" w14:textId="77777777" w:rsidR="00870266" w:rsidRDefault="00870266" w:rsidP="00DB759E">
      <w:pPr>
        <w:pStyle w:val="BodyText2-nospacebelow"/>
        <w:numPr>
          <w:ilvl w:val="0"/>
          <w:numId w:val="19"/>
        </w:numPr>
        <w:spacing w:after="120"/>
        <w:rPr>
          <w:lang w:eastAsia="en-AU"/>
        </w:rPr>
      </w:pPr>
      <w:r>
        <w:rPr>
          <w:lang w:eastAsia="en-AU"/>
        </w:rPr>
        <w:t>How many members should there be on the Review Committee?</w:t>
      </w:r>
    </w:p>
    <w:p w14:paraId="00EECF75" w14:textId="77777777" w:rsidR="00870266" w:rsidRDefault="00870266" w:rsidP="00DB759E">
      <w:pPr>
        <w:pStyle w:val="BodyText2-nospacebelow"/>
        <w:numPr>
          <w:ilvl w:val="0"/>
          <w:numId w:val="19"/>
        </w:numPr>
        <w:spacing w:after="120"/>
        <w:rPr>
          <w:lang w:eastAsia="en-AU"/>
        </w:rPr>
      </w:pPr>
      <w:r>
        <w:rPr>
          <w:lang w:eastAsia="en-AU"/>
        </w:rPr>
        <w:t>Are the proposed actions for the Review Committee appropriate?  If not, what do you propose?</w:t>
      </w:r>
    </w:p>
    <w:p w14:paraId="6C6EAE6D" w14:textId="5B73CF55" w:rsidR="000C18B1" w:rsidRDefault="000C18B1" w:rsidP="00016E57">
      <w:pPr>
        <w:pStyle w:val="BodyText2-nospacebelow"/>
        <w:spacing w:after="120"/>
        <w:ind w:left="1030"/>
      </w:pPr>
    </w:p>
    <w:p w14:paraId="6EAA4CAD" w14:textId="41238185" w:rsidR="00AE5354" w:rsidRDefault="00AE5354" w:rsidP="00AE5354">
      <w:pPr>
        <w:pStyle w:val="IntenseQuote"/>
        <w:rPr>
          <w:b/>
          <w:sz w:val="28"/>
        </w:rPr>
      </w:pPr>
      <w:r>
        <w:rPr>
          <w:b/>
          <w:sz w:val="28"/>
        </w:rPr>
        <w:t xml:space="preserve">Review of </w:t>
      </w:r>
      <w:r w:rsidR="00246B9A">
        <w:rPr>
          <w:b/>
          <w:sz w:val="28"/>
        </w:rPr>
        <w:t>elected member</w:t>
      </w:r>
      <w:r>
        <w:rPr>
          <w:b/>
          <w:sz w:val="28"/>
        </w:rPr>
        <w:t xml:space="preserve"> non-compliance: Guidance questions</w:t>
      </w:r>
    </w:p>
    <w:p w14:paraId="164C7DBD" w14:textId="77777777" w:rsidR="00AE5354" w:rsidRPr="00241DBB" w:rsidRDefault="00592252" w:rsidP="00DB759E">
      <w:pPr>
        <w:pStyle w:val="BodyText2-nospacebelow"/>
        <w:numPr>
          <w:ilvl w:val="0"/>
          <w:numId w:val="19"/>
        </w:numPr>
        <w:spacing w:after="120"/>
        <w:rPr>
          <w:lang w:eastAsia="en-AU"/>
        </w:rPr>
      </w:pPr>
      <w:r>
        <w:t>Which</w:t>
      </w:r>
      <w:r w:rsidR="00AE5354" w:rsidRPr="00241DBB">
        <w:t xml:space="preserve"> </w:t>
      </w:r>
      <w:r w:rsidR="00AE5354">
        <w:rPr>
          <w:lang w:eastAsia="en-AU"/>
        </w:rPr>
        <w:t xml:space="preserve">of the </w:t>
      </w:r>
      <w:r w:rsidR="00AE5354" w:rsidRPr="00241DBB">
        <w:rPr>
          <w:lang w:eastAsia="en-AU"/>
        </w:rPr>
        <w:t>option</w:t>
      </w:r>
      <w:r w:rsidR="00AE5354">
        <w:rPr>
          <w:lang w:eastAsia="en-AU"/>
        </w:rPr>
        <w:t>s</w:t>
      </w:r>
      <w:r w:rsidR="00AE5354" w:rsidRPr="00241DBB">
        <w:rPr>
          <w:lang w:eastAsia="en-AU"/>
        </w:rPr>
        <w:t xml:space="preserve"> </w:t>
      </w:r>
      <w:r w:rsidR="00AE5354">
        <w:rPr>
          <w:lang w:eastAsia="en-AU"/>
        </w:rPr>
        <w:t xml:space="preserve">for dealing with complaints </w:t>
      </w:r>
      <w:r w:rsidR="00AE5354" w:rsidRPr="00241DBB">
        <w:rPr>
          <w:lang w:eastAsia="en-AU"/>
        </w:rPr>
        <w:t>do you prefer? Why?</w:t>
      </w:r>
    </w:p>
    <w:p w14:paraId="0F807CED" w14:textId="77777777" w:rsidR="005869F4" w:rsidRDefault="005869F4" w:rsidP="00DB759E">
      <w:pPr>
        <w:pStyle w:val="BodyText2-nospacebelow"/>
        <w:numPr>
          <w:ilvl w:val="0"/>
          <w:numId w:val="19"/>
        </w:numPr>
        <w:spacing w:after="120"/>
        <w:rPr>
          <w:lang w:eastAsia="en-AU"/>
        </w:rPr>
      </w:pPr>
      <w:r w:rsidRPr="00241DBB">
        <w:rPr>
          <w:lang w:eastAsia="en-AU"/>
        </w:rPr>
        <w:t>Are there any other options that could be considered?</w:t>
      </w:r>
    </w:p>
    <w:p w14:paraId="4F454B97" w14:textId="77777777" w:rsidR="005869F4" w:rsidRDefault="005869F4" w:rsidP="00DB759E">
      <w:pPr>
        <w:pStyle w:val="BodyText2-nospacebelow"/>
        <w:numPr>
          <w:ilvl w:val="0"/>
          <w:numId w:val="19"/>
        </w:numPr>
        <w:spacing w:after="120"/>
      </w:pPr>
      <w:r>
        <w:rPr>
          <w:lang w:eastAsia="en-AU"/>
        </w:rPr>
        <w:t>Who should be able to request a review of a decision: the person the subject</w:t>
      </w:r>
      <w:r>
        <w:t xml:space="preserve"> of the complaint, the complainant or both?</w:t>
      </w:r>
    </w:p>
    <w:p w14:paraId="3071C23D" w14:textId="77777777" w:rsidR="00AE5354" w:rsidRPr="00241DBB" w:rsidRDefault="00AE5354" w:rsidP="00AC1D7F">
      <w:pPr>
        <w:pStyle w:val="BodyText-nospacebelow"/>
        <w:ind w:left="480"/>
      </w:pPr>
    </w:p>
    <w:p w14:paraId="17356498" w14:textId="77777777" w:rsidR="00241DBB" w:rsidRPr="00241DBB" w:rsidRDefault="00A00258" w:rsidP="00163351">
      <w:pPr>
        <w:pStyle w:val="Heading2"/>
        <w:numPr>
          <w:ilvl w:val="1"/>
          <w:numId w:val="30"/>
        </w:numPr>
      </w:pPr>
      <w:bookmarkStart w:id="450" w:name="_Toc492470567"/>
      <w:bookmarkStart w:id="451" w:name="_Toc492471247"/>
      <w:bookmarkStart w:id="452" w:name="_Toc492471369"/>
      <w:bookmarkStart w:id="453" w:name="_Toc493746722"/>
      <w:bookmarkStart w:id="454" w:name="_Toc493768854"/>
      <w:bookmarkStart w:id="455" w:name="_Toc493859924"/>
      <w:bookmarkStart w:id="456" w:name="_Toc495491824"/>
      <w:bookmarkStart w:id="457" w:name="_Toc495497604"/>
      <w:bookmarkStart w:id="458" w:name="_Toc495671450"/>
      <w:bookmarkStart w:id="459" w:name="_Toc495676051"/>
      <w:bookmarkStart w:id="460" w:name="_Toc495678346"/>
      <w:bookmarkStart w:id="461" w:name="_Toc495998344"/>
      <w:bookmarkStart w:id="462" w:name="_Toc497741814"/>
      <w:r>
        <w:t>Sanctions and other</w:t>
      </w:r>
      <w:r w:rsidR="00BF6BEB">
        <w:t xml:space="preserve"> </w:t>
      </w:r>
      <w:r w:rsidR="00241DBB" w:rsidRPr="00241DBB">
        <w:t>Standard Pane</w:t>
      </w:r>
      <w:bookmarkEnd w:id="450"/>
      <w:bookmarkEnd w:id="451"/>
      <w:bookmarkEnd w:id="452"/>
      <w:r w:rsidR="00BF6BEB">
        <w:t>l matters</w:t>
      </w:r>
      <w:bookmarkEnd w:id="453"/>
      <w:bookmarkEnd w:id="454"/>
      <w:bookmarkEnd w:id="455"/>
      <w:bookmarkEnd w:id="456"/>
      <w:bookmarkEnd w:id="457"/>
      <w:bookmarkEnd w:id="458"/>
      <w:bookmarkEnd w:id="459"/>
      <w:bookmarkEnd w:id="460"/>
      <w:bookmarkEnd w:id="461"/>
      <w:bookmarkEnd w:id="462"/>
    </w:p>
    <w:p w14:paraId="7660EB2A" w14:textId="77777777" w:rsidR="00241DBB" w:rsidRPr="00241DBB" w:rsidRDefault="00241DBB" w:rsidP="00AC131F">
      <w:pPr>
        <w:pStyle w:val="BodyText-nospacebelow"/>
        <w:jc w:val="both"/>
      </w:pPr>
      <w:r w:rsidRPr="00241DBB">
        <w:t xml:space="preserve">Section 5.110(6) of the Act outlines the actions that the </w:t>
      </w:r>
      <w:r w:rsidR="00D02F4F">
        <w:t>Standards</w:t>
      </w:r>
      <w:r w:rsidRPr="00241DBB">
        <w:t xml:space="preserve"> Panel can impose when a minor breac</w:t>
      </w:r>
      <w:r w:rsidR="00D02F4F">
        <w:t>h is found:</w:t>
      </w:r>
      <w:r w:rsidRPr="00241DBB">
        <w:t xml:space="preserve"> </w:t>
      </w:r>
    </w:p>
    <w:p w14:paraId="7F2AA330" w14:textId="327ACEE8" w:rsidR="00241DBB" w:rsidRPr="00241DBB" w:rsidRDefault="00D02F4F" w:rsidP="00AC131F">
      <w:pPr>
        <w:pStyle w:val="BodyText-nospacebelow"/>
        <w:numPr>
          <w:ilvl w:val="0"/>
          <w:numId w:val="29"/>
        </w:numPr>
        <w:jc w:val="both"/>
      </w:pPr>
      <w:r>
        <w:t>d</w:t>
      </w:r>
      <w:r w:rsidR="00241DBB" w:rsidRPr="00241DBB">
        <w:t>ismissing the complaint</w:t>
      </w:r>
      <w:r>
        <w:t xml:space="preserve"> (the breach </w:t>
      </w:r>
      <w:r w:rsidR="00672444">
        <w:t>is found</w:t>
      </w:r>
      <w:r>
        <w:t xml:space="preserve"> but no sanction is applied)</w:t>
      </w:r>
    </w:p>
    <w:p w14:paraId="21C36F3C" w14:textId="75C6C1FA" w:rsidR="00D02F4F" w:rsidRDefault="00D02F4F" w:rsidP="00AC131F">
      <w:pPr>
        <w:pStyle w:val="BodyText-nospacebelow"/>
        <w:numPr>
          <w:ilvl w:val="0"/>
          <w:numId w:val="29"/>
        </w:numPr>
        <w:jc w:val="both"/>
      </w:pPr>
      <w:r>
        <w:t>o</w:t>
      </w:r>
      <w:r w:rsidRPr="00241DBB">
        <w:t>rdering that the person must undertake specified training</w:t>
      </w:r>
      <w:r>
        <w:t xml:space="preserve"> </w:t>
      </w:r>
    </w:p>
    <w:p w14:paraId="618F21F1" w14:textId="3BACD6F4" w:rsidR="00D02F4F" w:rsidRPr="00241DBB" w:rsidRDefault="00D02F4F" w:rsidP="00AC131F">
      <w:pPr>
        <w:pStyle w:val="BodyText-nospacebelow"/>
        <w:numPr>
          <w:ilvl w:val="0"/>
          <w:numId w:val="29"/>
        </w:numPr>
        <w:jc w:val="both"/>
      </w:pPr>
      <w:r>
        <w:t>o</w:t>
      </w:r>
      <w:r w:rsidRPr="00241DBB">
        <w:t>rdering that the person must publicly apologise</w:t>
      </w:r>
    </w:p>
    <w:p w14:paraId="4B160FE3" w14:textId="77777777" w:rsidR="00241DBB" w:rsidRDefault="00D02F4F" w:rsidP="00AC131F">
      <w:pPr>
        <w:pStyle w:val="BodyText-nospacebelow"/>
        <w:numPr>
          <w:ilvl w:val="0"/>
          <w:numId w:val="29"/>
        </w:numPr>
        <w:jc w:val="both"/>
      </w:pPr>
      <w:r>
        <w:t>o</w:t>
      </w:r>
      <w:r w:rsidR="00241DBB" w:rsidRPr="00241DBB">
        <w:t xml:space="preserve">rdering that the person be </w:t>
      </w:r>
      <w:r w:rsidR="0079080B" w:rsidRPr="00241DBB">
        <w:t>publicly</w:t>
      </w:r>
      <w:r w:rsidR="00241DBB" w:rsidRPr="00241DBB">
        <w:t xml:space="preserve"> censured</w:t>
      </w:r>
      <w:r>
        <w:t>.</w:t>
      </w:r>
    </w:p>
    <w:p w14:paraId="286C628A" w14:textId="77777777" w:rsidR="004839D2" w:rsidRDefault="004839D2" w:rsidP="004839D2">
      <w:pPr>
        <w:pStyle w:val="BodyText-nospacebelow"/>
        <w:ind w:left="720"/>
      </w:pPr>
    </w:p>
    <w:p w14:paraId="610D1143" w14:textId="77777777" w:rsidR="00A00258" w:rsidRDefault="00A00258" w:rsidP="00A00258">
      <w:pPr>
        <w:pStyle w:val="Heading2"/>
      </w:pPr>
      <w:bookmarkStart w:id="463" w:name="_Toc493746723"/>
      <w:bookmarkStart w:id="464" w:name="_Toc493768855"/>
      <w:bookmarkStart w:id="465" w:name="_Toc493859925"/>
      <w:bookmarkStart w:id="466" w:name="_Toc495491825"/>
      <w:bookmarkStart w:id="467" w:name="_Toc495497605"/>
      <w:bookmarkStart w:id="468" w:name="_Toc495671451"/>
      <w:bookmarkStart w:id="469" w:name="_Toc495676052"/>
      <w:bookmarkStart w:id="470" w:name="_Toc495678347"/>
      <w:bookmarkStart w:id="471" w:name="_Toc495998345"/>
      <w:bookmarkStart w:id="472" w:name="_Toc497741815"/>
      <w:r>
        <w:lastRenderedPageBreak/>
        <w:t>Across Australia</w:t>
      </w:r>
      <w:bookmarkEnd w:id="463"/>
      <w:bookmarkEnd w:id="464"/>
      <w:bookmarkEnd w:id="465"/>
      <w:bookmarkEnd w:id="466"/>
      <w:bookmarkEnd w:id="467"/>
      <w:bookmarkEnd w:id="468"/>
      <w:bookmarkEnd w:id="469"/>
      <w:bookmarkEnd w:id="470"/>
      <w:bookmarkEnd w:id="471"/>
      <w:bookmarkEnd w:id="472"/>
    </w:p>
    <w:tbl>
      <w:tblPr>
        <w:tblStyle w:val="DLGCTable-Data"/>
        <w:tblW w:w="0" w:type="auto"/>
        <w:tblLook w:val="04A0" w:firstRow="1" w:lastRow="0" w:firstColumn="1" w:lastColumn="0" w:noHBand="0" w:noVBand="1"/>
      </w:tblPr>
      <w:tblGrid>
        <w:gridCol w:w="2254"/>
        <w:gridCol w:w="5968"/>
      </w:tblGrid>
      <w:tr w:rsidR="00A00258" w:rsidRPr="00241DBB" w14:paraId="4ABA903F" w14:textId="77777777" w:rsidTr="00A7265E">
        <w:trPr>
          <w:cnfStyle w:val="100000000000" w:firstRow="1" w:lastRow="0" w:firstColumn="0" w:lastColumn="0" w:oddVBand="0" w:evenVBand="0" w:oddHBand="0" w:evenHBand="0" w:firstRowFirstColumn="0" w:firstRowLastColumn="0" w:lastRowFirstColumn="0" w:lastRowLastColumn="0"/>
          <w:trHeight w:val="367"/>
        </w:trPr>
        <w:tc>
          <w:tcPr>
            <w:tcW w:w="2254" w:type="dxa"/>
          </w:tcPr>
          <w:p w14:paraId="4D5C1BF8" w14:textId="77777777" w:rsidR="00A00258" w:rsidRPr="00241DBB" w:rsidRDefault="00A00258" w:rsidP="00AE0B1E">
            <w:pPr>
              <w:pStyle w:val="BodyText-nospacebelow"/>
              <w:spacing w:before="0" w:line="276" w:lineRule="auto"/>
              <w:ind w:left="0" w:right="0"/>
            </w:pPr>
            <w:r w:rsidRPr="00241DBB">
              <w:t>Jurisdiction</w:t>
            </w:r>
          </w:p>
        </w:tc>
        <w:tc>
          <w:tcPr>
            <w:tcW w:w="5968" w:type="dxa"/>
          </w:tcPr>
          <w:p w14:paraId="61A9D0C2" w14:textId="77777777" w:rsidR="00A00258" w:rsidRPr="00241DBB" w:rsidRDefault="00C24BC4" w:rsidP="00AE0B1E">
            <w:pPr>
              <w:pStyle w:val="BodyText-nospacebelow"/>
              <w:spacing w:before="0" w:line="276" w:lineRule="auto"/>
              <w:ind w:left="0" w:right="0"/>
            </w:pPr>
            <w:r>
              <w:t>Available sanctions</w:t>
            </w:r>
          </w:p>
        </w:tc>
      </w:tr>
      <w:tr w:rsidR="00A00258" w:rsidRPr="00241DBB" w14:paraId="2CFF4732" w14:textId="77777777" w:rsidTr="00123955">
        <w:tc>
          <w:tcPr>
            <w:tcW w:w="2254" w:type="dxa"/>
          </w:tcPr>
          <w:p w14:paraId="723C9EB2" w14:textId="77777777" w:rsidR="00A00258" w:rsidRPr="00241DBB" w:rsidRDefault="00A00258" w:rsidP="00AE0B1E">
            <w:pPr>
              <w:pStyle w:val="BodyText-nospacebelow"/>
              <w:spacing w:before="0" w:line="276" w:lineRule="auto"/>
              <w:ind w:left="0" w:right="0"/>
            </w:pPr>
            <w:r w:rsidRPr="00241DBB">
              <w:t>New South Wales</w:t>
            </w:r>
          </w:p>
        </w:tc>
        <w:tc>
          <w:tcPr>
            <w:tcW w:w="5968" w:type="dxa"/>
          </w:tcPr>
          <w:p w14:paraId="1AA0FC64" w14:textId="42A1E0EC" w:rsidR="00A00258" w:rsidRPr="00241DBB" w:rsidRDefault="00C24BC4" w:rsidP="00620EDB">
            <w:pPr>
              <w:pStyle w:val="BodyText-nospacebelow"/>
              <w:spacing w:before="0" w:after="120" w:line="276" w:lineRule="auto"/>
              <w:ind w:left="0" w:right="0"/>
            </w:pPr>
            <w:r>
              <w:t xml:space="preserve">A full spectrum of </w:t>
            </w:r>
            <w:r w:rsidR="001B79BB">
              <w:t>sanctions</w:t>
            </w:r>
            <w:r>
              <w:t xml:space="preserve"> </w:t>
            </w:r>
            <w:r w:rsidR="005C6707">
              <w:t xml:space="preserve">is </w:t>
            </w:r>
            <w:r>
              <w:t xml:space="preserve">available as matters </w:t>
            </w:r>
            <w:r w:rsidR="00447003">
              <w:t xml:space="preserve">can be dealt with by councillors, the general manager or </w:t>
            </w:r>
            <w:r>
              <w:t xml:space="preserve">the </w:t>
            </w:r>
            <w:r w:rsidR="00332EB0">
              <w:t>New South Wales</w:t>
            </w:r>
            <w:r>
              <w:t xml:space="preserve"> Civil and Administrative Tribunal</w:t>
            </w:r>
            <w:r w:rsidR="00447003">
              <w:t xml:space="preserve">. This includes censure, training and the requirement to apologise. </w:t>
            </w:r>
          </w:p>
        </w:tc>
      </w:tr>
      <w:tr w:rsidR="00B028E4" w:rsidRPr="00241DBB" w14:paraId="0F35326E" w14:textId="77777777" w:rsidTr="00CD184D">
        <w:tc>
          <w:tcPr>
            <w:tcW w:w="2254" w:type="dxa"/>
          </w:tcPr>
          <w:p w14:paraId="31ED5FBD" w14:textId="77777777" w:rsidR="00B028E4" w:rsidRPr="00241DBB" w:rsidRDefault="00B028E4" w:rsidP="00CD184D">
            <w:pPr>
              <w:pStyle w:val="BodyText-nospacebelow"/>
              <w:spacing w:before="0" w:line="276" w:lineRule="auto"/>
              <w:ind w:left="0" w:right="0"/>
            </w:pPr>
            <w:r w:rsidRPr="00241DBB">
              <w:t>Victoria</w:t>
            </w:r>
          </w:p>
        </w:tc>
        <w:tc>
          <w:tcPr>
            <w:tcW w:w="5968" w:type="dxa"/>
          </w:tcPr>
          <w:p w14:paraId="7A7E9F50" w14:textId="77777777" w:rsidR="00B028E4" w:rsidRDefault="00B028E4" w:rsidP="00CD184D">
            <w:pPr>
              <w:pStyle w:val="BodyText-nospacebelow"/>
              <w:spacing w:before="0" w:line="276" w:lineRule="auto"/>
              <w:ind w:left="0" w:right="0"/>
            </w:pPr>
            <w:r>
              <w:t>Following an internal review of a code of conduct breach, a council can:</w:t>
            </w:r>
          </w:p>
          <w:p w14:paraId="66B2AF1B" w14:textId="09B16505" w:rsidR="00B028E4" w:rsidRDefault="00B028E4" w:rsidP="00CD184D">
            <w:pPr>
              <w:pStyle w:val="BodyText-nospacebelow"/>
              <w:numPr>
                <w:ilvl w:val="0"/>
                <w:numId w:val="91"/>
              </w:numPr>
              <w:spacing w:before="0" w:line="276" w:lineRule="auto"/>
              <w:ind w:right="0"/>
            </w:pPr>
            <w:r>
              <w:t>direct a</w:t>
            </w:r>
            <w:r w:rsidR="00246B9A">
              <w:t>n</w:t>
            </w:r>
            <w:r>
              <w:t xml:space="preserve"> </w:t>
            </w:r>
            <w:r w:rsidR="00246B9A">
              <w:t>elected member</w:t>
            </w:r>
            <w:r>
              <w:t xml:space="preserve"> to apologise</w:t>
            </w:r>
          </w:p>
          <w:p w14:paraId="6FF48023" w14:textId="15AF1DFB" w:rsidR="00B028E4" w:rsidRDefault="00B028E4" w:rsidP="00CD184D">
            <w:pPr>
              <w:pStyle w:val="BodyText-nospacebelow"/>
              <w:numPr>
                <w:ilvl w:val="0"/>
                <w:numId w:val="91"/>
              </w:numPr>
              <w:spacing w:before="0" w:line="276" w:lineRule="auto"/>
              <w:ind w:right="0"/>
            </w:pPr>
            <w:r>
              <w:t>direct a</w:t>
            </w:r>
            <w:r w:rsidR="00246B9A">
              <w:t>n</w:t>
            </w:r>
            <w:r>
              <w:t xml:space="preserve"> </w:t>
            </w:r>
            <w:r w:rsidR="00246B9A">
              <w:t>elected member</w:t>
            </w:r>
            <w:r>
              <w:t xml:space="preserve"> to not attend up to, but not exceeding, two council meetings</w:t>
            </w:r>
          </w:p>
          <w:p w14:paraId="11E4BD0C" w14:textId="7A1DDBAE" w:rsidR="00B028E4" w:rsidRPr="00241DBB" w:rsidRDefault="00B028E4" w:rsidP="00CD184D">
            <w:pPr>
              <w:pStyle w:val="BodyText-nospacebelow"/>
              <w:numPr>
                <w:ilvl w:val="0"/>
                <w:numId w:val="94"/>
              </w:numPr>
              <w:spacing w:before="0" w:after="40" w:line="276" w:lineRule="auto"/>
              <w:ind w:left="714" w:right="0" w:hanging="357"/>
            </w:pPr>
            <w:r>
              <w:t xml:space="preserve">remove the </w:t>
            </w:r>
            <w:r w:rsidR="00246B9A">
              <w:t>elected member</w:t>
            </w:r>
            <w:r>
              <w:t xml:space="preserve"> from committees or representative roles of the local government.</w:t>
            </w:r>
          </w:p>
        </w:tc>
      </w:tr>
      <w:tr w:rsidR="00A00258" w:rsidRPr="00241DBB" w14:paraId="21E43544" w14:textId="77777777" w:rsidTr="00123955">
        <w:tc>
          <w:tcPr>
            <w:tcW w:w="2254" w:type="dxa"/>
          </w:tcPr>
          <w:p w14:paraId="585B0BD9" w14:textId="77777777" w:rsidR="00A00258" w:rsidRPr="00241DBB" w:rsidRDefault="00A00258" w:rsidP="00AE0B1E">
            <w:pPr>
              <w:pStyle w:val="BodyText-nospacebelow"/>
              <w:spacing w:before="0" w:line="276" w:lineRule="auto"/>
              <w:ind w:left="0" w:right="0"/>
            </w:pPr>
            <w:r w:rsidRPr="00241DBB">
              <w:t>Queensland</w:t>
            </w:r>
          </w:p>
        </w:tc>
        <w:tc>
          <w:tcPr>
            <w:tcW w:w="5968" w:type="dxa"/>
          </w:tcPr>
          <w:p w14:paraId="37E276FF" w14:textId="56C9F123" w:rsidR="00A00258" w:rsidRDefault="00A00258" w:rsidP="00A00258">
            <w:pPr>
              <w:pStyle w:val="BodyText-nospacebelow"/>
              <w:spacing w:before="0" w:line="276" w:lineRule="auto"/>
              <w:ind w:left="0" w:right="0"/>
            </w:pPr>
            <w:r>
              <w:t>The Remuneration and Discipline Tribunal, which considers cases of misconduct, has various powers available including ordering that a</w:t>
            </w:r>
            <w:r w:rsidR="00246B9A">
              <w:t>n</w:t>
            </w:r>
            <w:r>
              <w:t xml:space="preserve"> </w:t>
            </w:r>
            <w:r w:rsidR="00246B9A">
              <w:t>elected member</w:t>
            </w:r>
            <w:r>
              <w:t>:</w:t>
            </w:r>
          </w:p>
          <w:p w14:paraId="05FBF573" w14:textId="75A8497A" w:rsidR="00A00258" w:rsidRDefault="005C6707" w:rsidP="003A1777">
            <w:pPr>
              <w:pStyle w:val="BodyText-nospacebelow"/>
              <w:numPr>
                <w:ilvl w:val="0"/>
                <w:numId w:val="90"/>
              </w:numPr>
              <w:spacing w:before="0" w:line="276" w:lineRule="auto"/>
              <w:ind w:right="0"/>
            </w:pPr>
            <w:r>
              <w:t>r</w:t>
            </w:r>
            <w:r w:rsidR="00A00258">
              <w:t>eceive counselling</w:t>
            </w:r>
          </w:p>
          <w:p w14:paraId="2E03E3F7" w14:textId="641BBBFA" w:rsidR="00A00258" w:rsidRDefault="005C6707" w:rsidP="003A1777">
            <w:pPr>
              <w:pStyle w:val="BodyText-nospacebelow"/>
              <w:numPr>
                <w:ilvl w:val="0"/>
                <w:numId w:val="90"/>
              </w:numPr>
              <w:spacing w:before="0" w:line="276" w:lineRule="auto"/>
              <w:ind w:right="0"/>
            </w:pPr>
            <w:r>
              <w:t>m</w:t>
            </w:r>
            <w:r w:rsidR="00A00258">
              <w:t>ake an apology</w:t>
            </w:r>
          </w:p>
          <w:p w14:paraId="664D547E" w14:textId="4B5E9EFA" w:rsidR="00A00258" w:rsidRDefault="005C6707" w:rsidP="003A1777">
            <w:pPr>
              <w:pStyle w:val="BodyText-nospacebelow"/>
              <w:numPr>
                <w:ilvl w:val="0"/>
                <w:numId w:val="90"/>
              </w:numPr>
              <w:spacing w:before="0" w:line="276" w:lineRule="auto"/>
              <w:ind w:right="0"/>
            </w:pPr>
            <w:r>
              <w:t>p</w:t>
            </w:r>
            <w:r w:rsidR="00A00258">
              <w:t>articipate in mediation with another person</w:t>
            </w:r>
          </w:p>
          <w:p w14:paraId="3FAF56D7" w14:textId="43986E8F" w:rsidR="00A00258" w:rsidRDefault="005C6707" w:rsidP="003A1777">
            <w:pPr>
              <w:pStyle w:val="BodyText-nospacebelow"/>
              <w:numPr>
                <w:ilvl w:val="0"/>
                <w:numId w:val="90"/>
              </w:numPr>
              <w:spacing w:before="0" w:line="276" w:lineRule="auto"/>
              <w:ind w:right="0"/>
            </w:pPr>
            <w:r>
              <w:t>f</w:t>
            </w:r>
            <w:r w:rsidR="00A00258">
              <w:t>orfeit an allowance, payment, benefit or privilege</w:t>
            </w:r>
          </w:p>
          <w:p w14:paraId="44A3539E" w14:textId="77777777" w:rsidR="00A00258" w:rsidRDefault="005C6707" w:rsidP="003A1777">
            <w:pPr>
              <w:pStyle w:val="BodyText-nospacebelow"/>
              <w:numPr>
                <w:ilvl w:val="0"/>
                <w:numId w:val="94"/>
              </w:numPr>
              <w:spacing w:before="0" w:after="40" w:line="276" w:lineRule="auto"/>
              <w:ind w:left="714" w:right="0" w:hanging="357"/>
            </w:pPr>
            <w:r>
              <w:t>r</w:t>
            </w:r>
            <w:r w:rsidR="00A00258">
              <w:t>eimburse or make a payment to the local government</w:t>
            </w:r>
            <w:r w:rsidR="00620EDB">
              <w:t>.</w:t>
            </w:r>
          </w:p>
          <w:p w14:paraId="48CBA240" w14:textId="77777777" w:rsidR="00DC6494" w:rsidRDefault="00DC6494" w:rsidP="00620EDB">
            <w:pPr>
              <w:pStyle w:val="BodyText-nospacebelow"/>
              <w:spacing w:before="0" w:after="120" w:line="276" w:lineRule="auto"/>
              <w:ind w:left="0" w:right="0"/>
            </w:pPr>
            <w:r>
              <w:t xml:space="preserve">The Tribunal can also recommend to the Director General of the Department that they monitor the councillor or local government for compliance with the Local Government Act. </w:t>
            </w:r>
          </w:p>
          <w:p w14:paraId="471C4086" w14:textId="2DEA81B7" w:rsidR="00DC6494" w:rsidRPr="00241DBB" w:rsidRDefault="00DC6494">
            <w:pPr>
              <w:pStyle w:val="BodyText-nospacebelow"/>
              <w:spacing w:before="0" w:after="120" w:line="276" w:lineRule="auto"/>
              <w:ind w:left="0" w:right="0"/>
            </w:pPr>
            <w:r>
              <w:t xml:space="preserve">The Tribunal can recommend to the Minister that the councillor is suspended or dismissed or can make a recommendation to the Crime and Misconduct Commission or Police Commissioner </w:t>
            </w:r>
            <w:r w:rsidR="00BC7F24">
              <w:t xml:space="preserve">to further investigate </w:t>
            </w:r>
            <w:r>
              <w:t>the conduct.</w:t>
            </w:r>
          </w:p>
        </w:tc>
      </w:tr>
      <w:tr w:rsidR="00A00258" w:rsidRPr="00241DBB" w14:paraId="41C93E55" w14:textId="77777777" w:rsidTr="00123955">
        <w:tc>
          <w:tcPr>
            <w:tcW w:w="2254" w:type="dxa"/>
          </w:tcPr>
          <w:p w14:paraId="075920E3" w14:textId="77777777" w:rsidR="00A00258" w:rsidRPr="00241DBB" w:rsidRDefault="00A00258" w:rsidP="00AE0B1E">
            <w:pPr>
              <w:pStyle w:val="BodyText-nospacebelow"/>
              <w:spacing w:before="0" w:line="276" w:lineRule="auto"/>
              <w:ind w:left="0" w:right="0"/>
            </w:pPr>
            <w:r w:rsidRPr="00241DBB">
              <w:t>South Australia</w:t>
            </w:r>
          </w:p>
        </w:tc>
        <w:tc>
          <w:tcPr>
            <w:tcW w:w="5968" w:type="dxa"/>
          </w:tcPr>
          <w:p w14:paraId="014F69C7" w14:textId="77777777" w:rsidR="003208D3" w:rsidRDefault="003208D3" w:rsidP="00AE0B1E">
            <w:pPr>
              <w:pStyle w:val="BodyText-nospacebelow"/>
              <w:spacing w:before="0" w:line="276" w:lineRule="auto"/>
              <w:ind w:left="0" w:right="0"/>
            </w:pPr>
            <w:r>
              <w:t xml:space="preserve">Sanctions available to </w:t>
            </w:r>
            <w:r w:rsidR="00620EDB">
              <w:t>c</w:t>
            </w:r>
            <w:r>
              <w:t>ouncils when dealing with complaints include:</w:t>
            </w:r>
          </w:p>
          <w:p w14:paraId="5E99AB71" w14:textId="5FC216FE" w:rsidR="003208D3" w:rsidRDefault="00620EDB" w:rsidP="003A1777">
            <w:pPr>
              <w:pStyle w:val="BodyText-nospacebelow"/>
              <w:numPr>
                <w:ilvl w:val="0"/>
                <w:numId w:val="92"/>
              </w:numPr>
              <w:spacing w:before="0" w:line="276" w:lineRule="auto"/>
              <w:ind w:right="0"/>
            </w:pPr>
            <w:r>
              <w:t>t</w:t>
            </w:r>
            <w:r w:rsidR="003208D3">
              <w:t>ake no action</w:t>
            </w:r>
          </w:p>
          <w:p w14:paraId="4852F813" w14:textId="47CF7CCC" w:rsidR="003208D3" w:rsidRDefault="00620EDB" w:rsidP="003A1777">
            <w:pPr>
              <w:pStyle w:val="BodyText-nospacebelow"/>
              <w:numPr>
                <w:ilvl w:val="0"/>
                <w:numId w:val="92"/>
              </w:numPr>
              <w:spacing w:before="0" w:line="276" w:lineRule="auto"/>
              <w:ind w:right="0"/>
            </w:pPr>
            <w:r>
              <w:t>p</w:t>
            </w:r>
            <w:r w:rsidR="003208D3">
              <w:t>ass a censure motion</w:t>
            </w:r>
          </w:p>
          <w:p w14:paraId="3203D708" w14:textId="150E9F73" w:rsidR="003208D3" w:rsidRDefault="00620EDB" w:rsidP="003A1777">
            <w:pPr>
              <w:pStyle w:val="BodyText-nospacebelow"/>
              <w:numPr>
                <w:ilvl w:val="0"/>
                <w:numId w:val="92"/>
              </w:numPr>
              <w:spacing w:before="0" w:line="276" w:lineRule="auto"/>
              <w:ind w:right="0"/>
            </w:pPr>
            <w:r>
              <w:t>r</w:t>
            </w:r>
            <w:r w:rsidR="003208D3">
              <w:t>equest a public apology (written or verbal)</w:t>
            </w:r>
          </w:p>
          <w:p w14:paraId="585D177C" w14:textId="0B2975F5" w:rsidR="003208D3" w:rsidRDefault="00620EDB" w:rsidP="003A1777">
            <w:pPr>
              <w:pStyle w:val="BodyText-nospacebelow"/>
              <w:numPr>
                <w:ilvl w:val="0"/>
                <w:numId w:val="92"/>
              </w:numPr>
              <w:spacing w:before="0" w:line="276" w:lineRule="auto"/>
              <w:ind w:right="0"/>
            </w:pPr>
            <w:r>
              <w:lastRenderedPageBreak/>
              <w:t>r</w:t>
            </w:r>
            <w:r w:rsidR="003208D3">
              <w:t>equest the member attend specific training</w:t>
            </w:r>
          </w:p>
          <w:p w14:paraId="065AD820" w14:textId="17DBD0E1" w:rsidR="003208D3" w:rsidRDefault="00620EDB" w:rsidP="003A1777">
            <w:pPr>
              <w:pStyle w:val="BodyText-nospacebelow"/>
              <w:numPr>
                <w:ilvl w:val="0"/>
                <w:numId w:val="92"/>
              </w:numPr>
              <w:spacing w:before="0" w:line="276" w:lineRule="auto"/>
              <w:ind w:right="0"/>
            </w:pPr>
            <w:r>
              <w:t>r</w:t>
            </w:r>
            <w:r w:rsidR="003208D3">
              <w:t>esolve to remove or suspend the member from a position within council</w:t>
            </w:r>
          </w:p>
          <w:p w14:paraId="66220290" w14:textId="77777777" w:rsidR="00A00258" w:rsidRPr="00241DBB" w:rsidRDefault="00620EDB" w:rsidP="003A1777">
            <w:pPr>
              <w:pStyle w:val="BodyText-nospacebelow"/>
              <w:numPr>
                <w:ilvl w:val="0"/>
                <w:numId w:val="94"/>
              </w:numPr>
              <w:spacing w:before="0" w:after="40" w:line="276" w:lineRule="auto"/>
              <w:ind w:left="714" w:right="0" w:hanging="357"/>
            </w:pPr>
            <w:r>
              <w:t>r</w:t>
            </w:r>
            <w:r w:rsidR="003208D3">
              <w:t xml:space="preserve">equest the member repay monies to the </w:t>
            </w:r>
            <w:r>
              <w:t>c</w:t>
            </w:r>
            <w:r w:rsidR="003208D3">
              <w:t>ouncil</w:t>
            </w:r>
            <w:r>
              <w:t>.</w:t>
            </w:r>
          </w:p>
        </w:tc>
      </w:tr>
      <w:tr w:rsidR="00A00258" w:rsidRPr="00241DBB" w14:paraId="1FD79D8B" w14:textId="77777777" w:rsidTr="00123955">
        <w:tc>
          <w:tcPr>
            <w:tcW w:w="2254" w:type="dxa"/>
          </w:tcPr>
          <w:p w14:paraId="60690B8F" w14:textId="77777777" w:rsidR="00A00258" w:rsidRPr="00241DBB" w:rsidRDefault="003208D3" w:rsidP="00AE0B1E">
            <w:pPr>
              <w:pStyle w:val="BodyText-nospacebelow"/>
              <w:spacing w:before="0" w:line="276" w:lineRule="auto"/>
              <w:ind w:left="0" w:right="0"/>
            </w:pPr>
            <w:r>
              <w:lastRenderedPageBreak/>
              <w:t>Tasmania</w:t>
            </w:r>
          </w:p>
        </w:tc>
        <w:tc>
          <w:tcPr>
            <w:tcW w:w="5968" w:type="dxa"/>
          </w:tcPr>
          <w:p w14:paraId="38ED4E22" w14:textId="77777777" w:rsidR="00CD7289" w:rsidRDefault="00CD7289" w:rsidP="00AE0B1E">
            <w:pPr>
              <w:pStyle w:val="BodyText-nospacebelow"/>
              <w:spacing w:before="0" w:line="276" w:lineRule="auto"/>
              <w:ind w:left="0" w:right="0"/>
            </w:pPr>
            <w:r>
              <w:t xml:space="preserve">A Code of Conduct Panel can apply the following </w:t>
            </w:r>
            <w:r w:rsidR="00620EDB">
              <w:t>sanctions</w:t>
            </w:r>
            <w:r>
              <w:t>:</w:t>
            </w:r>
          </w:p>
          <w:p w14:paraId="02DB3863" w14:textId="03F4581F" w:rsidR="00CD7289" w:rsidRDefault="00620EDB" w:rsidP="003A1777">
            <w:pPr>
              <w:pStyle w:val="BodyText-nospacebelow"/>
              <w:numPr>
                <w:ilvl w:val="0"/>
                <w:numId w:val="93"/>
              </w:numPr>
              <w:spacing w:before="0" w:line="276" w:lineRule="auto"/>
              <w:ind w:right="0"/>
            </w:pPr>
            <w:r>
              <w:t>a</w:t>
            </w:r>
            <w:r w:rsidR="00CD7289">
              <w:t xml:space="preserve"> caution</w:t>
            </w:r>
          </w:p>
          <w:p w14:paraId="2F0ECCC3" w14:textId="6D2ADF87" w:rsidR="00CD7289" w:rsidRDefault="00620EDB" w:rsidP="003A1777">
            <w:pPr>
              <w:pStyle w:val="BodyText-nospacebelow"/>
              <w:numPr>
                <w:ilvl w:val="0"/>
                <w:numId w:val="93"/>
              </w:numPr>
              <w:spacing w:before="0" w:line="276" w:lineRule="auto"/>
              <w:ind w:right="0"/>
            </w:pPr>
            <w:r>
              <w:t>a</w:t>
            </w:r>
            <w:r w:rsidR="00CD7289">
              <w:t xml:space="preserve"> reprimand</w:t>
            </w:r>
          </w:p>
          <w:p w14:paraId="65D2216B" w14:textId="7846747B" w:rsidR="00CD7289" w:rsidRDefault="00620EDB" w:rsidP="003A1777">
            <w:pPr>
              <w:pStyle w:val="BodyText-nospacebelow"/>
              <w:numPr>
                <w:ilvl w:val="0"/>
                <w:numId w:val="93"/>
              </w:numPr>
              <w:spacing w:before="0" w:line="276" w:lineRule="auto"/>
              <w:ind w:right="0"/>
            </w:pPr>
            <w:r>
              <w:t>a</w:t>
            </w:r>
            <w:r w:rsidR="00CD7289">
              <w:t>n apology</w:t>
            </w:r>
          </w:p>
          <w:p w14:paraId="4958E8C7" w14:textId="575A455A" w:rsidR="00CD7289" w:rsidRDefault="00620EDB" w:rsidP="003A1777">
            <w:pPr>
              <w:pStyle w:val="BodyText-nospacebelow"/>
              <w:numPr>
                <w:ilvl w:val="0"/>
                <w:numId w:val="93"/>
              </w:numPr>
              <w:spacing w:before="0" w:line="276" w:lineRule="auto"/>
              <w:ind w:right="0"/>
            </w:pPr>
            <w:r>
              <w:t>c</w:t>
            </w:r>
            <w:r w:rsidR="00CD7289">
              <w:t>ounselling or training</w:t>
            </w:r>
          </w:p>
          <w:p w14:paraId="72E6EB23" w14:textId="77777777" w:rsidR="00A00258" w:rsidRPr="00241DBB" w:rsidRDefault="00620EDB" w:rsidP="003A1777">
            <w:pPr>
              <w:pStyle w:val="BodyText-nospacebelow"/>
              <w:numPr>
                <w:ilvl w:val="0"/>
                <w:numId w:val="94"/>
              </w:numPr>
              <w:spacing w:before="0" w:after="40" w:line="276" w:lineRule="auto"/>
              <w:ind w:left="714" w:right="0" w:hanging="357"/>
            </w:pPr>
            <w:r>
              <w:t>s</w:t>
            </w:r>
            <w:r w:rsidR="00CD7289">
              <w:t>uspension from office for up to three months (no allowances)</w:t>
            </w:r>
            <w:r>
              <w:t>.</w:t>
            </w:r>
          </w:p>
        </w:tc>
      </w:tr>
      <w:tr w:rsidR="00A00258" w:rsidRPr="00241DBB" w14:paraId="17B6D4C4" w14:textId="77777777" w:rsidTr="00123955">
        <w:tc>
          <w:tcPr>
            <w:tcW w:w="2254" w:type="dxa"/>
          </w:tcPr>
          <w:p w14:paraId="2DC3B2D7" w14:textId="77777777" w:rsidR="00A00258" w:rsidRPr="00241DBB" w:rsidRDefault="00CD7289" w:rsidP="00AE0B1E">
            <w:pPr>
              <w:pStyle w:val="BodyText-nospacebelow"/>
              <w:spacing w:before="0" w:line="276" w:lineRule="auto"/>
              <w:ind w:left="0" w:right="0"/>
            </w:pPr>
            <w:r>
              <w:t>Northern Territory</w:t>
            </w:r>
          </w:p>
        </w:tc>
        <w:tc>
          <w:tcPr>
            <w:tcW w:w="5968" w:type="dxa"/>
          </w:tcPr>
          <w:p w14:paraId="47B0B7AC" w14:textId="77777777" w:rsidR="00CD7289" w:rsidRDefault="00CD7289" w:rsidP="00CD7289">
            <w:pPr>
              <w:pStyle w:val="BodyText-nospacebelow"/>
              <w:spacing w:before="0" w:line="276" w:lineRule="auto"/>
              <w:ind w:left="0" w:right="0"/>
            </w:pPr>
            <w:r>
              <w:t>A Local Government Disciplinary Committee can impose the following sanctions:</w:t>
            </w:r>
          </w:p>
          <w:p w14:paraId="61832BF5" w14:textId="2186C248" w:rsidR="00CD7289" w:rsidRDefault="00620EDB" w:rsidP="003A1777">
            <w:pPr>
              <w:pStyle w:val="BodyText-nospacebelow"/>
              <w:numPr>
                <w:ilvl w:val="0"/>
                <w:numId w:val="94"/>
              </w:numPr>
              <w:spacing w:before="0" w:line="276" w:lineRule="auto"/>
              <w:ind w:right="0"/>
            </w:pPr>
            <w:r>
              <w:t>t</w:t>
            </w:r>
            <w:r w:rsidR="00CD7289">
              <w:t>ake no disciplinary action</w:t>
            </w:r>
          </w:p>
          <w:p w14:paraId="003A341E" w14:textId="2B55E542" w:rsidR="00CD7289" w:rsidRDefault="00620EDB" w:rsidP="003A1777">
            <w:pPr>
              <w:pStyle w:val="BodyText-nospacebelow"/>
              <w:numPr>
                <w:ilvl w:val="0"/>
                <w:numId w:val="94"/>
              </w:numPr>
              <w:spacing w:before="0" w:line="276" w:lineRule="auto"/>
              <w:ind w:right="0"/>
            </w:pPr>
            <w:r>
              <w:t>r</w:t>
            </w:r>
            <w:r w:rsidR="00CD7289">
              <w:t>eprimand the member</w:t>
            </w:r>
          </w:p>
          <w:p w14:paraId="53EE1BC5" w14:textId="49152814" w:rsidR="00CD7289" w:rsidRDefault="00620EDB" w:rsidP="003A1777">
            <w:pPr>
              <w:pStyle w:val="BodyText-nospacebelow"/>
              <w:numPr>
                <w:ilvl w:val="0"/>
                <w:numId w:val="94"/>
              </w:numPr>
              <w:spacing w:before="0" w:line="276" w:lineRule="auto"/>
              <w:ind w:right="0"/>
            </w:pPr>
            <w:r>
              <w:t>i</w:t>
            </w:r>
            <w:r w:rsidR="00CD7289">
              <w:t>mpose a fine</w:t>
            </w:r>
          </w:p>
          <w:p w14:paraId="70AC293C" w14:textId="0486D8C2" w:rsidR="00A00258" w:rsidRPr="00241DBB" w:rsidRDefault="00620EDB" w:rsidP="003A1777">
            <w:pPr>
              <w:pStyle w:val="BodyText-nospacebelow"/>
              <w:numPr>
                <w:ilvl w:val="0"/>
                <w:numId w:val="94"/>
              </w:numPr>
              <w:spacing w:before="0" w:after="40" w:line="276" w:lineRule="auto"/>
              <w:ind w:left="714" w:right="0" w:hanging="357"/>
            </w:pPr>
            <w:r>
              <w:t>r</w:t>
            </w:r>
            <w:r w:rsidR="00CD7289">
              <w:t>ecommend to the Minister the member is removed from office</w:t>
            </w:r>
            <w:r>
              <w:t>.</w:t>
            </w:r>
          </w:p>
        </w:tc>
      </w:tr>
    </w:tbl>
    <w:p w14:paraId="5C0D2151" w14:textId="77777777" w:rsidR="00BF6BEB" w:rsidRPr="00241DBB" w:rsidRDefault="00BF6BEB" w:rsidP="00BF6BEB">
      <w:pPr>
        <w:pStyle w:val="BodyText-nospacebelow"/>
        <w:ind w:left="720"/>
      </w:pPr>
    </w:p>
    <w:p w14:paraId="7EC41084" w14:textId="77777777" w:rsidR="00241DBB" w:rsidRPr="00241DBB" w:rsidRDefault="00241DBB" w:rsidP="00BF6BEB">
      <w:pPr>
        <w:pStyle w:val="Heading3"/>
      </w:pPr>
      <w:bookmarkStart w:id="473" w:name="_Toc493746724"/>
      <w:bookmarkStart w:id="474" w:name="_Toc493768856"/>
      <w:bookmarkStart w:id="475" w:name="_Toc493859926"/>
      <w:bookmarkStart w:id="476" w:name="_Toc495491826"/>
      <w:bookmarkStart w:id="477" w:name="_Toc495497606"/>
      <w:bookmarkStart w:id="478" w:name="_Toc495671452"/>
      <w:bookmarkStart w:id="479" w:name="_Toc495676053"/>
      <w:bookmarkStart w:id="480" w:name="_Toc495678348"/>
      <w:bookmarkStart w:id="481" w:name="_Toc495998346"/>
      <w:bookmarkStart w:id="482" w:name="_Toc497741816"/>
      <w:r w:rsidRPr="00241DBB">
        <w:t>Mediation</w:t>
      </w:r>
      <w:bookmarkEnd w:id="473"/>
      <w:bookmarkEnd w:id="474"/>
      <w:bookmarkEnd w:id="475"/>
      <w:bookmarkEnd w:id="476"/>
      <w:bookmarkEnd w:id="477"/>
      <w:bookmarkEnd w:id="478"/>
      <w:bookmarkEnd w:id="479"/>
      <w:bookmarkEnd w:id="480"/>
      <w:bookmarkEnd w:id="481"/>
      <w:bookmarkEnd w:id="482"/>
    </w:p>
    <w:p w14:paraId="42BA8DF7" w14:textId="552F31F4" w:rsidR="00241DBB" w:rsidRDefault="00671E54" w:rsidP="00AC131F">
      <w:pPr>
        <w:pStyle w:val="BodyText-nospacebelow"/>
        <w:jc w:val="both"/>
      </w:pPr>
      <w:r>
        <w:t>T</w:t>
      </w:r>
      <w:r w:rsidR="007A180F">
        <w:t>he</w:t>
      </w:r>
      <w:r w:rsidR="00241DBB" w:rsidRPr="00241DBB">
        <w:t xml:space="preserve"> </w:t>
      </w:r>
      <w:r w:rsidR="00620EDB">
        <w:t xml:space="preserve">Standards </w:t>
      </w:r>
      <w:r w:rsidR="00241DBB" w:rsidRPr="00241DBB">
        <w:t xml:space="preserve">Panel </w:t>
      </w:r>
      <w:r w:rsidR="007A180F">
        <w:t xml:space="preserve">cannot </w:t>
      </w:r>
      <w:r>
        <w:t xml:space="preserve">currently </w:t>
      </w:r>
      <w:r w:rsidR="007A180F">
        <w:t>order</w:t>
      </w:r>
      <w:r w:rsidR="00241DBB" w:rsidRPr="00241DBB">
        <w:t xml:space="preserve"> that mediation </w:t>
      </w:r>
      <w:r w:rsidR="00620EDB">
        <w:t>is</w:t>
      </w:r>
      <w:r w:rsidR="00241DBB" w:rsidRPr="00241DBB">
        <w:t xml:space="preserve"> undertaken. </w:t>
      </w:r>
      <w:r w:rsidR="00620EDB">
        <w:t>A benefit of m</w:t>
      </w:r>
      <w:r w:rsidR="00241DBB" w:rsidRPr="00241DBB">
        <w:t xml:space="preserve">ediation is </w:t>
      </w:r>
      <w:r w:rsidR="00620EDB">
        <w:t xml:space="preserve">that it could address underlying issues and lack of understanding between </w:t>
      </w:r>
      <w:r w:rsidR="00246B9A">
        <w:t>elected member</w:t>
      </w:r>
      <w:r w:rsidR="00620EDB">
        <w:t>s or between a</w:t>
      </w:r>
      <w:r w:rsidR="00246B9A">
        <w:t>n</w:t>
      </w:r>
      <w:r w:rsidR="00620EDB">
        <w:t xml:space="preserve"> </w:t>
      </w:r>
      <w:r w:rsidR="00246B9A">
        <w:t>elected member</w:t>
      </w:r>
      <w:r w:rsidR="00620EDB">
        <w:t xml:space="preserve"> and another person.  This is likely to lead to improved ongoing relationships and reduce the likelihood of the breach recurring. </w:t>
      </w:r>
    </w:p>
    <w:p w14:paraId="09E519DF" w14:textId="77777777" w:rsidR="00BF6BEB" w:rsidRPr="00241DBB" w:rsidRDefault="00BF6BEB" w:rsidP="00241DBB">
      <w:pPr>
        <w:pStyle w:val="BodyText-nospacebelow"/>
      </w:pPr>
    </w:p>
    <w:p w14:paraId="351E2B06" w14:textId="77777777" w:rsidR="00CD03FA" w:rsidRDefault="00CD03FA" w:rsidP="00CD03FA">
      <w:pPr>
        <w:pStyle w:val="IntenseQuote"/>
        <w:rPr>
          <w:b/>
          <w:sz w:val="28"/>
        </w:rPr>
      </w:pPr>
      <w:r>
        <w:rPr>
          <w:b/>
          <w:sz w:val="28"/>
        </w:rPr>
        <w:t>Mediation: Guidance question</w:t>
      </w:r>
    </w:p>
    <w:p w14:paraId="616542B2" w14:textId="77777777" w:rsidR="00241DBB" w:rsidRDefault="00241DBB" w:rsidP="00DB759E">
      <w:pPr>
        <w:pStyle w:val="BodyText2-nospacebelow"/>
        <w:numPr>
          <w:ilvl w:val="0"/>
          <w:numId w:val="19"/>
        </w:numPr>
        <w:spacing w:after="120"/>
      </w:pPr>
      <w:r w:rsidRPr="00241DBB">
        <w:t xml:space="preserve">Do </w:t>
      </w:r>
      <w:r w:rsidRPr="00241DBB">
        <w:rPr>
          <w:lang w:eastAsia="en-AU"/>
        </w:rPr>
        <w:t>you</w:t>
      </w:r>
      <w:r w:rsidRPr="00241DBB">
        <w:t xml:space="preserve"> support the inclusion of mediation as a sanction for the Panel? Why or why not?</w:t>
      </w:r>
    </w:p>
    <w:p w14:paraId="04BC8561" w14:textId="77777777" w:rsidR="00241DBB" w:rsidRPr="00241DBB" w:rsidRDefault="00241DBB" w:rsidP="00DB2A57">
      <w:pPr>
        <w:pStyle w:val="Heading3"/>
      </w:pPr>
      <w:bookmarkStart w:id="483" w:name="_Toc493746725"/>
      <w:bookmarkStart w:id="484" w:name="_Toc493768857"/>
      <w:bookmarkStart w:id="485" w:name="_Toc493859927"/>
      <w:bookmarkStart w:id="486" w:name="_Toc495491827"/>
      <w:bookmarkStart w:id="487" w:name="_Toc495497607"/>
      <w:bookmarkStart w:id="488" w:name="_Toc495671453"/>
      <w:bookmarkStart w:id="489" w:name="_Toc495676054"/>
      <w:bookmarkStart w:id="490" w:name="_Toc495678349"/>
      <w:bookmarkStart w:id="491" w:name="_Toc495998347"/>
      <w:bookmarkStart w:id="492" w:name="_Toc497741817"/>
      <w:r w:rsidRPr="00241DBB">
        <w:t>Prohibition from attending council meetings</w:t>
      </w:r>
      <w:bookmarkEnd w:id="483"/>
      <w:bookmarkEnd w:id="484"/>
      <w:bookmarkEnd w:id="485"/>
      <w:bookmarkEnd w:id="486"/>
      <w:bookmarkEnd w:id="487"/>
      <w:bookmarkEnd w:id="488"/>
      <w:bookmarkEnd w:id="489"/>
      <w:bookmarkEnd w:id="490"/>
      <w:bookmarkEnd w:id="491"/>
      <w:bookmarkEnd w:id="492"/>
    </w:p>
    <w:p w14:paraId="4F557E21" w14:textId="5546338C" w:rsidR="00DB2A57" w:rsidRDefault="00241DBB" w:rsidP="00AC131F">
      <w:pPr>
        <w:pStyle w:val="BodyText-nospacebelow"/>
        <w:jc w:val="both"/>
      </w:pPr>
      <w:r w:rsidRPr="00241DBB">
        <w:t xml:space="preserve">In some cases, minor breach complaints </w:t>
      </w:r>
      <w:r w:rsidR="007476DF">
        <w:t>relate to</w:t>
      </w:r>
      <w:r w:rsidRPr="00241DBB">
        <w:t xml:space="preserve"> </w:t>
      </w:r>
      <w:r w:rsidR="007476DF">
        <w:t>inappropriate</w:t>
      </w:r>
      <w:r w:rsidRPr="00241DBB">
        <w:t xml:space="preserve"> behaviour </w:t>
      </w:r>
      <w:r w:rsidR="007476DF">
        <w:t xml:space="preserve">at </w:t>
      </w:r>
      <w:r w:rsidRPr="00241DBB">
        <w:t xml:space="preserve">council meetings. </w:t>
      </w:r>
      <w:r w:rsidR="007476DF">
        <w:t xml:space="preserve"> </w:t>
      </w:r>
      <w:r w:rsidR="002E39E0" w:rsidRPr="00241DBB">
        <w:t>If</w:t>
      </w:r>
      <w:r w:rsidRPr="00241DBB">
        <w:t xml:space="preserve"> a</w:t>
      </w:r>
      <w:r w:rsidR="00246B9A">
        <w:t>n</w:t>
      </w:r>
      <w:r w:rsidRPr="00241DBB">
        <w:t xml:space="preserve"> </w:t>
      </w:r>
      <w:r w:rsidR="00246B9A">
        <w:t>elected member</w:t>
      </w:r>
      <w:r w:rsidRPr="00241DBB">
        <w:t xml:space="preserve"> is found to have committed a minor breach of this nature, it may be </w:t>
      </w:r>
      <w:r w:rsidR="007A180F">
        <w:t>useful</w:t>
      </w:r>
      <w:r w:rsidR="007A180F" w:rsidRPr="00241DBB">
        <w:t xml:space="preserve"> </w:t>
      </w:r>
      <w:r w:rsidR="007A180F">
        <w:t>if the</w:t>
      </w:r>
      <w:r w:rsidRPr="00241DBB">
        <w:t xml:space="preserve"> Panel </w:t>
      </w:r>
      <w:r w:rsidR="007A180F">
        <w:t>could</w:t>
      </w:r>
      <w:r w:rsidRPr="00241DBB">
        <w:t xml:space="preserve"> direct the member to not attend council meetings for a </w:t>
      </w:r>
      <w:r w:rsidR="002E39E0">
        <w:t xml:space="preserve">set </w:t>
      </w:r>
      <w:r w:rsidR="002E39E0" w:rsidRPr="00241DBB">
        <w:t>period</w:t>
      </w:r>
      <w:r w:rsidRPr="00241DBB">
        <w:t xml:space="preserve">. </w:t>
      </w:r>
      <w:r w:rsidR="007476DF">
        <w:t xml:space="preserve"> While this could be </w:t>
      </w:r>
      <w:r w:rsidR="007476DF">
        <w:lastRenderedPageBreak/>
        <w:t>seen as a circuit breaker, it must be noted that there is likely to be a considerable period between the inappropriate behaviour and the sanction.</w:t>
      </w:r>
    </w:p>
    <w:p w14:paraId="1DD4920E" w14:textId="77777777" w:rsidR="00DB2A57" w:rsidRDefault="00DB2A57" w:rsidP="00AC131F">
      <w:pPr>
        <w:pStyle w:val="BodyText-nospacebelow"/>
        <w:jc w:val="both"/>
      </w:pPr>
    </w:p>
    <w:p w14:paraId="7EF3E34C" w14:textId="5DD00AD5" w:rsidR="00241DBB" w:rsidRDefault="002E39E0" w:rsidP="00AC131F">
      <w:pPr>
        <w:pStyle w:val="BodyText-nospacebelow"/>
        <w:jc w:val="both"/>
      </w:pPr>
      <w:r>
        <w:t>T</w:t>
      </w:r>
      <w:r w:rsidR="00241DBB" w:rsidRPr="00241DBB">
        <w:t xml:space="preserve">he member </w:t>
      </w:r>
      <w:r>
        <w:t>would</w:t>
      </w:r>
      <w:r w:rsidR="00241DBB" w:rsidRPr="00241DBB">
        <w:t xml:space="preserve"> not be suspended from undertaking their </w:t>
      </w:r>
      <w:r w:rsidR="007476DF">
        <w:t xml:space="preserve">other </w:t>
      </w:r>
      <w:r w:rsidR="00241DBB" w:rsidRPr="00241DBB">
        <w:t>duties as a</w:t>
      </w:r>
      <w:r w:rsidR="00246B9A">
        <w:t>n</w:t>
      </w:r>
      <w:r w:rsidR="00241DBB" w:rsidRPr="00241DBB">
        <w:t xml:space="preserve"> </w:t>
      </w:r>
      <w:r w:rsidR="00246B9A">
        <w:t>elected member</w:t>
      </w:r>
      <w:r>
        <w:t xml:space="preserve">. </w:t>
      </w:r>
      <w:r w:rsidR="00241DBB" w:rsidRPr="00241DBB">
        <w:t xml:space="preserve"> This </w:t>
      </w:r>
      <w:r w:rsidR="007476DF">
        <w:t>sanction c</w:t>
      </w:r>
      <w:r w:rsidR="007A180F">
        <w:t>ould</w:t>
      </w:r>
      <w:r w:rsidR="007A180F" w:rsidRPr="00241DBB">
        <w:t xml:space="preserve"> </w:t>
      </w:r>
      <w:r w:rsidR="00241DBB" w:rsidRPr="00241DBB">
        <w:t xml:space="preserve">have a financial impact on the </w:t>
      </w:r>
      <w:r w:rsidR="00246B9A">
        <w:t>elected member</w:t>
      </w:r>
      <w:r w:rsidR="00241DBB" w:rsidRPr="00241DBB">
        <w:t xml:space="preserve"> </w:t>
      </w:r>
      <w:r w:rsidR="007476DF">
        <w:t>if</w:t>
      </w:r>
      <w:r w:rsidR="00241DBB" w:rsidRPr="00241DBB">
        <w:t xml:space="preserve"> they </w:t>
      </w:r>
      <w:r w:rsidR="007476DF">
        <w:t>are</w:t>
      </w:r>
      <w:r w:rsidR="007A180F" w:rsidRPr="00241DBB">
        <w:t xml:space="preserve"> </w:t>
      </w:r>
      <w:r w:rsidR="00241DBB" w:rsidRPr="00241DBB">
        <w:t xml:space="preserve">not eligible for sitting fees </w:t>
      </w:r>
      <w:r w:rsidR="007A180F">
        <w:t>or</w:t>
      </w:r>
      <w:r w:rsidR="007A180F" w:rsidRPr="00241DBB">
        <w:t xml:space="preserve"> </w:t>
      </w:r>
      <w:r w:rsidR="00241DBB" w:rsidRPr="00241DBB">
        <w:t xml:space="preserve">allowances associated with attendance at </w:t>
      </w:r>
      <w:r w:rsidR="007476DF">
        <w:t xml:space="preserve">those </w:t>
      </w:r>
      <w:r w:rsidR="00241DBB" w:rsidRPr="00241DBB">
        <w:t xml:space="preserve">council meetings. </w:t>
      </w:r>
    </w:p>
    <w:p w14:paraId="3171D541" w14:textId="77777777" w:rsidR="00F6220B" w:rsidRPr="00241DBB" w:rsidRDefault="00F6220B" w:rsidP="00241DBB">
      <w:pPr>
        <w:pStyle w:val="BodyText-nospacebelow"/>
      </w:pPr>
    </w:p>
    <w:p w14:paraId="28E2A55A" w14:textId="4AE194B0" w:rsidR="007476DF" w:rsidRDefault="007476DF" w:rsidP="007476DF">
      <w:pPr>
        <w:pStyle w:val="IntenseQuote"/>
        <w:rPr>
          <w:b/>
          <w:sz w:val="28"/>
        </w:rPr>
      </w:pPr>
      <w:r>
        <w:rPr>
          <w:b/>
          <w:sz w:val="28"/>
        </w:rPr>
        <w:t xml:space="preserve">Prohibition from </w:t>
      </w:r>
      <w:r w:rsidR="00BC7F24">
        <w:rPr>
          <w:b/>
          <w:sz w:val="28"/>
        </w:rPr>
        <w:t>attending council meetings:</w:t>
      </w:r>
      <w:r>
        <w:rPr>
          <w:b/>
          <w:sz w:val="28"/>
        </w:rPr>
        <w:t xml:space="preserve"> Guidance question</w:t>
      </w:r>
      <w:r w:rsidR="00E404DA">
        <w:rPr>
          <w:b/>
          <w:sz w:val="28"/>
        </w:rPr>
        <w:t>s</w:t>
      </w:r>
    </w:p>
    <w:p w14:paraId="19EE2EF6" w14:textId="113C6BB8" w:rsidR="00241DBB" w:rsidRDefault="00241DBB" w:rsidP="00DB759E">
      <w:pPr>
        <w:pStyle w:val="BodyText2-nospacebelow"/>
        <w:numPr>
          <w:ilvl w:val="0"/>
          <w:numId w:val="19"/>
        </w:numPr>
        <w:spacing w:after="120"/>
      </w:pPr>
      <w:r w:rsidRPr="00241DBB">
        <w:t xml:space="preserve">Do you support the Panel being able to prohibit </w:t>
      </w:r>
      <w:r w:rsidR="00246B9A">
        <w:t>elected member</w:t>
      </w:r>
      <w:r w:rsidRPr="00241DBB">
        <w:t xml:space="preserve">s from attending council meetings? </w:t>
      </w:r>
      <w:r w:rsidRPr="007476DF">
        <w:t>W</w:t>
      </w:r>
      <w:r w:rsidR="007476DF">
        <w:t>hy or why not?</w:t>
      </w:r>
    </w:p>
    <w:p w14:paraId="618C4EDC" w14:textId="5609CBDC" w:rsidR="00DB2A57" w:rsidRDefault="007476DF" w:rsidP="00DB759E">
      <w:pPr>
        <w:pStyle w:val="BodyText2-nospacebelow"/>
        <w:numPr>
          <w:ilvl w:val="0"/>
          <w:numId w:val="19"/>
        </w:numPr>
        <w:spacing w:after="120"/>
      </w:pPr>
      <w:r>
        <w:t xml:space="preserve">How many meetings </w:t>
      </w:r>
      <w:r w:rsidR="00104DE5">
        <w:t>should the Panel be able to order</w:t>
      </w:r>
      <w:r w:rsidR="00E404DA">
        <w:t xml:space="preserve"> the </w:t>
      </w:r>
      <w:r w:rsidR="00246B9A">
        <w:t>elected member</w:t>
      </w:r>
      <w:r w:rsidR="00E404DA">
        <w:t xml:space="preserve"> not attend?</w:t>
      </w:r>
    </w:p>
    <w:p w14:paraId="5EBA304D" w14:textId="078BA5FC" w:rsidR="00E404DA" w:rsidRPr="00241DBB" w:rsidRDefault="00E404DA" w:rsidP="00DB759E">
      <w:pPr>
        <w:pStyle w:val="BodyText2-nospacebelow"/>
        <w:numPr>
          <w:ilvl w:val="0"/>
          <w:numId w:val="19"/>
        </w:numPr>
        <w:spacing w:after="120"/>
      </w:pPr>
      <w:r>
        <w:t xml:space="preserve">Should the </w:t>
      </w:r>
      <w:r w:rsidR="00246B9A">
        <w:t>elected member</w:t>
      </w:r>
      <w:r>
        <w:t xml:space="preserve"> be eligible for sitting fees and allowances in these circumstances?</w:t>
      </w:r>
    </w:p>
    <w:p w14:paraId="27DBE6C5" w14:textId="77777777" w:rsidR="00241DBB" w:rsidRPr="00241DBB" w:rsidRDefault="00241DBB" w:rsidP="00DB2A57">
      <w:pPr>
        <w:pStyle w:val="Heading3"/>
      </w:pPr>
      <w:bookmarkStart w:id="493" w:name="_Toc493746726"/>
      <w:bookmarkStart w:id="494" w:name="_Toc493768858"/>
      <w:bookmarkStart w:id="495" w:name="_Toc493859928"/>
      <w:bookmarkStart w:id="496" w:name="_Toc495491828"/>
      <w:bookmarkStart w:id="497" w:name="_Toc495497608"/>
      <w:bookmarkStart w:id="498" w:name="_Toc495671454"/>
      <w:bookmarkStart w:id="499" w:name="_Toc495676055"/>
      <w:bookmarkStart w:id="500" w:name="_Toc495678350"/>
      <w:bookmarkStart w:id="501" w:name="_Toc495998348"/>
      <w:bookmarkStart w:id="502" w:name="_Toc497741818"/>
      <w:r w:rsidRPr="00241DBB">
        <w:t>Compensation to the local government</w:t>
      </w:r>
      <w:bookmarkEnd w:id="493"/>
      <w:bookmarkEnd w:id="494"/>
      <w:bookmarkEnd w:id="495"/>
      <w:bookmarkEnd w:id="496"/>
      <w:bookmarkEnd w:id="497"/>
      <w:bookmarkEnd w:id="498"/>
      <w:bookmarkEnd w:id="499"/>
      <w:bookmarkEnd w:id="500"/>
      <w:bookmarkEnd w:id="501"/>
      <w:bookmarkEnd w:id="502"/>
    </w:p>
    <w:p w14:paraId="3A30E384" w14:textId="77777777" w:rsidR="00241DBB" w:rsidRDefault="007A180F" w:rsidP="00AC131F">
      <w:pPr>
        <w:pStyle w:val="BodyText-nospacebelow"/>
        <w:jc w:val="both"/>
      </w:pPr>
      <w:r>
        <w:t xml:space="preserve">Another </w:t>
      </w:r>
      <w:r w:rsidR="00E404DA">
        <w:t>sanction</w:t>
      </w:r>
      <w:r>
        <w:t xml:space="preserve"> option</w:t>
      </w:r>
      <w:r w:rsidR="00241DBB" w:rsidRPr="00241DBB">
        <w:t xml:space="preserve"> could be to require the person who has been found to have committed a minor breach to pay the local government an amount of compensation. The amount that could be ordered </w:t>
      </w:r>
      <w:r w:rsidR="00E1710B">
        <w:t>would have a limit, such as</w:t>
      </w:r>
      <w:r w:rsidR="00241DBB" w:rsidRPr="00241DBB">
        <w:t xml:space="preserve"> $10,000. It is expected that this </w:t>
      </w:r>
      <w:r w:rsidR="009A229A">
        <w:t>sanction</w:t>
      </w:r>
      <w:r w:rsidR="00E1710B" w:rsidRPr="00241DBB">
        <w:t xml:space="preserve"> </w:t>
      </w:r>
      <w:r w:rsidR="00241DBB" w:rsidRPr="00241DBB">
        <w:t xml:space="preserve">would only be imposed in circumstances where </w:t>
      </w:r>
      <w:r w:rsidR="00542D69">
        <w:t>there has been a clear financial impact to the local government.</w:t>
      </w:r>
    </w:p>
    <w:p w14:paraId="00951187" w14:textId="77777777" w:rsidR="00DB2A57" w:rsidRPr="00241DBB" w:rsidRDefault="00DB2A57" w:rsidP="00AC131F">
      <w:pPr>
        <w:pStyle w:val="BodyText-nospacebelow"/>
        <w:jc w:val="both"/>
      </w:pPr>
    </w:p>
    <w:p w14:paraId="71CE21F6" w14:textId="77777777" w:rsidR="00241DBB" w:rsidRDefault="00241DBB" w:rsidP="00AC131F">
      <w:pPr>
        <w:pStyle w:val="BodyText-nospacebelow"/>
        <w:jc w:val="both"/>
      </w:pPr>
      <w:r w:rsidRPr="00241DBB">
        <w:t xml:space="preserve">This option </w:t>
      </w:r>
      <w:r w:rsidR="00E1710B">
        <w:t>exists</w:t>
      </w:r>
      <w:r w:rsidRPr="00241DBB">
        <w:t xml:space="preserve"> under the equivalent breach systems in Tasmania, </w:t>
      </w:r>
      <w:r w:rsidR="00E1710B">
        <w:t xml:space="preserve">the </w:t>
      </w:r>
      <w:r w:rsidRPr="00241DBB">
        <w:t>Northern Territory, Queensland and South Australia.</w:t>
      </w:r>
    </w:p>
    <w:p w14:paraId="0BF9C3DF" w14:textId="77777777" w:rsidR="00E404DA" w:rsidRDefault="00E404DA" w:rsidP="00E404DA">
      <w:pPr>
        <w:pStyle w:val="IntenseQuote"/>
        <w:rPr>
          <w:b/>
          <w:sz w:val="28"/>
        </w:rPr>
      </w:pPr>
      <w:r>
        <w:rPr>
          <w:b/>
          <w:sz w:val="28"/>
        </w:rPr>
        <w:t xml:space="preserve">Compensation to </w:t>
      </w:r>
      <w:r w:rsidR="00BC7F24">
        <w:rPr>
          <w:b/>
          <w:sz w:val="28"/>
        </w:rPr>
        <w:t xml:space="preserve">the </w:t>
      </w:r>
      <w:r>
        <w:rPr>
          <w:b/>
          <w:sz w:val="28"/>
        </w:rPr>
        <w:t>local government: Guidance questions</w:t>
      </w:r>
    </w:p>
    <w:p w14:paraId="07DBF770" w14:textId="77777777" w:rsidR="00241DBB" w:rsidRPr="00241DBB" w:rsidRDefault="00241DBB" w:rsidP="00DB759E">
      <w:pPr>
        <w:pStyle w:val="BodyText2-nospacebelow"/>
        <w:numPr>
          <w:ilvl w:val="0"/>
          <w:numId w:val="19"/>
        </w:numPr>
        <w:spacing w:after="120"/>
      </w:pPr>
      <w:r w:rsidRPr="00241DBB">
        <w:t>Do you support the Panel being able to</w:t>
      </w:r>
      <w:r w:rsidR="00D63820">
        <w:t xml:space="preserve"> </w:t>
      </w:r>
      <w:r w:rsidR="009A229A">
        <w:t>award</w:t>
      </w:r>
      <w:r w:rsidRPr="00241DBB">
        <w:t xml:space="preserve"> financial compensation</w:t>
      </w:r>
      <w:r w:rsidR="00E47F78">
        <w:t xml:space="preserve"> to the local government</w:t>
      </w:r>
      <w:r w:rsidRPr="00241DBB">
        <w:t xml:space="preserve">? </w:t>
      </w:r>
      <w:r w:rsidRPr="009A229A">
        <w:t>W</w:t>
      </w:r>
      <w:r w:rsidRPr="00241DBB">
        <w:t>hy or why not?</w:t>
      </w:r>
    </w:p>
    <w:p w14:paraId="1CB04AB9" w14:textId="77777777" w:rsidR="00241DBB" w:rsidRPr="00241DBB" w:rsidRDefault="00241DBB" w:rsidP="00DB759E">
      <w:pPr>
        <w:pStyle w:val="BodyText2-nospacebelow"/>
        <w:numPr>
          <w:ilvl w:val="0"/>
          <w:numId w:val="19"/>
        </w:numPr>
        <w:spacing w:after="120"/>
      </w:pPr>
      <w:r w:rsidRPr="00241DBB">
        <w:t>What should the maximum amount be?</w:t>
      </w:r>
    </w:p>
    <w:p w14:paraId="322F562D" w14:textId="77777777" w:rsidR="00077B03" w:rsidRPr="00241DBB" w:rsidRDefault="0041464A" w:rsidP="00AC131F">
      <w:pPr>
        <w:pStyle w:val="Heading3"/>
        <w:jc w:val="both"/>
      </w:pPr>
      <w:bookmarkStart w:id="503" w:name="_Toc495491829"/>
      <w:bookmarkStart w:id="504" w:name="_Toc495497609"/>
      <w:bookmarkStart w:id="505" w:name="_Toc495671455"/>
      <w:bookmarkStart w:id="506" w:name="_Toc495676056"/>
      <w:bookmarkStart w:id="507" w:name="_Toc495678351"/>
      <w:bookmarkStart w:id="508" w:name="_Toc495998349"/>
      <w:bookmarkStart w:id="509" w:name="_Toc497741819"/>
      <w:r>
        <w:t>Complaint administrative</w:t>
      </w:r>
      <w:r w:rsidR="00077B03">
        <w:t xml:space="preserve"> fee</w:t>
      </w:r>
      <w:bookmarkEnd w:id="503"/>
      <w:bookmarkEnd w:id="504"/>
      <w:bookmarkEnd w:id="505"/>
      <w:bookmarkEnd w:id="506"/>
      <w:bookmarkEnd w:id="507"/>
      <w:bookmarkEnd w:id="508"/>
      <w:bookmarkEnd w:id="509"/>
    </w:p>
    <w:p w14:paraId="5D09D450" w14:textId="6566BB06" w:rsidR="00077B03" w:rsidRDefault="00077B03" w:rsidP="00AC131F">
      <w:pPr>
        <w:pStyle w:val="BodyText-nospacebelow"/>
        <w:jc w:val="both"/>
      </w:pPr>
      <w:r>
        <w:t xml:space="preserve">This option proposes that a fee </w:t>
      </w:r>
      <w:r w:rsidR="00646E2E">
        <w:t xml:space="preserve">accompanies </w:t>
      </w:r>
      <w:r>
        <w:t xml:space="preserve">a complaint </w:t>
      </w:r>
      <w:r w:rsidR="00646E2E">
        <w:t xml:space="preserve">when it is lodged with a complaints officer. In the event that a breach is found, the fee would be refunded to the complainant. If no breach is </w:t>
      </w:r>
      <w:r w:rsidR="00646E2E">
        <w:lastRenderedPageBreak/>
        <w:t>found, the fee woul</w:t>
      </w:r>
      <w:r w:rsidR="00395735">
        <w:t xml:space="preserve">d be retained by the Department to </w:t>
      </w:r>
      <w:r w:rsidR="00672444">
        <w:t>partly off-set</w:t>
      </w:r>
      <w:r w:rsidR="00395735">
        <w:t xml:space="preserve"> some of the</w:t>
      </w:r>
      <w:r w:rsidR="0005744D">
        <w:t xml:space="preserve"> administrative costs associated with the</w:t>
      </w:r>
      <w:r w:rsidR="00395735">
        <w:t xml:space="preserve"> panel proceeding</w:t>
      </w:r>
      <w:r w:rsidR="0005744D">
        <w:t>s</w:t>
      </w:r>
      <w:r w:rsidR="00395735">
        <w:t>.</w:t>
      </w:r>
    </w:p>
    <w:p w14:paraId="5D22E457" w14:textId="77777777" w:rsidR="00646E2E" w:rsidRDefault="00646E2E" w:rsidP="00AC131F">
      <w:pPr>
        <w:pStyle w:val="BodyText-nospacebelow"/>
        <w:jc w:val="both"/>
      </w:pPr>
    </w:p>
    <w:p w14:paraId="42D473A9" w14:textId="77777777" w:rsidR="00395735" w:rsidRDefault="00395735" w:rsidP="00AC131F">
      <w:pPr>
        <w:pStyle w:val="BodyText-nospacebelow"/>
        <w:jc w:val="both"/>
      </w:pPr>
      <w:r>
        <w:t xml:space="preserve">The benefit of requiring a complainant to pay a fee is twofold. Firstly, it would encourage complainants to only lodge a complaint where, in their opinion, there is </w:t>
      </w:r>
      <w:r w:rsidR="004000BE">
        <w:t>strong evidence of a</w:t>
      </w:r>
      <w:r>
        <w:t xml:space="preserve"> breach. </w:t>
      </w:r>
      <w:r w:rsidR="0005744D">
        <w:t>It is expected that this would</w:t>
      </w:r>
      <w:r>
        <w:t xml:space="preserve"> encourage</w:t>
      </w:r>
      <w:r w:rsidR="0005744D">
        <w:t xml:space="preserve"> more</w:t>
      </w:r>
      <w:r>
        <w:t xml:space="preserve"> complaints to be dealt with at a local level and reduce the use of the Panel as a mech</w:t>
      </w:r>
      <w:r w:rsidR="00FB7240">
        <w:t>anism for dealing with personal grievances.</w:t>
      </w:r>
    </w:p>
    <w:p w14:paraId="6B65F6C7" w14:textId="77777777" w:rsidR="00FB7240" w:rsidRDefault="00FB7240" w:rsidP="00AC131F">
      <w:pPr>
        <w:pStyle w:val="BodyText-nospacebelow"/>
        <w:jc w:val="both"/>
      </w:pPr>
    </w:p>
    <w:p w14:paraId="41B92F12" w14:textId="77777777" w:rsidR="00FB7240" w:rsidRDefault="00FB7240" w:rsidP="00AC131F">
      <w:pPr>
        <w:pStyle w:val="BodyText-nospacebelow"/>
        <w:jc w:val="both"/>
      </w:pPr>
      <w:r>
        <w:t xml:space="preserve">Secondly, a reduction in the number of trivial or vexatious complaints that need to be considered by the Panel will allow the Panel to consider </w:t>
      </w:r>
      <w:r w:rsidR="000974E7">
        <w:t>breaches</w:t>
      </w:r>
      <w:r>
        <w:t xml:space="preserve"> which may be causing serio</w:t>
      </w:r>
      <w:r w:rsidR="0005744D">
        <w:t>us dysfunction</w:t>
      </w:r>
      <w:r w:rsidR="000974E7">
        <w:t xml:space="preserve"> in a more</w:t>
      </w:r>
      <w:r>
        <w:t xml:space="preserve"> expedient manner.</w:t>
      </w:r>
      <w:r w:rsidR="000974E7">
        <w:t xml:space="preserve"> </w:t>
      </w:r>
    </w:p>
    <w:p w14:paraId="784FAC43" w14:textId="77777777" w:rsidR="000B518F" w:rsidRDefault="000B518F" w:rsidP="00AC131F">
      <w:pPr>
        <w:pStyle w:val="BodyText-nospacebelow"/>
        <w:jc w:val="both"/>
      </w:pPr>
    </w:p>
    <w:p w14:paraId="239087AB" w14:textId="4260D1FA" w:rsidR="00D06001" w:rsidRDefault="00AC6DDF" w:rsidP="00AC131F">
      <w:pPr>
        <w:pStyle w:val="BodyText-nospacebelow"/>
        <w:jc w:val="both"/>
      </w:pPr>
      <w:r>
        <w:t xml:space="preserve">An administration fee </w:t>
      </w:r>
      <w:r w:rsidR="001442F0">
        <w:t xml:space="preserve">for lodging an application </w:t>
      </w:r>
      <w:r>
        <w:t xml:space="preserve">is currently required </w:t>
      </w:r>
      <w:r w:rsidR="007B0C70">
        <w:t xml:space="preserve">by other bodies, such as </w:t>
      </w:r>
      <w:r>
        <w:t xml:space="preserve">the </w:t>
      </w:r>
      <w:r w:rsidR="001442F0">
        <w:t xml:space="preserve">Liquor Commission Western Australia and Racing Penalties Appeal Tribunal. </w:t>
      </w:r>
    </w:p>
    <w:p w14:paraId="7AB17260" w14:textId="77777777" w:rsidR="00395735" w:rsidRDefault="00395735" w:rsidP="00077B03">
      <w:pPr>
        <w:pStyle w:val="BodyText-nospacebelow"/>
      </w:pPr>
    </w:p>
    <w:p w14:paraId="047DC31E" w14:textId="77777777" w:rsidR="00077B03" w:rsidRDefault="0041464A" w:rsidP="00077B03">
      <w:pPr>
        <w:pStyle w:val="IntenseQuote"/>
        <w:rPr>
          <w:b/>
          <w:sz w:val="28"/>
        </w:rPr>
      </w:pPr>
      <w:r>
        <w:rPr>
          <w:b/>
          <w:sz w:val="28"/>
        </w:rPr>
        <w:t>Complaint administrative</w:t>
      </w:r>
      <w:r w:rsidR="00077B03">
        <w:rPr>
          <w:b/>
          <w:sz w:val="28"/>
        </w:rPr>
        <w:t xml:space="preserve"> fee: Guidance questions</w:t>
      </w:r>
    </w:p>
    <w:p w14:paraId="67B2FB49" w14:textId="77777777" w:rsidR="00077B03" w:rsidRDefault="00077B03" w:rsidP="00DB759E">
      <w:pPr>
        <w:pStyle w:val="BodyText2-nospacebelow"/>
        <w:numPr>
          <w:ilvl w:val="0"/>
          <w:numId w:val="19"/>
        </w:numPr>
        <w:spacing w:after="120"/>
      </w:pPr>
      <w:r w:rsidRPr="00241DBB">
        <w:t xml:space="preserve">Do you support this option? </w:t>
      </w:r>
      <w:r w:rsidRPr="005A325D">
        <w:t>W</w:t>
      </w:r>
      <w:r w:rsidRPr="00241DBB">
        <w:t>hy or why not?</w:t>
      </w:r>
    </w:p>
    <w:p w14:paraId="585F11DC" w14:textId="72A11626" w:rsidR="004117DC" w:rsidRDefault="002843B7" w:rsidP="00DB759E">
      <w:pPr>
        <w:pStyle w:val="BodyText2-nospacebelow"/>
        <w:numPr>
          <w:ilvl w:val="0"/>
          <w:numId w:val="19"/>
        </w:numPr>
        <w:spacing w:after="120"/>
      </w:pPr>
      <w:r>
        <w:t xml:space="preserve">Do you believe that a complaint </w:t>
      </w:r>
      <w:r w:rsidR="004117DC">
        <w:t>administrati</w:t>
      </w:r>
      <w:r w:rsidR="007B0C70">
        <w:t>ve</w:t>
      </w:r>
      <w:r>
        <w:t xml:space="preserve"> fee would deter complainants from lodging a</w:t>
      </w:r>
      <w:r w:rsidR="004117DC">
        <w:t xml:space="preserve"> complaint? Is this appropriate?</w:t>
      </w:r>
    </w:p>
    <w:p w14:paraId="523D05CE" w14:textId="1C762665" w:rsidR="00077B03" w:rsidRDefault="00077B03" w:rsidP="00DB759E">
      <w:pPr>
        <w:pStyle w:val="BodyText2-nospacebelow"/>
        <w:numPr>
          <w:ilvl w:val="0"/>
          <w:numId w:val="19"/>
        </w:numPr>
        <w:spacing w:after="120"/>
      </w:pPr>
      <w:r>
        <w:t xml:space="preserve">Would a complaint </w:t>
      </w:r>
      <w:r w:rsidR="004000BE">
        <w:t>administrative</w:t>
      </w:r>
      <w:r>
        <w:t xml:space="preserve"> fee be approp</w:t>
      </w:r>
      <w:r w:rsidR="00646E2E">
        <w:t xml:space="preserve">riate </w:t>
      </w:r>
      <w:r w:rsidR="00F9797C">
        <w:t>for a sector conduct review committee model?</w:t>
      </w:r>
      <w:r w:rsidR="00646E2E">
        <w:t xml:space="preserve"> Why or why not?</w:t>
      </w:r>
    </w:p>
    <w:p w14:paraId="0A14845C" w14:textId="77777777" w:rsidR="002843B7" w:rsidRDefault="00077B03" w:rsidP="00DB759E">
      <w:pPr>
        <w:pStyle w:val="BodyText2-nospacebelow"/>
        <w:numPr>
          <w:ilvl w:val="0"/>
          <w:numId w:val="19"/>
        </w:numPr>
        <w:spacing w:after="120"/>
      </w:pPr>
      <w:r>
        <w:t>What would be an appropriate fee for lodging a complaint?</w:t>
      </w:r>
    </w:p>
    <w:p w14:paraId="50266CB3" w14:textId="7680C6EE" w:rsidR="007B5981" w:rsidRPr="00241DBB" w:rsidRDefault="007B5981" w:rsidP="00DB759E">
      <w:pPr>
        <w:pStyle w:val="BodyText2-nospacebelow"/>
        <w:numPr>
          <w:ilvl w:val="0"/>
          <w:numId w:val="19"/>
        </w:numPr>
        <w:spacing w:after="120"/>
      </w:pPr>
      <w:r>
        <w:t xml:space="preserve">Should the administrative fee be refunded </w:t>
      </w:r>
      <w:r w:rsidR="00B02FB2">
        <w:t xml:space="preserve">with </w:t>
      </w:r>
      <w:r>
        <w:t>a</w:t>
      </w:r>
      <w:r w:rsidR="00B02FB2">
        <w:t xml:space="preserve"> finding of</w:t>
      </w:r>
      <w:r>
        <w:t xml:space="preserve"> minor breach or should it be retained by the Department to </w:t>
      </w:r>
      <w:r w:rsidR="0027462A">
        <w:t>offset</w:t>
      </w:r>
      <w:r>
        <w:t xml:space="preserve"> cost</w:t>
      </w:r>
      <w:r w:rsidR="0027462A">
        <w:t>s</w:t>
      </w:r>
      <w:r>
        <w:t>? Why or why not?</w:t>
      </w:r>
    </w:p>
    <w:p w14:paraId="6D250077" w14:textId="77777777" w:rsidR="00241DBB" w:rsidRPr="00241DBB" w:rsidRDefault="00241DBB" w:rsidP="00785B15">
      <w:pPr>
        <w:pStyle w:val="Heading3"/>
      </w:pPr>
      <w:bookmarkStart w:id="510" w:name="_Toc493746727"/>
      <w:bookmarkStart w:id="511" w:name="_Toc493768859"/>
      <w:bookmarkStart w:id="512" w:name="_Toc493859929"/>
      <w:bookmarkStart w:id="513" w:name="_Toc495491830"/>
      <w:bookmarkStart w:id="514" w:name="_Toc495497610"/>
      <w:bookmarkStart w:id="515" w:name="_Toc495671456"/>
      <w:bookmarkStart w:id="516" w:name="_Toc495676057"/>
      <w:bookmarkStart w:id="517" w:name="_Toc495678352"/>
      <w:bookmarkStart w:id="518" w:name="_Toc495998350"/>
      <w:bookmarkStart w:id="519" w:name="_Toc497741820"/>
      <w:r w:rsidRPr="00241DBB">
        <w:t>Cost recovery to the local government</w:t>
      </w:r>
      <w:bookmarkEnd w:id="510"/>
      <w:bookmarkEnd w:id="511"/>
      <w:bookmarkEnd w:id="512"/>
      <w:bookmarkEnd w:id="513"/>
      <w:bookmarkEnd w:id="514"/>
      <w:bookmarkEnd w:id="515"/>
      <w:bookmarkEnd w:id="516"/>
      <w:bookmarkEnd w:id="517"/>
      <w:bookmarkEnd w:id="518"/>
      <w:bookmarkEnd w:id="519"/>
    </w:p>
    <w:p w14:paraId="3F8FD595" w14:textId="2ED1E78C" w:rsidR="00241DBB" w:rsidRDefault="00241DBB" w:rsidP="00AC131F">
      <w:pPr>
        <w:pStyle w:val="BodyText-nospacebelow"/>
        <w:jc w:val="both"/>
      </w:pPr>
      <w:r w:rsidRPr="00241DBB">
        <w:t xml:space="preserve">An alternative to imposing a financial </w:t>
      </w:r>
      <w:r w:rsidR="005A325D">
        <w:t>sanction</w:t>
      </w:r>
      <w:r w:rsidRPr="00241DBB">
        <w:t xml:space="preserve"> is to require the </w:t>
      </w:r>
      <w:r w:rsidR="00246B9A">
        <w:t>elected member</w:t>
      </w:r>
      <w:r w:rsidR="001D0D24">
        <w:t xml:space="preserve"> who has committed the breach</w:t>
      </w:r>
      <w:r w:rsidRPr="00241DBB">
        <w:t xml:space="preserve"> to reimburse the local government the cost of the panel proceedings. Currently, the local government pay</w:t>
      </w:r>
      <w:r w:rsidR="00C23AE0">
        <w:t>s</w:t>
      </w:r>
      <w:r w:rsidRPr="00241DBB">
        <w:t xml:space="preserve"> the cost. </w:t>
      </w:r>
    </w:p>
    <w:p w14:paraId="0C0194D1" w14:textId="77777777" w:rsidR="005A325D" w:rsidRDefault="005A325D" w:rsidP="005A325D">
      <w:pPr>
        <w:pStyle w:val="IntenseQuote"/>
        <w:rPr>
          <w:b/>
          <w:sz w:val="28"/>
        </w:rPr>
      </w:pPr>
      <w:r>
        <w:rPr>
          <w:b/>
          <w:sz w:val="28"/>
        </w:rPr>
        <w:t>Cost recovery to local government: Guidance questions</w:t>
      </w:r>
    </w:p>
    <w:p w14:paraId="33B6C7AE" w14:textId="60CDD7E2" w:rsidR="00241DBB" w:rsidRDefault="005A325D" w:rsidP="00DB759E">
      <w:pPr>
        <w:pStyle w:val="BodyText2-nospacebelow"/>
        <w:numPr>
          <w:ilvl w:val="0"/>
          <w:numId w:val="19"/>
        </w:numPr>
        <w:spacing w:after="120"/>
      </w:pPr>
      <w:r w:rsidRPr="00241DBB">
        <w:lastRenderedPageBreak/>
        <w:t xml:space="preserve"> </w:t>
      </w:r>
      <w:r w:rsidR="00241DBB" w:rsidRPr="00241DBB">
        <w:t>Do you support th</w:t>
      </w:r>
      <w:r w:rsidR="00F9797C">
        <w:t>e cost of the panel proceedings being paid by a member found to be in breach?</w:t>
      </w:r>
      <w:r w:rsidR="00241DBB" w:rsidRPr="00241DBB">
        <w:t xml:space="preserve"> </w:t>
      </w:r>
      <w:r w:rsidR="00241DBB" w:rsidRPr="005A325D">
        <w:t>W</w:t>
      </w:r>
      <w:r w:rsidR="00241DBB" w:rsidRPr="00241DBB">
        <w:t>hy or why not?</w:t>
      </w:r>
    </w:p>
    <w:p w14:paraId="06172911" w14:textId="77777777" w:rsidR="00241DBB" w:rsidRPr="00241DBB" w:rsidRDefault="00241DBB" w:rsidP="00AC131F">
      <w:pPr>
        <w:pStyle w:val="Heading3"/>
        <w:jc w:val="both"/>
      </w:pPr>
      <w:bookmarkStart w:id="520" w:name="_Toc493746728"/>
      <w:bookmarkStart w:id="521" w:name="_Toc493768860"/>
      <w:bookmarkStart w:id="522" w:name="_Toc493859930"/>
      <w:bookmarkStart w:id="523" w:name="_Toc495491831"/>
      <w:bookmarkStart w:id="524" w:name="_Toc495497611"/>
      <w:bookmarkStart w:id="525" w:name="_Toc495671457"/>
      <w:bookmarkStart w:id="526" w:name="_Toc495676058"/>
      <w:bookmarkStart w:id="527" w:name="_Toc495678353"/>
      <w:bookmarkStart w:id="528" w:name="_Toc495998351"/>
      <w:bookmarkStart w:id="529" w:name="_Toc497741821"/>
      <w:r w:rsidRPr="00241DBB">
        <w:t>Publish complaints in the annual report</w:t>
      </w:r>
      <w:bookmarkEnd w:id="520"/>
      <w:bookmarkEnd w:id="521"/>
      <w:bookmarkEnd w:id="522"/>
      <w:bookmarkEnd w:id="523"/>
      <w:bookmarkEnd w:id="524"/>
      <w:bookmarkEnd w:id="525"/>
      <w:bookmarkEnd w:id="526"/>
      <w:bookmarkEnd w:id="527"/>
      <w:bookmarkEnd w:id="528"/>
      <w:bookmarkEnd w:id="529"/>
    </w:p>
    <w:p w14:paraId="418F3643" w14:textId="1C2CCA20" w:rsidR="00241DBB" w:rsidRDefault="00E74F1D" w:rsidP="00AC131F">
      <w:pPr>
        <w:pStyle w:val="BodyText-nospacebelow"/>
        <w:jc w:val="both"/>
      </w:pPr>
      <w:r>
        <w:t>T</w:t>
      </w:r>
      <w:r w:rsidR="00241DBB" w:rsidRPr="00241DBB">
        <w:t>his propos</w:t>
      </w:r>
      <w:r w:rsidR="000B7C9A">
        <w:t>al</w:t>
      </w:r>
      <w:r w:rsidR="00C82AE6">
        <w:t xml:space="preserve"> is</w:t>
      </w:r>
      <w:r w:rsidR="00241DBB" w:rsidRPr="00241DBB">
        <w:t xml:space="preserve"> that local govern</w:t>
      </w:r>
      <w:r w:rsidR="00430F7B">
        <w:t xml:space="preserve">ments are required to publish </w:t>
      </w:r>
      <w:r w:rsidR="00C82AE6" w:rsidRPr="00241DBB">
        <w:t xml:space="preserve">in </w:t>
      </w:r>
      <w:r w:rsidR="00C82AE6">
        <w:t>their</w:t>
      </w:r>
      <w:r w:rsidR="00C82AE6" w:rsidRPr="00241DBB">
        <w:t xml:space="preserve"> annual report </w:t>
      </w:r>
      <w:r w:rsidR="00241DBB" w:rsidRPr="00241DBB">
        <w:t xml:space="preserve">the number of minor breach </w:t>
      </w:r>
      <w:r w:rsidR="00313040">
        <w:t xml:space="preserve">allegations, the number of </w:t>
      </w:r>
      <w:r w:rsidR="00DF53C1">
        <w:t>findings of breach</w:t>
      </w:r>
      <w:r w:rsidR="00241DBB" w:rsidRPr="00241DBB">
        <w:t xml:space="preserve"> and the costs </w:t>
      </w:r>
      <w:r w:rsidR="00C82AE6">
        <w:t>reimbursed to the Standards Panel relating to those</w:t>
      </w:r>
      <w:r w:rsidR="00241DBB" w:rsidRPr="00241DBB">
        <w:t xml:space="preserve"> complaints. This would increase transparency to the community</w:t>
      </w:r>
      <w:r w:rsidR="00DF53C1">
        <w:t xml:space="preserve"> and make </w:t>
      </w:r>
      <w:r w:rsidR="00246B9A">
        <w:t>elected member</w:t>
      </w:r>
      <w:r w:rsidR="00DF53C1">
        <w:t>s more accountable for their actions</w:t>
      </w:r>
      <w:r w:rsidR="00241DBB" w:rsidRPr="00241DBB">
        <w:t>.</w:t>
      </w:r>
    </w:p>
    <w:p w14:paraId="2E216DF3" w14:textId="77777777" w:rsidR="00430F7B" w:rsidRDefault="00430F7B" w:rsidP="00AC131F">
      <w:pPr>
        <w:pStyle w:val="BodyText-nospacebelow"/>
        <w:jc w:val="both"/>
      </w:pPr>
    </w:p>
    <w:p w14:paraId="5383D34D" w14:textId="27448D92" w:rsidR="00785B15" w:rsidRPr="00241DBB" w:rsidRDefault="00430F7B" w:rsidP="00AC131F">
      <w:pPr>
        <w:pStyle w:val="BodyText-nospacebelow"/>
        <w:jc w:val="both"/>
      </w:pPr>
      <w:r>
        <w:t xml:space="preserve">This is a requirement under the Tasmanian framework for dealing with the conduct of </w:t>
      </w:r>
      <w:r w:rsidR="00246B9A">
        <w:t>elected member</w:t>
      </w:r>
      <w:r>
        <w:t xml:space="preserve">s. </w:t>
      </w:r>
      <w:r w:rsidR="00F4484E">
        <w:t>New South Wales also require</w:t>
      </w:r>
      <w:r w:rsidR="00FD013A">
        <w:t>s</w:t>
      </w:r>
      <w:r w:rsidR="00F4484E">
        <w:t xml:space="preserve"> a statistical report of complaints to be published within three months of the end of September each year. </w:t>
      </w:r>
    </w:p>
    <w:p w14:paraId="034E0A84" w14:textId="6CAAF2DA" w:rsidR="006C5BEF" w:rsidRDefault="006C5BEF" w:rsidP="006C5BEF">
      <w:pPr>
        <w:pStyle w:val="IntenseQuote"/>
        <w:rPr>
          <w:b/>
          <w:sz w:val="28"/>
        </w:rPr>
      </w:pPr>
      <w:r>
        <w:rPr>
          <w:b/>
          <w:sz w:val="28"/>
        </w:rPr>
        <w:t>Publication of complaints</w:t>
      </w:r>
      <w:r w:rsidR="00F95003">
        <w:rPr>
          <w:b/>
          <w:sz w:val="28"/>
        </w:rPr>
        <w:t xml:space="preserve"> in the </w:t>
      </w:r>
      <w:r w:rsidR="00710EA2">
        <w:rPr>
          <w:b/>
          <w:sz w:val="28"/>
        </w:rPr>
        <w:t>annual</w:t>
      </w:r>
      <w:r w:rsidR="00F95003">
        <w:rPr>
          <w:b/>
          <w:sz w:val="28"/>
        </w:rPr>
        <w:t xml:space="preserve"> report</w:t>
      </w:r>
      <w:r>
        <w:rPr>
          <w:b/>
          <w:sz w:val="28"/>
        </w:rPr>
        <w:t>: Guidance question</w:t>
      </w:r>
    </w:p>
    <w:p w14:paraId="63F61FC0" w14:textId="0A6259E4" w:rsidR="00241DBB" w:rsidRDefault="006C5BEF" w:rsidP="00DB759E">
      <w:pPr>
        <w:pStyle w:val="BodyText2-nospacebelow"/>
        <w:numPr>
          <w:ilvl w:val="0"/>
          <w:numId w:val="19"/>
        </w:numPr>
        <w:spacing w:after="120"/>
      </w:pPr>
      <w:r w:rsidRPr="00241DBB">
        <w:t xml:space="preserve"> </w:t>
      </w:r>
      <w:r w:rsidR="00241DBB" w:rsidRPr="00241DBB">
        <w:t xml:space="preserve">Do you support </w:t>
      </w:r>
      <w:r w:rsidR="00F9797C">
        <w:t>the tabling of the decision report at the Ordinary Council Meeting?</w:t>
      </w:r>
      <w:r w:rsidR="00241DBB" w:rsidRPr="00241DBB">
        <w:t xml:space="preserve"> </w:t>
      </w:r>
      <w:r w:rsidR="00241DBB" w:rsidRPr="006C5BEF">
        <w:t>W</w:t>
      </w:r>
      <w:r w:rsidR="00241DBB" w:rsidRPr="00241DBB">
        <w:t>hy or why not?</w:t>
      </w:r>
    </w:p>
    <w:p w14:paraId="742CF2A0" w14:textId="77777777" w:rsidR="00241DBB" w:rsidRPr="00241DBB" w:rsidRDefault="00241DBB" w:rsidP="00785B15">
      <w:pPr>
        <w:pStyle w:val="Heading3"/>
      </w:pPr>
      <w:bookmarkStart w:id="530" w:name="_Toc493746729"/>
      <w:bookmarkStart w:id="531" w:name="_Toc493768861"/>
      <w:bookmarkStart w:id="532" w:name="_Toc493859931"/>
      <w:bookmarkStart w:id="533" w:name="_Toc495491832"/>
      <w:bookmarkStart w:id="534" w:name="_Toc495497612"/>
      <w:bookmarkStart w:id="535" w:name="_Toc495671458"/>
      <w:bookmarkStart w:id="536" w:name="_Toc495676059"/>
      <w:bookmarkStart w:id="537" w:name="_Toc495678354"/>
      <w:bookmarkStart w:id="538" w:name="_Toc495998352"/>
      <w:bookmarkStart w:id="539" w:name="_Toc497741822"/>
      <w:r w:rsidRPr="00241DBB">
        <w:t>Table decision report at O</w:t>
      </w:r>
      <w:r w:rsidR="00F66619">
        <w:t xml:space="preserve">rdinary </w:t>
      </w:r>
      <w:r w:rsidRPr="00241DBB">
        <w:t>C</w:t>
      </w:r>
      <w:r w:rsidR="00F66619">
        <w:t xml:space="preserve">ouncil </w:t>
      </w:r>
      <w:r w:rsidRPr="00241DBB">
        <w:t>M</w:t>
      </w:r>
      <w:r w:rsidR="00F66619">
        <w:t>eeting</w:t>
      </w:r>
      <w:bookmarkEnd w:id="530"/>
      <w:bookmarkEnd w:id="531"/>
      <w:bookmarkEnd w:id="532"/>
      <w:bookmarkEnd w:id="533"/>
      <w:bookmarkEnd w:id="534"/>
      <w:bookmarkEnd w:id="535"/>
      <w:bookmarkEnd w:id="536"/>
      <w:bookmarkEnd w:id="537"/>
      <w:bookmarkEnd w:id="538"/>
      <w:bookmarkEnd w:id="539"/>
    </w:p>
    <w:p w14:paraId="7B64C7DA" w14:textId="63DBD3B6" w:rsidR="00241DBB" w:rsidRDefault="00241DBB" w:rsidP="00AC131F">
      <w:pPr>
        <w:pStyle w:val="BodyText-nospacebelow"/>
        <w:jc w:val="both"/>
      </w:pPr>
      <w:r w:rsidRPr="00241DBB">
        <w:t>This propos</w:t>
      </w:r>
      <w:r w:rsidR="007045CF">
        <w:t>al is</w:t>
      </w:r>
      <w:r w:rsidRPr="00241DBB">
        <w:t xml:space="preserve"> that the </w:t>
      </w:r>
      <w:r w:rsidR="007045CF">
        <w:t>c</w:t>
      </w:r>
      <w:r w:rsidRPr="00241DBB">
        <w:t xml:space="preserve">ouncil is required to table any decision reports which result from a minor breach finding </w:t>
      </w:r>
      <w:r w:rsidR="007045CF">
        <w:t xml:space="preserve">against one of their </w:t>
      </w:r>
      <w:r w:rsidR="00246B9A">
        <w:t>elected member</w:t>
      </w:r>
      <w:r w:rsidR="007045CF">
        <w:t xml:space="preserve">s </w:t>
      </w:r>
      <w:r w:rsidRPr="00241DBB">
        <w:t>at the next Ordinary Council Meeting that is open to the public.</w:t>
      </w:r>
    </w:p>
    <w:p w14:paraId="6453ED68" w14:textId="77777777" w:rsidR="00785B15" w:rsidRPr="00241DBB" w:rsidRDefault="00785B15" w:rsidP="00AC131F">
      <w:pPr>
        <w:pStyle w:val="BodyText-nospacebelow"/>
        <w:jc w:val="both"/>
      </w:pPr>
    </w:p>
    <w:p w14:paraId="02C78853" w14:textId="3E086549" w:rsidR="00241DBB" w:rsidRDefault="007045CF" w:rsidP="00AC131F">
      <w:pPr>
        <w:pStyle w:val="BodyText-nospacebelow"/>
        <w:jc w:val="both"/>
      </w:pPr>
      <w:r>
        <w:t>Currently w</w:t>
      </w:r>
      <w:r w:rsidR="00A06EE8">
        <w:t xml:space="preserve">here there is a </w:t>
      </w:r>
      <w:r>
        <w:t xml:space="preserve">breach </w:t>
      </w:r>
      <w:r w:rsidR="00A06EE8">
        <w:t xml:space="preserve">finding </w:t>
      </w:r>
      <w:r>
        <w:t>t</w:t>
      </w:r>
      <w:r w:rsidR="00241DBB" w:rsidRPr="00241DBB">
        <w:t xml:space="preserve">he report is </w:t>
      </w:r>
      <w:r w:rsidR="00A06EE8">
        <w:t>published</w:t>
      </w:r>
      <w:r w:rsidR="00241DBB" w:rsidRPr="00241DBB">
        <w:t xml:space="preserve"> on the </w:t>
      </w:r>
      <w:r w:rsidR="007817C6">
        <w:t>Department</w:t>
      </w:r>
      <w:r w:rsidR="00785B15" w:rsidRPr="00241DBB">
        <w:t>’s</w:t>
      </w:r>
      <w:r w:rsidR="00241DBB" w:rsidRPr="00241DBB">
        <w:t xml:space="preserve"> website</w:t>
      </w:r>
      <w:r>
        <w:t>.</w:t>
      </w:r>
      <w:r w:rsidR="00241DBB" w:rsidRPr="00241DBB">
        <w:t xml:space="preserve"> </w:t>
      </w:r>
      <w:r>
        <w:t xml:space="preserve"> T</w:t>
      </w:r>
      <w:r w:rsidR="00241DBB" w:rsidRPr="00241DBB">
        <w:t xml:space="preserve">his </w:t>
      </w:r>
      <w:r>
        <w:t xml:space="preserve">proposal </w:t>
      </w:r>
      <w:r w:rsidR="00004E5D">
        <w:t>is more likely to</w:t>
      </w:r>
      <w:r>
        <w:t xml:space="preserve"> </w:t>
      </w:r>
      <w:r w:rsidR="00241DBB" w:rsidRPr="00241DBB">
        <w:t xml:space="preserve">ensure that all </w:t>
      </w:r>
      <w:r w:rsidR="00246B9A">
        <w:t>elected member</w:t>
      </w:r>
      <w:r w:rsidR="00241DBB" w:rsidRPr="00241DBB">
        <w:t xml:space="preserve">s and the </w:t>
      </w:r>
      <w:r w:rsidR="00F66619">
        <w:t>local community</w:t>
      </w:r>
      <w:r w:rsidR="00F66619" w:rsidRPr="00241DBB">
        <w:t xml:space="preserve"> </w:t>
      </w:r>
      <w:r w:rsidR="00241DBB" w:rsidRPr="00241DBB">
        <w:t xml:space="preserve">are </w:t>
      </w:r>
      <w:r w:rsidR="00BF3D98">
        <w:t xml:space="preserve">made </w:t>
      </w:r>
      <w:r w:rsidR="00241DBB" w:rsidRPr="00241DBB">
        <w:t xml:space="preserve">aware of the minor breach finding. </w:t>
      </w:r>
    </w:p>
    <w:p w14:paraId="3BC58DF4" w14:textId="77777777" w:rsidR="00430F7B" w:rsidRDefault="00430F7B" w:rsidP="00AC131F">
      <w:pPr>
        <w:pStyle w:val="BodyText-nospacebelow"/>
        <w:jc w:val="both"/>
      </w:pPr>
    </w:p>
    <w:p w14:paraId="24E38D28" w14:textId="77777777" w:rsidR="00430F7B" w:rsidRDefault="00430F7B" w:rsidP="00AC131F">
      <w:pPr>
        <w:pStyle w:val="BodyText-nospacebelow"/>
        <w:jc w:val="both"/>
      </w:pPr>
      <w:r>
        <w:t>This is a requirement under the Tasmanian framework</w:t>
      </w:r>
      <w:r w:rsidR="005E5598">
        <w:t>.</w:t>
      </w:r>
      <w:r>
        <w:t xml:space="preserve"> </w:t>
      </w:r>
      <w:r w:rsidR="00256D5C">
        <w:t xml:space="preserve"> It</w:t>
      </w:r>
      <w:r>
        <w:t xml:space="preserve"> is expected to increase transparency while acting as a deterrent. </w:t>
      </w:r>
    </w:p>
    <w:p w14:paraId="48AAF4E6" w14:textId="77777777" w:rsidR="00256D5C" w:rsidRDefault="00256D5C" w:rsidP="00256D5C">
      <w:pPr>
        <w:pStyle w:val="IntenseQuote"/>
        <w:rPr>
          <w:b/>
          <w:sz w:val="28"/>
        </w:rPr>
      </w:pPr>
      <w:r>
        <w:rPr>
          <w:b/>
          <w:sz w:val="28"/>
        </w:rPr>
        <w:t>Tabling decision report</w:t>
      </w:r>
      <w:r w:rsidR="00F95003">
        <w:rPr>
          <w:b/>
          <w:sz w:val="28"/>
        </w:rPr>
        <w:t xml:space="preserve"> at Ordinary Council Meeting</w:t>
      </w:r>
      <w:r>
        <w:rPr>
          <w:b/>
          <w:sz w:val="28"/>
        </w:rPr>
        <w:t>: Guidance question</w:t>
      </w:r>
    </w:p>
    <w:p w14:paraId="6181EC53" w14:textId="77777777" w:rsidR="00241DBB" w:rsidRDefault="00256D5C" w:rsidP="00DB759E">
      <w:pPr>
        <w:pStyle w:val="BodyText2-nospacebelow"/>
        <w:numPr>
          <w:ilvl w:val="0"/>
          <w:numId w:val="19"/>
        </w:numPr>
        <w:spacing w:after="120"/>
      </w:pPr>
      <w:r w:rsidRPr="00241DBB">
        <w:t xml:space="preserve"> </w:t>
      </w:r>
      <w:r w:rsidR="00241DBB" w:rsidRPr="00241DBB">
        <w:t xml:space="preserve">Do you support this option? </w:t>
      </w:r>
      <w:r w:rsidR="00241DBB" w:rsidRPr="00256D5C">
        <w:t>W</w:t>
      </w:r>
      <w:r w:rsidR="00241DBB" w:rsidRPr="00241DBB">
        <w:t>hy or why not?</w:t>
      </w:r>
    </w:p>
    <w:p w14:paraId="50542503" w14:textId="77777777" w:rsidR="009C0D9A" w:rsidRPr="00241DBB" w:rsidRDefault="009C0D9A" w:rsidP="009C0D9A">
      <w:pPr>
        <w:pStyle w:val="BodyText2-nospacebelow"/>
      </w:pPr>
    </w:p>
    <w:p w14:paraId="471CBD67" w14:textId="2B8CDC39" w:rsidR="004F6364" w:rsidRDefault="00246B9A" w:rsidP="00163351">
      <w:pPr>
        <w:pStyle w:val="Heading2"/>
        <w:numPr>
          <w:ilvl w:val="1"/>
          <w:numId w:val="30"/>
        </w:numPr>
      </w:pPr>
      <w:bookmarkStart w:id="540" w:name="_Toc493746730"/>
      <w:bookmarkStart w:id="541" w:name="_Toc493768862"/>
      <w:bookmarkStart w:id="542" w:name="_Toc493859932"/>
      <w:bookmarkStart w:id="543" w:name="_Toc495491833"/>
      <w:bookmarkStart w:id="544" w:name="_Toc495497613"/>
      <w:bookmarkStart w:id="545" w:name="_Toc495671459"/>
      <w:bookmarkStart w:id="546" w:name="_Toc495676060"/>
      <w:bookmarkStart w:id="547" w:name="_Toc495678355"/>
      <w:bookmarkStart w:id="548" w:name="_Toc495998353"/>
      <w:bookmarkStart w:id="549" w:name="_Toc497741823"/>
      <w:bookmarkStart w:id="550" w:name="_Toc491097301"/>
      <w:bookmarkStart w:id="551" w:name="_Toc491097691"/>
      <w:bookmarkStart w:id="552" w:name="_Toc491857148"/>
      <w:bookmarkStart w:id="553" w:name="_Toc491872769"/>
      <w:bookmarkStart w:id="554" w:name="_Toc491873704"/>
      <w:bookmarkStart w:id="555" w:name="_Toc491934332"/>
      <w:bookmarkStart w:id="556" w:name="_Toc492368961"/>
      <w:bookmarkStart w:id="557" w:name="_Toc492386688"/>
      <w:bookmarkStart w:id="558" w:name="_Toc492468930"/>
      <w:bookmarkStart w:id="559" w:name="_Toc492470606"/>
      <w:bookmarkStart w:id="560" w:name="_Toc492471286"/>
      <w:bookmarkStart w:id="561" w:name="_Toc492471408"/>
      <w:r>
        <w:lastRenderedPageBreak/>
        <w:t>Elected member</w:t>
      </w:r>
      <w:r w:rsidR="004F6364">
        <w:t xml:space="preserve"> interests</w:t>
      </w:r>
      <w:bookmarkEnd w:id="540"/>
      <w:bookmarkEnd w:id="541"/>
      <w:bookmarkEnd w:id="542"/>
      <w:bookmarkEnd w:id="543"/>
      <w:bookmarkEnd w:id="544"/>
      <w:bookmarkEnd w:id="545"/>
      <w:bookmarkEnd w:id="546"/>
      <w:bookmarkEnd w:id="547"/>
      <w:bookmarkEnd w:id="548"/>
      <w:bookmarkEnd w:id="549"/>
    </w:p>
    <w:p w14:paraId="349B060A" w14:textId="1622EA4C" w:rsidR="00680D7A" w:rsidRDefault="00CB5574" w:rsidP="00AC131F">
      <w:pPr>
        <w:jc w:val="both"/>
        <w:rPr>
          <w:lang w:eastAsia="en-AU"/>
        </w:rPr>
      </w:pPr>
      <w:r>
        <w:rPr>
          <w:lang w:eastAsia="en-AU"/>
        </w:rPr>
        <w:t xml:space="preserve">The Act </w:t>
      </w:r>
      <w:r w:rsidR="00880BF7">
        <w:rPr>
          <w:lang w:eastAsia="en-AU"/>
        </w:rPr>
        <w:t>requires</w:t>
      </w:r>
      <w:r>
        <w:rPr>
          <w:lang w:eastAsia="en-AU"/>
        </w:rPr>
        <w:t xml:space="preserve"> </w:t>
      </w:r>
      <w:r w:rsidR="00246B9A">
        <w:rPr>
          <w:lang w:eastAsia="en-AU"/>
        </w:rPr>
        <w:t>elected member</w:t>
      </w:r>
      <w:r>
        <w:rPr>
          <w:lang w:eastAsia="en-AU"/>
        </w:rPr>
        <w:t>s</w:t>
      </w:r>
      <w:r w:rsidR="008B7357">
        <w:rPr>
          <w:lang w:eastAsia="en-AU"/>
        </w:rPr>
        <w:t xml:space="preserve"> to </w:t>
      </w:r>
      <w:r w:rsidR="00DC39DF">
        <w:rPr>
          <w:lang w:eastAsia="en-AU"/>
        </w:rPr>
        <w:t>disclose</w:t>
      </w:r>
      <w:r w:rsidR="00680D7A">
        <w:rPr>
          <w:lang w:eastAsia="en-AU"/>
        </w:rPr>
        <w:t xml:space="preserve"> a</w:t>
      </w:r>
      <w:r w:rsidR="008B7357">
        <w:rPr>
          <w:lang w:eastAsia="en-AU"/>
        </w:rPr>
        <w:t>ny</w:t>
      </w:r>
      <w:r w:rsidR="00680D7A">
        <w:rPr>
          <w:lang w:eastAsia="en-AU"/>
        </w:rPr>
        <w:t xml:space="preserve"> financial interest </w:t>
      </w:r>
      <w:r w:rsidR="008B7357">
        <w:rPr>
          <w:lang w:eastAsia="en-AU"/>
        </w:rPr>
        <w:t xml:space="preserve">they have.  They </w:t>
      </w:r>
      <w:r w:rsidR="00680D7A">
        <w:rPr>
          <w:lang w:eastAsia="en-AU"/>
        </w:rPr>
        <w:t>are not allowed to participate in decision making related to that interest</w:t>
      </w:r>
      <w:r>
        <w:rPr>
          <w:rStyle w:val="FootnoteReference"/>
          <w:lang w:eastAsia="en-AU"/>
        </w:rPr>
        <w:footnoteReference w:id="12"/>
      </w:r>
      <w:r w:rsidR="00680D7A">
        <w:rPr>
          <w:lang w:eastAsia="en-AU"/>
        </w:rPr>
        <w:t>.</w:t>
      </w:r>
    </w:p>
    <w:p w14:paraId="3A437D82" w14:textId="77777777" w:rsidR="008B7357" w:rsidRDefault="00B810EB" w:rsidP="00AC131F">
      <w:pPr>
        <w:jc w:val="both"/>
        <w:rPr>
          <w:lang w:eastAsia="en-AU"/>
        </w:rPr>
      </w:pPr>
      <w:r>
        <w:rPr>
          <w:lang w:eastAsia="en-AU"/>
        </w:rPr>
        <w:t>Section 5.63(f) provides an exemption for members of not-for-profit organisations. Specifically, it states that</w:t>
      </w:r>
      <w:r w:rsidR="00C9204B">
        <w:rPr>
          <w:lang w:eastAsia="en-AU"/>
        </w:rPr>
        <w:t xml:space="preserve"> if a member is, or intends to become, a member of a no</w:t>
      </w:r>
      <w:r>
        <w:rPr>
          <w:lang w:eastAsia="en-AU"/>
        </w:rPr>
        <w:t>t</w:t>
      </w:r>
      <w:r>
        <w:rPr>
          <w:lang w:eastAsia="en-AU"/>
        </w:rPr>
        <w:noBreakHyphen/>
      </w:r>
      <w:r w:rsidR="00C9204B">
        <w:rPr>
          <w:lang w:eastAsia="en-AU"/>
        </w:rPr>
        <w:t>for-profit organisation, the member does not need t</w:t>
      </w:r>
      <w:r w:rsidR="008B7357">
        <w:rPr>
          <w:lang w:eastAsia="en-AU"/>
        </w:rPr>
        <w:t>o disclose a financial interest.</w:t>
      </w:r>
      <w:r w:rsidR="00C9204B">
        <w:rPr>
          <w:lang w:eastAsia="en-AU"/>
        </w:rPr>
        <w:t xml:space="preserve"> </w:t>
      </w:r>
    </w:p>
    <w:p w14:paraId="4A32AFD4" w14:textId="77777777" w:rsidR="00C9204B" w:rsidRDefault="008B7357" w:rsidP="00AC131F">
      <w:pPr>
        <w:jc w:val="both"/>
        <w:rPr>
          <w:lang w:eastAsia="en-AU"/>
        </w:rPr>
      </w:pPr>
      <w:r>
        <w:rPr>
          <w:lang w:eastAsia="en-AU"/>
        </w:rPr>
        <w:t xml:space="preserve">They </w:t>
      </w:r>
      <w:r w:rsidR="00C9204B">
        <w:rPr>
          <w:lang w:eastAsia="en-AU"/>
        </w:rPr>
        <w:t>are</w:t>
      </w:r>
      <w:r>
        <w:rPr>
          <w:lang w:eastAsia="en-AU"/>
        </w:rPr>
        <w:t xml:space="preserve">, however, </w:t>
      </w:r>
      <w:r w:rsidR="00C9204B">
        <w:rPr>
          <w:lang w:eastAsia="en-AU"/>
        </w:rPr>
        <w:t xml:space="preserve">required to disclose </w:t>
      </w:r>
      <w:r w:rsidR="00680D7A">
        <w:rPr>
          <w:lang w:eastAsia="en-AU"/>
        </w:rPr>
        <w:t xml:space="preserve">what is known as </w:t>
      </w:r>
      <w:r w:rsidR="00C9204B">
        <w:rPr>
          <w:lang w:eastAsia="en-AU"/>
        </w:rPr>
        <w:t xml:space="preserve">an </w:t>
      </w:r>
      <w:r w:rsidR="00680D7A">
        <w:rPr>
          <w:lang w:eastAsia="en-AU"/>
        </w:rPr>
        <w:t>‘</w:t>
      </w:r>
      <w:r w:rsidR="00C9204B">
        <w:rPr>
          <w:lang w:eastAsia="en-AU"/>
        </w:rPr>
        <w:t>impartiality interest</w:t>
      </w:r>
      <w:r w:rsidR="00680D7A">
        <w:rPr>
          <w:lang w:eastAsia="en-AU"/>
        </w:rPr>
        <w:t>’</w:t>
      </w:r>
      <w:r w:rsidR="00C9204B">
        <w:rPr>
          <w:lang w:eastAsia="en-AU"/>
        </w:rPr>
        <w:t xml:space="preserve"> under the Rules of Conduct Regulations. </w:t>
      </w:r>
      <w:r>
        <w:rPr>
          <w:lang w:eastAsia="en-AU"/>
        </w:rPr>
        <w:t xml:space="preserve"> This</w:t>
      </w:r>
      <w:r w:rsidR="00C9204B">
        <w:rPr>
          <w:lang w:eastAsia="en-AU"/>
        </w:rPr>
        <w:t xml:space="preserve"> </w:t>
      </w:r>
      <w:r>
        <w:rPr>
          <w:lang w:eastAsia="en-AU"/>
        </w:rPr>
        <w:t>must be</w:t>
      </w:r>
      <w:r w:rsidR="00C9204B">
        <w:rPr>
          <w:lang w:eastAsia="en-AU"/>
        </w:rPr>
        <w:t xml:space="preserve"> recorded in the minut</w:t>
      </w:r>
      <w:r>
        <w:rPr>
          <w:lang w:eastAsia="en-AU"/>
        </w:rPr>
        <w:t>es of the relevant meeting but</w:t>
      </w:r>
      <w:r w:rsidR="00C9204B">
        <w:rPr>
          <w:lang w:eastAsia="en-AU"/>
        </w:rPr>
        <w:t xml:space="preserve"> does not limit the member from participating in the decision making.</w:t>
      </w:r>
    </w:p>
    <w:p w14:paraId="15903C6C" w14:textId="77777777" w:rsidR="00606BD7" w:rsidRDefault="00606BD7" w:rsidP="00AC131F">
      <w:pPr>
        <w:jc w:val="both"/>
        <w:rPr>
          <w:lang w:eastAsia="en-AU"/>
        </w:rPr>
      </w:pPr>
      <w:r>
        <w:rPr>
          <w:lang w:eastAsia="en-AU"/>
        </w:rPr>
        <w:t>This option proposes that the</w:t>
      </w:r>
      <w:r w:rsidR="00C9204B">
        <w:rPr>
          <w:lang w:eastAsia="en-AU"/>
        </w:rPr>
        <w:t xml:space="preserve"> Act </w:t>
      </w:r>
      <w:r>
        <w:rPr>
          <w:lang w:eastAsia="en-AU"/>
        </w:rPr>
        <w:t xml:space="preserve">is </w:t>
      </w:r>
      <w:r w:rsidR="00C9204B">
        <w:rPr>
          <w:lang w:eastAsia="en-AU"/>
        </w:rPr>
        <w:t>amended</w:t>
      </w:r>
      <w:r w:rsidR="00CB5574">
        <w:rPr>
          <w:lang w:eastAsia="en-AU"/>
        </w:rPr>
        <w:t xml:space="preserve"> to</w:t>
      </w:r>
      <w:r w:rsidR="00C9204B">
        <w:rPr>
          <w:lang w:eastAsia="en-AU"/>
        </w:rPr>
        <w:t xml:space="preserve"> </w:t>
      </w:r>
      <w:r w:rsidR="00B810EB">
        <w:rPr>
          <w:lang w:eastAsia="en-AU"/>
        </w:rPr>
        <w:t>remove the exemption</w:t>
      </w:r>
      <w:r w:rsidR="008B7357">
        <w:rPr>
          <w:lang w:eastAsia="en-AU"/>
        </w:rPr>
        <w:t>.  This would mean</w:t>
      </w:r>
      <w:r w:rsidR="00C9204B">
        <w:rPr>
          <w:lang w:eastAsia="en-AU"/>
        </w:rPr>
        <w:t xml:space="preserve"> </w:t>
      </w:r>
      <w:r w:rsidR="008B7357">
        <w:rPr>
          <w:lang w:eastAsia="en-AU"/>
        </w:rPr>
        <w:t>that</w:t>
      </w:r>
      <w:r w:rsidR="00B810EB">
        <w:rPr>
          <w:lang w:eastAsia="en-AU"/>
        </w:rPr>
        <w:t xml:space="preserve"> </w:t>
      </w:r>
      <w:r w:rsidR="00CB5574">
        <w:rPr>
          <w:lang w:eastAsia="en-AU"/>
        </w:rPr>
        <w:t xml:space="preserve">members of </w:t>
      </w:r>
      <w:r w:rsidR="00AD4DFE">
        <w:rPr>
          <w:lang w:eastAsia="en-AU"/>
        </w:rPr>
        <w:t xml:space="preserve">not-for-profit organisations would no longer be able </w:t>
      </w:r>
      <w:r>
        <w:rPr>
          <w:lang w:eastAsia="en-AU"/>
        </w:rPr>
        <w:t xml:space="preserve">to participate in discussion or decision making </w:t>
      </w:r>
      <w:r w:rsidR="00AD4DFE">
        <w:rPr>
          <w:lang w:eastAsia="en-AU"/>
        </w:rPr>
        <w:t>on</w:t>
      </w:r>
      <w:r>
        <w:rPr>
          <w:lang w:eastAsia="en-AU"/>
        </w:rPr>
        <w:t xml:space="preserve"> matter</w:t>
      </w:r>
      <w:r w:rsidR="00AD4DFE">
        <w:rPr>
          <w:lang w:eastAsia="en-AU"/>
        </w:rPr>
        <w:t>s</w:t>
      </w:r>
      <w:r>
        <w:rPr>
          <w:lang w:eastAsia="en-AU"/>
        </w:rPr>
        <w:t xml:space="preserve"> relevant to th</w:t>
      </w:r>
      <w:r w:rsidR="00AD4DFE">
        <w:rPr>
          <w:lang w:eastAsia="en-AU"/>
        </w:rPr>
        <w:t>at</w:t>
      </w:r>
      <w:r>
        <w:rPr>
          <w:lang w:eastAsia="en-AU"/>
        </w:rPr>
        <w:t xml:space="preserve"> organisation.</w:t>
      </w:r>
    </w:p>
    <w:p w14:paraId="596ABDFF" w14:textId="337CF9FA" w:rsidR="00606BD7" w:rsidRDefault="00CB5574" w:rsidP="00AC131F">
      <w:pPr>
        <w:jc w:val="both"/>
        <w:rPr>
          <w:lang w:eastAsia="en-AU"/>
        </w:rPr>
      </w:pPr>
      <w:r>
        <w:rPr>
          <w:lang w:eastAsia="en-AU"/>
        </w:rPr>
        <w:t>While t</w:t>
      </w:r>
      <w:r w:rsidR="00606BD7">
        <w:rPr>
          <w:lang w:eastAsia="en-AU"/>
        </w:rPr>
        <w:t xml:space="preserve">his </w:t>
      </w:r>
      <w:r>
        <w:rPr>
          <w:lang w:eastAsia="en-AU"/>
        </w:rPr>
        <w:t>would limit</w:t>
      </w:r>
      <w:r w:rsidR="00606BD7">
        <w:rPr>
          <w:lang w:eastAsia="en-AU"/>
        </w:rPr>
        <w:t xml:space="preserve"> </w:t>
      </w:r>
      <w:r w:rsidR="00246B9A">
        <w:rPr>
          <w:lang w:eastAsia="en-AU"/>
        </w:rPr>
        <w:t>elected member</w:t>
      </w:r>
      <w:r w:rsidR="00606BD7">
        <w:rPr>
          <w:lang w:eastAsia="en-AU"/>
        </w:rPr>
        <w:t>s</w:t>
      </w:r>
      <w:r w:rsidR="00EE7D3A">
        <w:rPr>
          <w:lang w:eastAsia="en-AU"/>
        </w:rPr>
        <w:t>’</w:t>
      </w:r>
      <w:r w:rsidR="00606BD7">
        <w:rPr>
          <w:lang w:eastAsia="en-AU"/>
        </w:rPr>
        <w:t xml:space="preserve"> </w:t>
      </w:r>
      <w:r w:rsidR="00EE7D3A">
        <w:rPr>
          <w:lang w:eastAsia="en-AU"/>
        </w:rPr>
        <w:t>ability to use</w:t>
      </w:r>
      <w:r w:rsidR="00606BD7">
        <w:rPr>
          <w:lang w:eastAsia="en-AU"/>
        </w:rPr>
        <w:t xml:space="preserve"> their role to </w:t>
      </w:r>
      <w:r w:rsidR="00EE7D3A">
        <w:rPr>
          <w:lang w:eastAsia="en-AU"/>
        </w:rPr>
        <w:t xml:space="preserve">potentially </w:t>
      </w:r>
      <w:r w:rsidR="00606BD7">
        <w:rPr>
          <w:lang w:eastAsia="en-AU"/>
        </w:rPr>
        <w:t xml:space="preserve">benefit their organisation, it </w:t>
      </w:r>
      <w:r w:rsidR="00EE7D3A">
        <w:rPr>
          <w:lang w:eastAsia="en-AU"/>
        </w:rPr>
        <w:t>c</w:t>
      </w:r>
      <w:r>
        <w:rPr>
          <w:lang w:eastAsia="en-AU"/>
        </w:rPr>
        <w:t xml:space="preserve">ould </w:t>
      </w:r>
      <w:r w:rsidR="00606BD7">
        <w:rPr>
          <w:lang w:eastAsia="en-AU"/>
        </w:rPr>
        <w:t xml:space="preserve">also interfere with the decision making of councils. </w:t>
      </w:r>
      <w:r w:rsidR="00246B9A">
        <w:rPr>
          <w:lang w:eastAsia="en-AU"/>
        </w:rPr>
        <w:t>Elected member</w:t>
      </w:r>
      <w:r w:rsidR="00EE7D3A">
        <w:rPr>
          <w:lang w:eastAsia="en-AU"/>
        </w:rPr>
        <w:t>s</w:t>
      </w:r>
      <w:r>
        <w:rPr>
          <w:lang w:eastAsia="en-AU"/>
        </w:rPr>
        <w:t xml:space="preserve"> are often very involved with their communities and are</w:t>
      </w:r>
      <w:r w:rsidR="00606BD7">
        <w:rPr>
          <w:lang w:eastAsia="en-AU"/>
        </w:rPr>
        <w:t xml:space="preserve"> members of various community groups.</w:t>
      </w:r>
      <w:r w:rsidR="00EE7D3A">
        <w:rPr>
          <w:lang w:eastAsia="en-AU"/>
        </w:rPr>
        <w:t xml:space="preserve"> </w:t>
      </w:r>
      <w:r w:rsidR="00606BD7">
        <w:rPr>
          <w:lang w:eastAsia="en-AU"/>
        </w:rPr>
        <w:t xml:space="preserve"> </w:t>
      </w:r>
      <w:r w:rsidR="00EE7D3A">
        <w:rPr>
          <w:lang w:eastAsia="en-AU"/>
        </w:rPr>
        <w:t xml:space="preserve">It is possible that a majority of </w:t>
      </w:r>
      <w:r w:rsidR="00246B9A">
        <w:rPr>
          <w:lang w:eastAsia="en-AU"/>
        </w:rPr>
        <w:t>elected member</w:t>
      </w:r>
      <w:r w:rsidR="00EE7D3A">
        <w:rPr>
          <w:lang w:eastAsia="en-AU"/>
        </w:rPr>
        <w:t xml:space="preserve">s </w:t>
      </w:r>
      <w:r w:rsidR="001C7595">
        <w:rPr>
          <w:lang w:eastAsia="en-AU"/>
        </w:rPr>
        <w:t>could</w:t>
      </w:r>
      <w:r w:rsidR="00EE7D3A">
        <w:rPr>
          <w:lang w:eastAsia="en-AU"/>
        </w:rPr>
        <w:t xml:space="preserve"> be members of the same not-for-profit organisation. </w:t>
      </w:r>
      <w:r w:rsidR="00606BD7">
        <w:rPr>
          <w:lang w:eastAsia="en-AU"/>
        </w:rPr>
        <w:t xml:space="preserve">If they are prohibited from participating in decisions that relate to those groups, it </w:t>
      </w:r>
      <w:r w:rsidR="001C7595">
        <w:rPr>
          <w:lang w:eastAsia="en-AU"/>
        </w:rPr>
        <w:t>could</w:t>
      </w:r>
      <w:r w:rsidR="00606BD7">
        <w:rPr>
          <w:lang w:eastAsia="en-AU"/>
        </w:rPr>
        <w:t xml:space="preserve"> </w:t>
      </w:r>
      <w:r w:rsidR="00E24AB5">
        <w:rPr>
          <w:lang w:eastAsia="en-AU"/>
        </w:rPr>
        <w:t>affect</w:t>
      </w:r>
      <w:r w:rsidR="00606BD7">
        <w:rPr>
          <w:lang w:eastAsia="en-AU"/>
        </w:rPr>
        <w:t xml:space="preserve"> the ability </w:t>
      </w:r>
      <w:r w:rsidR="00F95003">
        <w:rPr>
          <w:lang w:eastAsia="en-AU"/>
        </w:rPr>
        <w:t xml:space="preserve">of </w:t>
      </w:r>
      <w:r w:rsidR="00606BD7">
        <w:rPr>
          <w:lang w:eastAsia="en-AU"/>
        </w:rPr>
        <w:t>council to make a decision</w:t>
      </w:r>
      <w:r w:rsidR="00EE7D3A">
        <w:rPr>
          <w:lang w:eastAsia="en-AU"/>
        </w:rPr>
        <w:t xml:space="preserve"> if there is no longer a quorum</w:t>
      </w:r>
      <w:r w:rsidR="00606BD7">
        <w:rPr>
          <w:lang w:eastAsia="en-AU"/>
        </w:rPr>
        <w:t xml:space="preserve">. </w:t>
      </w:r>
      <w:r w:rsidR="001C7595">
        <w:rPr>
          <w:lang w:eastAsia="en-AU"/>
        </w:rPr>
        <w:t xml:space="preserve"> The Act, however, contains two provisions to mitigate that risk.</w:t>
      </w:r>
    </w:p>
    <w:p w14:paraId="6F07B367" w14:textId="3CEA2878" w:rsidR="00EE7D3A" w:rsidRDefault="001C7595" w:rsidP="00AC131F">
      <w:pPr>
        <w:jc w:val="both"/>
        <w:rPr>
          <w:lang w:eastAsia="en-AU"/>
        </w:rPr>
      </w:pPr>
      <w:r>
        <w:rPr>
          <w:lang w:eastAsia="en-AU"/>
        </w:rPr>
        <w:t>W</w:t>
      </w:r>
      <w:r w:rsidR="00EE7D3A">
        <w:rPr>
          <w:lang w:eastAsia="en-AU"/>
        </w:rPr>
        <w:t>here a member has disclos</w:t>
      </w:r>
      <w:r>
        <w:rPr>
          <w:lang w:eastAsia="en-AU"/>
        </w:rPr>
        <w:t>ed</w:t>
      </w:r>
      <w:r w:rsidR="00EE7D3A">
        <w:rPr>
          <w:lang w:eastAsia="en-AU"/>
        </w:rPr>
        <w:t xml:space="preserve"> an interest</w:t>
      </w:r>
      <w:r w:rsidR="00F95003">
        <w:rPr>
          <w:lang w:eastAsia="en-AU"/>
        </w:rPr>
        <w:t>,</w:t>
      </w:r>
      <w:r w:rsidR="00EE7D3A">
        <w:rPr>
          <w:lang w:eastAsia="en-AU"/>
        </w:rPr>
        <w:t xml:space="preserve"> the </w:t>
      </w:r>
      <w:r>
        <w:rPr>
          <w:lang w:eastAsia="en-AU"/>
        </w:rPr>
        <w:t xml:space="preserve">other </w:t>
      </w:r>
      <w:r w:rsidR="00246B9A">
        <w:rPr>
          <w:lang w:eastAsia="en-AU"/>
        </w:rPr>
        <w:t>elected member</w:t>
      </w:r>
      <w:r w:rsidR="00EE7D3A">
        <w:rPr>
          <w:lang w:eastAsia="en-AU"/>
        </w:rPr>
        <w:t xml:space="preserve">s at the meeting </w:t>
      </w:r>
      <w:r>
        <w:rPr>
          <w:lang w:eastAsia="en-AU"/>
        </w:rPr>
        <w:t>can decide that the interest is so trivial or insignificant to be unlikely to influence the member’s conduct or that the interest is common to a significant number of electors or ratepayers</w:t>
      </w:r>
      <w:r w:rsidR="00FD72B3">
        <w:rPr>
          <w:lang w:eastAsia="en-AU"/>
        </w:rPr>
        <w:t>.</w:t>
      </w:r>
      <w:r w:rsidR="00EE7D3A">
        <w:rPr>
          <w:rStyle w:val="FootnoteReference"/>
          <w:lang w:eastAsia="en-AU"/>
        </w:rPr>
        <w:footnoteReference w:id="13"/>
      </w:r>
      <w:r w:rsidR="00EE7D3A">
        <w:rPr>
          <w:lang w:eastAsia="en-AU"/>
        </w:rPr>
        <w:t xml:space="preserve"> </w:t>
      </w:r>
      <w:r>
        <w:rPr>
          <w:lang w:eastAsia="en-AU"/>
        </w:rPr>
        <w:t xml:space="preserve"> In these circumstances the other </w:t>
      </w:r>
      <w:r w:rsidR="00246B9A">
        <w:rPr>
          <w:lang w:eastAsia="en-AU"/>
        </w:rPr>
        <w:t>elected member</w:t>
      </w:r>
      <w:r>
        <w:rPr>
          <w:lang w:eastAsia="en-AU"/>
        </w:rPr>
        <w:t>s can allow that member to participate in the discussions and vote on the matter.  This must be recorded in the minutes.</w:t>
      </w:r>
    </w:p>
    <w:p w14:paraId="157A7978" w14:textId="77777777" w:rsidR="001C7595" w:rsidRDefault="001C7595" w:rsidP="00AC131F">
      <w:pPr>
        <w:jc w:val="both"/>
        <w:rPr>
          <w:lang w:eastAsia="en-AU"/>
        </w:rPr>
      </w:pPr>
      <w:r>
        <w:rPr>
          <w:lang w:eastAsia="en-AU"/>
        </w:rPr>
        <w:t xml:space="preserve">An application can also be made to the Minister </w:t>
      </w:r>
      <w:r w:rsidR="00FD72B3">
        <w:rPr>
          <w:lang w:eastAsia="en-AU"/>
        </w:rPr>
        <w:t xml:space="preserve">by the council or CEO </w:t>
      </w:r>
      <w:r>
        <w:rPr>
          <w:lang w:eastAsia="en-AU"/>
        </w:rPr>
        <w:t>when an interest has been disclosed.</w:t>
      </w:r>
      <w:r w:rsidR="00FD72B3">
        <w:rPr>
          <w:rStyle w:val="FootnoteReference"/>
          <w:lang w:eastAsia="en-AU"/>
        </w:rPr>
        <w:footnoteReference w:id="14"/>
      </w:r>
      <w:r>
        <w:rPr>
          <w:lang w:eastAsia="en-AU"/>
        </w:rPr>
        <w:t xml:space="preserve">  The Minister may decide to allow one or more members to participate in the decision making where this is necessary to provide a quorum or where it is in the public interest.  The Minister can impose conditions on such an approval.</w:t>
      </w:r>
    </w:p>
    <w:p w14:paraId="1692BE99" w14:textId="77777777" w:rsidR="00B85E2D" w:rsidRDefault="00606BD7" w:rsidP="00AC131F">
      <w:pPr>
        <w:jc w:val="both"/>
        <w:rPr>
          <w:lang w:eastAsia="en-AU"/>
        </w:rPr>
      </w:pPr>
      <w:r>
        <w:rPr>
          <w:lang w:eastAsia="en-AU"/>
        </w:rPr>
        <w:lastRenderedPageBreak/>
        <w:t xml:space="preserve">It could be argued that declaring an impartiality interest and having it recorded in the minutes is adequate to ensure transparency and accountability. </w:t>
      </w:r>
    </w:p>
    <w:p w14:paraId="16A6AA6F" w14:textId="7E1F6479" w:rsidR="00B80DC0" w:rsidRDefault="00246B9A" w:rsidP="00B80DC0">
      <w:pPr>
        <w:pStyle w:val="IntenseQuote"/>
        <w:rPr>
          <w:b/>
          <w:sz w:val="28"/>
        </w:rPr>
      </w:pPr>
      <w:r>
        <w:rPr>
          <w:b/>
          <w:sz w:val="28"/>
        </w:rPr>
        <w:t>Elected member</w:t>
      </w:r>
      <w:r w:rsidR="00B80DC0">
        <w:rPr>
          <w:b/>
          <w:sz w:val="28"/>
        </w:rPr>
        <w:t xml:space="preserve"> interests: Guidance questions</w:t>
      </w:r>
    </w:p>
    <w:p w14:paraId="12E5164E" w14:textId="0D35BAE9" w:rsidR="00B23F83" w:rsidRDefault="00B85E2D" w:rsidP="00DB759E">
      <w:pPr>
        <w:pStyle w:val="BodyText2-nospacebelow"/>
        <w:numPr>
          <w:ilvl w:val="0"/>
          <w:numId w:val="19"/>
        </w:numPr>
        <w:spacing w:after="120"/>
      </w:pPr>
      <w:r>
        <w:t xml:space="preserve">Should </w:t>
      </w:r>
      <w:r w:rsidR="00F9797C">
        <w:t xml:space="preserve">not-for-profit organisation members </w:t>
      </w:r>
      <w:r>
        <w:t>participate in council decisions affect</w:t>
      </w:r>
      <w:r w:rsidR="00F9797C">
        <w:t>ing</w:t>
      </w:r>
      <w:r>
        <w:t xml:space="preserve"> </w:t>
      </w:r>
      <w:r w:rsidR="001A7B94">
        <w:t>that</w:t>
      </w:r>
      <w:r>
        <w:t xml:space="preserve"> organisation? Why or why not?</w:t>
      </w:r>
    </w:p>
    <w:p w14:paraId="799567BA" w14:textId="2916E69B" w:rsidR="00FD72B3" w:rsidRDefault="00FD72B3" w:rsidP="00DB759E">
      <w:pPr>
        <w:pStyle w:val="BodyText2-nospacebelow"/>
        <w:numPr>
          <w:ilvl w:val="0"/>
          <w:numId w:val="19"/>
        </w:numPr>
        <w:spacing w:after="120"/>
        <w:rPr>
          <w:lang w:eastAsia="en-AU"/>
        </w:rPr>
      </w:pPr>
      <w:r>
        <w:t>Would your</w:t>
      </w:r>
      <w:r>
        <w:rPr>
          <w:lang w:eastAsia="en-AU"/>
        </w:rPr>
        <w:t xml:space="preserve"> response be the same if the </w:t>
      </w:r>
      <w:r w:rsidR="00246B9A">
        <w:rPr>
          <w:lang w:eastAsia="en-AU"/>
        </w:rPr>
        <w:t>elected member</w:t>
      </w:r>
      <w:r>
        <w:rPr>
          <w:lang w:eastAsia="en-AU"/>
        </w:rPr>
        <w:t xml:space="preserve"> was an office holder in the </w:t>
      </w:r>
      <w:r w:rsidR="001A7B94">
        <w:rPr>
          <w:lang w:eastAsia="en-AU"/>
        </w:rPr>
        <w:t>organisation</w:t>
      </w:r>
      <w:r>
        <w:rPr>
          <w:lang w:eastAsia="en-AU"/>
        </w:rPr>
        <w:t>?</w:t>
      </w:r>
    </w:p>
    <w:p w14:paraId="4DA42B93" w14:textId="5FA5464B" w:rsidR="00D7528A" w:rsidRDefault="00D7528A">
      <w:pPr>
        <w:rPr>
          <w:b/>
          <w:bCs/>
          <w:iCs/>
          <w:sz w:val="28"/>
        </w:rPr>
      </w:pPr>
    </w:p>
    <w:p w14:paraId="42287009" w14:textId="49E95A9B" w:rsidR="0007632E" w:rsidRDefault="0007632E" w:rsidP="0007632E">
      <w:pPr>
        <w:pStyle w:val="IntenseQuote"/>
        <w:rPr>
          <w:b/>
          <w:sz w:val="28"/>
        </w:rPr>
      </w:pPr>
      <w:r>
        <w:rPr>
          <w:b/>
          <w:sz w:val="28"/>
        </w:rPr>
        <w:t xml:space="preserve">Improving the behaviour of </w:t>
      </w:r>
      <w:r w:rsidR="00246B9A">
        <w:rPr>
          <w:b/>
          <w:sz w:val="28"/>
        </w:rPr>
        <w:t>elected member</w:t>
      </w:r>
      <w:r>
        <w:rPr>
          <w:b/>
          <w:sz w:val="28"/>
        </w:rPr>
        <w:t>s: Guidance question</w:t>
      </w:r>
    </w:p>
    <w:p w14:paraId="73B95004" w14:textId="245EEE20" w:rsidR="00F840FA" w:rsidRDefault="0007632E" w:rsidP="00DB759E">
      <w:pPr>
        <w:pStyle w:val="BodyText2-nospacebelow"/>
        <w:numPr>
          <w:ilvl w:val="0"/>
          <w:numId w:val="19"/>
        </w:numPr>
        <w:spacing w:after="120"/>
        <w:rPr>
          <w:lang w:eastAsia="en-AU"/>
        </w:rPr>
      </w:pPr>
      <w:r>
        <w:t xml:space="preserve">Do you have any other suggestions or comments on this topic? </w:t>
      </w:r>
      <w:r w:rsidR="00F840FA">
        <w:br w:type="page"/>
      </w:r>
    </w:p>
    <w:bookmarkEnd w:id="550"/>
    <w:bookmarkEnd w:id="551"/>
    <w:bookmarkEnd w:id="552"/>
    <w:bookmarkEnd w:id="553"/>
    <w:bookmarkEnd w:id="554"/>
    <w:bookmarkEnd w:id="555"/>
    <w:bookmarkEnd w:id="556"/>
    <w:bookmarkEnd w:id="557"/>
    <w:bookmarkEnd w:id="558"/>
    <w:bookmarkEnd w:id="559"/>
    <w:bookmarkEnd w:id="560"/>
    <w:bookmarkEnd w:id="561"/>
    <w:p w14:paraId="273F96A0" w14:textId="23E65674" w:rsidR="00600855" w:rsidRDefault="00F0563B" w:rsidP="00124F78">
      <w:pPr>
        <w:pStyle w:val="Heading1"/>
        <w:numPr>
          <w:ilvl w:val="0"/>
          <w:numId w:val="5"/>
        </w:numPr>
        <w:rPr>
          <w:lang w:eastAsia="en-AU"/>
        </w:rPr>
      </w:pPr>
      <w:r>
        <w:rPr>
          <w:lang w:eastAsia="en-AU"/>
        </w:rPr>
        <w:lastRenderedPageBreak/>
        <w:t xml:space="preserve"> </w:t>
      </w:r>
      <w:bookmarkStart w:id="562" w:name="_Toc493746754"/>
      <w:bookmarkStart w:id="563" w:name="_Toc493768886"/>
      <w:bookmarkStart w:id="564" w:name="_Toc493859956"/>
      <w:bookmarkStart w:id="565" w:name="_Toc495491834"/>
      <w:bookmarkStart w:id="566" w:name="_Toc495497614"/>
      <w:bookmarkStart w:id="567" w:name="_Toc495671460"/>
      <w:bookmarkStart w:id="568" w:name="_Toc495676061"/>
      <w:bookmarkStart w:id="569" w:name="_Toc495678356"/>
      <w:bookmarkStart w:id="570" w:name="_Toc495998354"/>
      <w:bookmarkStart w:id="571" w:name="_Toc497741824"/>
      <w:r w:rsidR="00E9673B">
        <w:rPr>
          <w:lang w:eastAsia="en-AU"/>
        </w:rPr>
        <w:t>L</w:t>
      </w:r>
      <w:r>
        <w:rPr>
          <w:lang w:eastAsia="en-AU"/>
        </w:rPr>
        <w:t xml:space="preserve">ocal </w:t>
      </w:r>
      <w:r w:rsidR="00775328">
        <w:rPr>
          <w:lang w:eastAsia="en-AU"/>
        </w:rPr>
        <w:t>g</w:t>
      </w:r>
      <w:r>
        <w:rPr>
          <w:lang w:eastAsia="en-AU"/>
        </w:rPr>
        <w:t xml:space="preserve">overnment </w:t>
      </w:r>
      <w:r w:rsidR="00775328">
        <w:rPr>
          <w:lang w:eastAsia="en-AU"/>
        </w:rPr>
        <w:t>a</w:t>
      </w:r>
      <w:r>
        <w:rPr>
          <w:lang w:eastAsia="en-AU"/>
        </w:rPr>
        <w:t>dministration</w:t>
      </w:r>
      <w:bookmarkEnd w:id="562"/>
      <w:bookmarkEnd w:id="563"/>
      <w:bookmarkEnd w:id="564"/>
      <w:bookmarkEnd w:id="565"/>
      <w:bookmarkEnd w:id="566"/>
      <w:bookmarkEnd w:id="567"/>
      <w:bookmarkEnd w:id="568"/>
      <w:bookmarkEnd w:id="569"/>
      <w:bookmarkEnd w:id="570"/>
      <w:bookmarkEnd w:id="571"/>
    </w:p>
    <w:p w14:paraId="4D8244A0" w14:textId="77777777" w:rsidR="00F0563B" w:rsidRDefault="00F0563B" w:rsidP="003A1777">
      <w:pPr>
        <w:pStyle w:val="Heading2"/>
        <w:numPr>
          <w:ilvl w:val="1"/>
          <w:numId w:val="86"/>
        </w:numPr>
      </w:pPr>
      <w:bookmarkStart w:id="572" w:name="_Toc493746755"/>
      <w:bookmarkStart w:id="573" w:name="_Toc493768887"/>
      <w:bookmarkStart w:id="574" w:name="_Toc493859957"/>
      <w:bookmarkStart w:id="575" w:name="_Toc495491835"/>
      <w:bookmarkStart w:id="576" w:name="_Toc495497615"/>
      <w:bookmarkStart w:id="577" w:name="_Toc495671461"/>
      <w:bookmarkStart w:id="578" w:name="_Toc495676062"/>
      <w:bookmarkStart w:id="579" w:name="_Toc495678357"/>
      <w:bookmarkStart w:id="580" w:name="_Toc495998355"/>
      <w:bookmarkStart w:id="581" w:name="_Toc497741825"/>
      <w:r>
        <w:t>Recruitment and selection of local government Chief Executive Officers</w:t>
      </w:r>
      <w:bookmarkEnd w:id="572"/>
      <w:bookmarkEnd w:id="573"/>
      <w:bookmarkEnd w:id="574"/>
      <w:bookmarkEnd w:id="575"/>
      <w:bookmarkEnd w:id="576"/>
      <w:bookmarkEnd w:id="577"/>
      <w:bookmarkEnd w:id="578"/>
      <w:bookmarkEnd w:id="579"/>
      <w:bookmarkEnd w:id="580"/>
      <w:bookmarkEnd w:id="581"/>
    </w:p>
    <w:p w14:paraId="198F996D" w14:textId="57780C3E" w:rsidR="00F0563B" w:rsidRDefault="009F1C47" w:rsidP="00CF276F">
      <w:pPr>
        <w:pStyle w:val="BodyText-nospacebelow"/>
        <w:jc w:val="both"/>
        <w:rPr>
          <w:lang w:eastAsia="en-AU"/>
        </w:rPr>
      </w:pPr>
      <w:r>
        <w:rPr>
          <w:lang w:eastAsia="en-AU"/>
        </w:rPr>
        <w:t xml:space="preserve">Local governments are given </w:t>
      </w:r>
      <w:r w:rsidR="00927DF4">
        <w:rPr>
          <w:lang w:eastAsia="en-AU"/>
        </w:rPr>
        <w:t xml:space="preserve">considerable </w:t>
      </w:r>
      <w:r w:rsidR="004301E6">
        <w:rPr>
          <w:lang w:eastAsia="en-AU"/>
        </w:rPr>
        <w:t>autonomy</w:t>
      </w:r>
      <w:r>
        <w:rPr>
          <w:lang w:eastAsia="en-AU"/>
        </w:rPr>
        <w:t xml:space="preserve"> when it comes to employing a CEO. </w:t>
      </w:r>
      <w:r w:rsidR="00260F21">
        <w:rPr>
          <w:lang w:eastAsia="en-AU"/>
        </w:rPr>
        <w:t xml:space="preserve"> T</w:t>
      </w:r>
      <w:r w:rsidR="00F0563B" w:rsidRPr="00F0563B">
        <w:rPr>
          <w:lang w:eastAsia="en-AU"/>
        </w:rPr>
        <w:t>he Act requires a local government to employ a CEO that the council believes is suitability qualified.</w:t>
      </w:r>
      <w:r w:rsidR="00260F21">
        <w:rPr>
          <w:rStyle w:val="FootnoteReference"/>
          <w:lang w:eastAsia="en-AU"/>
        </w:rPr>
        <w:footnoteReference w:id="15"/>
      </w:r>
      <w:r w:rsidR="00F0563B" w:rsidRPr="00F0563B">
        <w:rPr>
          <w:lang w:eastAsia="en-AU"/>
        </w:rPr>
        <w:t xml:space="preserve"> </w:t>
      </w:r>
      <w:r w:rsidR="00260F21">
        <w:rPr>
          <w:lang w:eastAsia="en-AU"/>
        </w:rPr>
        <w:t xml:space="preserve"> </w:t>
      </w:r>
      <w:r w:rsidR="00F0563B" w:rsidRPr="00F0563B">
        <w:rPr>
          <w:lang w:eastAsia="en-AU"/>
        </w:rPr>
        <w:t xml:space="preserve">Regulations require the council approve the process used to select and appoint a CEO before the position is advertised. </w:t>
      </w:r>
      <w:r w:rsidRPr="00F0563B">
        <w:rPr>
          <w:lang w:eastAsia="en-AU"/>
        </w:rPr>
        <w:t>The Act also requires that the CEO’s performance should be reviewed by council at least once per year</w:t>
      </w:r>
      <w:r w:rsidR="00F0563B" w:rsidRPr="00F0563B">
        <w:rPr>
          <w:lang w:eastAsia="en-AU"/>
        </w:rPr>
        <w:t>.</w:t>
      </w:r>
      <w:r w:rsidRPr="009F1C47">
        <w:rPr>
          <w:lang w:eastAsia="en-AU"/>
        </w:rPr>
        <w:t xml:space="preserve"> </w:t>
      </w:r>
      <w:r w:rsidRPr="00F0563B">
        <w:rPr>
          <w:lang w:eastAsia="en-AU"/>
        </w:rPr>
        <w:t xml:space="preserve">Local government CEOs are appointed under a contract with a maximum duration of five years.  </w:t>
      </w:r>
    </w:p>
    <w:p w14:paraId="34FDA245" w14:textId="77777777" w:rsidR="00F0563B" w:rsidRPr="00F0563B" w:rsidRDefault="00F0563B" w:rsidP="00CF276F">
      <w:pPr>
        <w:pStyle w:val="BodyText-nospacebelow"/>
        <w:jc w:val="both"/>
        <w:rPr>
          <w:lang w:eastAsia="en-AU"/>
        </w:rPr>
      </w:pPr>
    </w:p>
    <w:p w14:paraId="01470956" w14:textId="5C07669E" w:rsidR="00F0563B" w:rsidRDefault="00927DF4" w:rsidP="00CF276F">
      <w:pPr>
        <w:pStyle w:val="BodyText-nospacebelow"/>
        <w:jc w:val="both"/>
        <w:rPr>
          <w:lang w:eastAsia="en-AU"/>
        </w:rPr>
      </w:pPr>
      <w:r>
        <w:rPr>
          <w:lang w:eastAsia="en-AU"/>
        </w:rPr>
        <w:t xml:space="preserve">As the employing authority, the council has the power to employ, review the performance and dismiss a CEO ensuring </w:t>
      </w:r>
      <w:r w:rsidR="00F0563B" w:rsidRPr="00F0563B">
        <w:rPr>
          <w:lang w:eastAsia="en-AU"/>
        </w:rPr>
        <w:t>that the CEO rem</w:t>
      </w:r>
      <w:r>
        <w:rPr>
          <w:lang w:eastAsia="en-AU"/>
        </w:rPr>
        <w:t>ains accountable to the council.  S</w:t>
      </w:r>
      <w:r w:rsidR="00F0563B" w:rsidRPr="00F0563B">
        <w:rPr>
          <w:lang w:eastAsia="en-AU"/>
        </w:rPr>
        <w:t xml:space="preserve">ome </w:t>
      </w:r>
      <w:r w:rsidR="00246B9A">
        <w:rPr>
          <w:lang w:eastAsia="en-AU"/>
        </w:rPr>
        <w:t>elected member</w:t>
      </w:r>
      <w:r w:rsidR="00F0563B" w:rsidRPr="00F0563B">
        <w:rPr>
          <w:lang w:eastAsia="en-AU"/>
        </w:rPr>
        <w:t>s believe</w:t>
      </w:r>
      <w:r>
        <w:rPr>
          <w:lang w:eastAsia="en-AU"/>
        </w:rPr>
        <w:t>, however,</w:t>
      </w:r>
      <w:r w:rsidR="00F0563B" w:rsidRPr="00F0563B">
        <w:rPr>
          <w:lang w:eastAsia="en-AU"/>
        </w:rPr>
        <w:t xml:space="preserve"> that CEO</w:t>
      </w:r>
      <w:r w:rsidR="009F1C47">
        <w:rPr>
          <w:lang w:eastAsia="en-AU"/>
        </w:rPr>
        <w:t>s have too much power,</w:t>
      </w:r>
      <w:r w:rsidR="00F0563B" w:rsidRPr="00F0563B">
        <w:rPr>
          <w:lang w:eastAsia="en-AU"/>
        </w:rPr>
        <w:t xml:space="preserve"> </w:t>
      </w:r>
      <w:r>
        <w:rPr>
          <w:lang w:eastAsia="en-AU"/>
        </w:rPr>
        <w:t>leaving</w:t>
      </w:r>
      <w:r w:rsidR="009F1C47">
        <w:rPr>
          <w:lang w:eastAsia="en-AU"/>
        </w:rPr>
        <w:t xml:space="preserve"> the council</w:t>
      </w:r>
      <w:r w:rsidR="009F1C47" w:rsidRPr="00F0563B">
        <w:rPr>
          <w:lang w:eastAsia="en-AU"/>
        </w:rPr>
        <w:t xml:space="preserve"> </w:t>
      </w:r>
      <w:r>
        <w:rPr>
          <w:lang w:eastAsia="en-AU"/>
        </w:rPr>
        <w:t>with</w:t>
      </w:r>
      <w:r w:rsidR="009F1C47" w:rsidRPr="00F0563B">
        <w:rPr>
          <w:lang w:eastAsia="en-AU"/>
        </w:rPr>
        <w:t xml:space="preserve"> </w:t>
      </w:r>
      <w:r w:rsidR="00F0563B" w:rsidRPr="00F0563B">
        <w:rPr>
          <w:lang w:eastAsia="en-AU"/>
        </w:rPr>
        <w:t>no option but to renew a CEO’s contract and to agree to the conditions requested.</w:t>
      </w:r>
    </w:p>
    <w:p w14:paraId="1D3DDAAC" w14:textId="77777777" w:rsidR="00F0563B" w:rsidRPr="00F0563B" w:rsidRDefault="00F0563B" w:rsidP="00CF276F">
      <w:pPr>
        <w:pStyle w:val="BodyText-nospacebelow"/>
        <w:jc w:val="both"/>
        <w:rPr>
          <w:lang w:eastAsia="en-AU"/>
        </w:rPr>
      </w:pPr>
    </w:p>
    <w:p w14:paraId="68FAB553" w14:textId="77777777" w:rsidR="00F0563B" w:rsidRDefault="00F0563B" w:rsidP="00CF276F">
      <w:pPr>
        <w:pStyle w:val="BodyText-nospacebelow"/>
        <w:jc w:val="both"/>
        <w:rPr>
          <w:lang w:eastAsia="en-AU"/>
        </w:rPr>
      </w:pPr>
      <w:r w:rsidRPr="00F0563B">
        <w:rPr>
          <w:lang w:eastAsia="en-AU"/>
        </w:rPr>
        <w:t>High profile cases of governance failures in recent years indicate that</w:t>
      </w:r>
      <w:r w:rsidR="009F1C47">
        <w:rPr>
          <w:lang w:eastAsia="en-AU"/>
        </w:rPr>
        <w:t>,</w:t>
      </w:r>
      <w:r w:rsidRPr="00F0563B">
        <w:rPr>
          <w:lang w:eastAsia="en-AU"/>
        </w:rPr>
        <w:t xml:space="preserve"> in some cases</w:t>
      </w:r>
      <w:r w:rsidR="009F1C47">
        <w:rPr>
          <w:lang w:eastAsia="en-AU"/>
        </w:rPr>
        <w:t>,</w:t>
      </w:r>
      <w:r w:rsidRPr="00F0563B">
        <w:rPr>
          <w:lang w:eastAsia="en-AU"/>
        </w:rPr>
        <w:t xml:space="preserve"> selection outcomes could be improved.  Likewise, a common issue expressed by small, regional councils is the difficulty in attracting high-calibre candidates.  Reforms to </w:t>
      </w:r>
      <w:r w:rsidR="00927DF4">
        <w:rPr>
          <w:lang w:eastAsia="en-AU"/>
        </w:rPr>
        <w:t xml:space="preserve">the </w:t>
      </w:r>
      <w:r w:rsidRPr="00F0563B">
        <w:rPr>
          <w:lang w:eastAsia="en-AU"/>
        </w:rPr>
        <w:t xml:space="preserve">way CEOs are recruited and selected would potentially assist in expanding the pool of recruits and </w:t>
      </w:r>
      <w:r w:rsidR="009F1C47">
        <w:rPr>
          <w:lang w:eastAsia="en-AU"/>
        </w:rPr>
        <w:t>finding the right people</w:t>
      </w:r>
      <w:r w:rsidRPr="00F0563B">
        <w:rPr>
          <w:lang w:eastAsia="en-AU"/>
        </w:rPr>
        <w:t>.</w:t>
      </w:r>
    </w:p>
    <w:p w14:paraId="750B295F" w14:textId="77777777" w:rsidR="00F0563B" w:rsidRPr="00F0563B" w:rsidRDefault="00F0563B" w:rsidP="00CF276F">
      <w:pPr>
        <w:pStyle w:val="BodyText-nospacebelow"/>
        <w:jc w:val="both"/>
        <w:rPr>
          <w:lang w:eastAsia="en-AU"/>
        </w:rPr>
      </w:pPr>
    </w:p>
    <w:p w14:paraId="483F1F8A" w14:textId="589E6024" w:rsidR="00F0563B" w:rsidRDefault="00F0563B" w:rsidP="00CF276F">
      <w:pPr>
        <w:pStyle w:val="BodyText-nospacebelow"/>
        <w:jc w:val="both"/>
        <w:rPr>
          <w:lang w:eastAsia="en-AU"/>
        </w:rPr>
      </w:pPr>
      <w:r w:rsidRPr="00F0563B">
        <w:rPr>
          <w:lang w:eastAsia="en-AU"/>
        </w:rPr>
        <w:t xml:space="preserve">The importance of an effective local government CEO with a strong and healthy relationship with council has been identified by multiple independent inquiries including the 2012 Metropolitan Local Government Review (the Robson Report) and inquiries into the Cities of South Perth (2002) and Canning (2014), the 2003 </w:t>
      </w:r>
      <w:r w:rsidR="00FE128A" w:rsidRPr="00F0563B">
        <w:rPr>
          <w:lang w:eastAsia="en-AU"/>
        </w:rPr>
        <w:t xml:space="preserve">report on the Act </w:t>
      </w:r>
      <w:r w:rsidR="00FE128A">
        <w:rPr>
          <w:lang w:eastAsia="en-AU"/>
        </w:rPr>
        <w:t xml:space="preserve">by the </w:t>
      </w:r>
      <w:r w:rsidRPr="00F0563B">
        <w:rPr>
          <w:lang w:eastAsia="en-AU"/>
        </w:rPr>
        <w:t>Western Australian Parliament Standing Committee on Public Administration and Finance, and the Corruption and Crime Commission’s report into the actions of the former CEO of the Shire of Dowerin.</w:t>
      </w:r>
    </w:p>
    <w:p w14:paraId="38A9DF0E" w14:textId="77777777" w:rsidR="00F0563B" w:rsidRPr="00F0563B" w:rsidRDefault="00F0563B" w:rsidP="00CF276F">
      <w:pPr>
        <w:pStyle w:val="BodyText-nospacebelow"/>
        <w:jc w:val="both"/>
        <w:rPr>
          <w:lang w:eastAsia="en-AU"/>
        </w:rPr>
      </w:pPr>
    </w:p>
    <w:p w14:paraId="67DEE178" w14:textId="77777777" w:rsidR="00927DF4" w:rsidRDefault="00F0563B" w:rsidP="00CF276F">
      <w:pPr>
        <w:pStyle w:val="BodyText-nospacebelow"/>
        <w:jc w:val="both"/>
        <w:rPr>
          <w:lang w:eastAsia="en-AU"/>
        </w:rPr>
      </w:pPr>
      <w:r w:rsidRPr="00F0563B">
        <w:rPr>
          <w:lang w:eastAsia="en-AU"/>
        </w:rPr>
        <w:t xml:space="preserve">The pitfalls associated with CEO recruitment were highlighted in the independent inquiry into the City of Joondalup in 2005.  Among other things, the inquiry found that the council had failed to run an appropriate selection process for their CEO which resulted in the appointment of a candidate who had misrepresented their qualifications.   This ultimately led to the dismissal of the council.  </w:t>
      </w:r>
      <w:r w:rsidRPr="00F0563B">
        <w:rPr>
          <w:lang w:eastAsia="en-AU"/>
        </w:rPr>
        <w:lastRenderedPageBreak/>
        <w:t xml:space="preserve">While the example from the City of Joondalup is over a decade old and can be viewed as an isolated incident, the provisions in the Act concerning CEO recruitment remain largely unchanged.  Furthermore, </w:t>
      </w:r>
      <w:r w:rsidR="009F1C47">
        <w:rPr>
          <w:lang w:eastAsia="en-AU"/>
        </w:rPr>
        <w:t>it demonstrated</w:t>
      </w:r>
      <w:r w:rsidRPr="00F0563B">
        <w:rPr>
          <w:lang w:eastAsia="en-AU"/>
        </w:rPr>
        <w:t xml:space="preserve"> that such issues can impact local governments regardless of their size. </w:t>
      </w:r>
    </w:p>
    <w:p w14:paraId="6C7C9A13" w14:textId="77777777" w:rsidR="005C469D" w:rsidRDefault="005C469D" w:rsidP="00CF276F">
      <w:pPr>
        <w:pStyle w:val="BodyText-nospacebelow"/>
        <w:jc w:val="both"/>
        <w:rPr>
          <w:lang w:eastAsia="en-AU"/>
        </w:rPr>
      </w:pPr>
    </w:p>
    <w:p w14:paraId="032FB0CF" w14:textId="77777777" w:rsidR="005C469D" w:rsidRDefault="005C469D" w:rsidP="00CF276F">
      <w:pPr>
        <w:pStyle w:val="BodyText-nospacebelow"/>
        <w:jc w:val="both"/>
        <w:rPr>
          <w:lang w:eastAsia="en-AU"/>
        </w:rPr>
      </w:pPr>
      <w:r>
        <w:rPr>
          <w:lang w:eastAsia="en-AU"/>
        </w:rPr>
        <w:t>This section examines whether improvements can be made in this area.</w:t>
      </w:r>
    </w:p>
    <w:p w14:paraId="579EA9DF" w14:textId="77777777" w:rsidR="00F0563B" w:rsidRPr="00F0563B" w:rsidRDefault="00F0563B" w:rsidP="00F0563B">
      <w:pPr>
        <w:pStyle w:val="Heading2"/>
      </w:pPr>
      <w:bookmarkStart w:id="582" w:name="_Toc487553360"/>
      <w:bookmarkStart w:id="583" w:name="_Toc487625887"/>
      <w:bookmarkStart w:id="584" w:name="_Toc487711022"/>
      <w:bookmarkStart w:id="585" w:name="_Toc487727814"/>
      <w:bookmarkStart w:id="586" w:name="_Toc487728185"/>
      <w:bookmarkStart w:id="587" w:name="_Toc491097233"/>
      <w:bookmarkStart w:id="588" w:name="_Toc491097623"/>
      <w:bookmarkStart w:id="589" w:name="_Toc491857078"/>
      <w:bookmarkStart w:id="590" w:name="_Toc491872698"/>
      <w:bookmarkStart w:id="591" w:name="_Toc491873632"/>
      <w:bookmarkStart w:id="592" w:name="_Toc491934261"/>
      <w:bookmarkStart w:id="593" w:name="_Toc492368883"/>
      <w:bookmarkStart w:id="594" w:name="_Toc492386611"/>
      <w:bookmarkStart w:id="595" w:name="_Toc492468853"/>
      <w:bookmarkStart w:id="596" w:name="_Toc492470528"/>
      <w:bookmarkStart w:id="597" w:name="_Toc492471208"/>
      <w:bookmarkStart w:id="598" w:name="_Toc492471333"/>
      <w:bookmarkStart w:id="599" w:name="_Toc493746756"/>
      <w:bookmarkStart w:id="600" w:name="_Toc493768888"/>
      <w:bookmarkStart w:id="601" w:name="_Toc493859958"/>
      <w:bookmarkStart w:id="602" w:name="_Toc495491836"/>
      <w:bookmarkStart w:id="603" w:name="_Toc495497616"/>
      <w:bookmarkStart w:id="604" w:name="_Toc495671462"/>
      <w:bookmarkStart w:id="605" w:name="_Toc495676063"/>
      <w:bookmarkStart w:id="606" w:name="_Toc495678358"/>
      <w:bookmarkStart w:id="607" w:name="_Toc495998356"/>
      <w:bookmarkStart w:id="608" w:name="_Toc497741826"/>
      <w:bookmarkEnd w:id="582"/>
      <w:bookmarkEnd w:id="583"/>
      <w:bookmarkEnd w:id="584"/>
      <w:bookmarkEnd w:id="585"/>
      <w:bookmarkEnd w:id="586"/>
      <w:bookmarkEnd w:id="587"/>
      <w:bookmarkEnd w:id="588"/>
      <w:bookmarkEnd w:id="589"/>
      <w:bookmarkEnd w:id="590"/>
      <w:bookmarkEnd w:id="591"/>
      <w:bookmarkEnd w:id="592"/>
      <w:r w:rsidRPr="00F0563B">
        <w:t>Across Australia</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tbl>
      <w:tblPr>
        <w:tblStyle w:val="DLGCTable-Data"/>
        <w:tblW w:w="8931" w:type="dxa"/>
        <w:tblLayout w:type="fixed"/>
        <w:tblLook w:val="04A0" w:firstRow="1" w:lastRow="0" w:firstColumn="1" w:lastColumn="0" w:noHBand="0" w:noVBand="1"/>
      </w:tblPr>
      <w:tblGrid>
        <w:gridCol w:w="1980"/>
        <w:gridCol w:w="6951"/>
      </w:tblGrid>
      <w:tr w:rsidR="00F0563B" w:rsidRPr="00F0563B" w14:paraId="5ADC2A85" w14:textId="77777777" w:rsidTr="00A7265E">
        <w:trPr>
          <w:cnfStyle w:val="100000000000" w:firstRow="1" w:lastRow="0" w:firstColumn="0" w:lastColumn="0" w:oddVBand="0" w:evenVBand="0" w:oddHBand="0" w:evenHBand="0" w:firstRowFirstColumn="0" w:firstRowLastColumn="0" w:lastRowFirstColumn="0" w:lastRowLastColumn="0"/>
          <w:trHeight w:val="404"/>
        </w:trPr>
        <w:tc>
          <w:tcPr>
            <w:tcW w:w="1980" w:type="dxa"/>
          </w:tcPr>
          <w:p w14:paraId="7CE7C473" w14:textId="77777777" w:rsidR="00F0563B" w:rsidRPr="00F0563B" w:rsidRDefault="00F0563B" w:rsidP="00F0563B">
            <w:pPr>
              <w:spacing w:before="0" w:after="200" w:line="276" w:lineRule="auto"/>
              <w:rPr>
                <w:lang w:eastAsia="en-AU"/>
              </w:rPr>
            </w:pPr>
            <w:r w:rsidRPr="00F0563B">
              <w:rPr>
                <w:lang w:eastAsia="en-AU"/>
              </w:rPr>
              <w:t>Jurisdiction</w:t>
            </w:r>
          </w:p>
        </w:tc>
        <w:tc>
          <w:tcPr>
            <w:tcW w:w="6951" w:type="dxa"/>
          </w:tcPr>
          <w:p w14:paraId="62686AF5" w14:textId="77777777" w:rsidR="00F0563B" w:rsidRPr="00F0563B" w:rsidRDefault="00F0563B" w:rsidP="00F0563B">
            <w:pPr>
              <w:spacing w:before="0" w:after="200" w:line="276" w:lineRule="auto"/>
              <w:rPr>
                <w:lang w:eastAsia="en-AU"/>
              </w:rPr>
            </w:pPr>
            <w:r w:rsidRPr="00F0563B">
              <w:rPr>
                <w:lang w:eastAsia="en-AU"/>
              </w:rPr>
              <w:t>Provisions</w:t>
            </w:r>
          </w:p>
        </w:tc>
      </w:tr>
      <w:tr w:rsidR="00F0563B" w:rsidRPr="00F0563B" w14:paraId="456D59E5" w14:textId="77777777" w:rsidTr="00C17C15">
        <w:trPr>
          <w:trHeight w:val="481"/>
        </w:trPr>
        <w:tc>
          <w:tcPr>
            <w:tcW w:w="1980" w:type="dxa"/>
          </w:tcPr>
          <w:p w14:paraId="4B581146" w14:textId="77777777" w:rsidR="00F0563B" w:rsidRPr="00F0563B" w:rsidRDefault="00F0563B" w:rsidP="00F0563B">
            <w:pPr>
              <w:spacing w:after="200"/>
              <w:rPr>
                <w:lang w:eastAsia="en-AU"/>
              </w:rPr>
            </w:pPr>
            <w:r w:rsidRPr="00F0563B">
              <w:rPr>
                <w:lang w:eastAsia="en-AU"/>
              </w:rPr>
              <w:t>New South Wales</w:t>
            </w:r>
          </w:p>
        </w:tc>
        <w:tc>
          <w:tcPr>
            <w:tcW w:w="6951" w:type="dxa"/>
          </w:tcPr>
          <w:p w14:paraId="0C9B85EC" w14:textId="77777777" w:rsidR="00F0563B" w:rsidRPr="00F0563B" w:rsidRDefault="00F0563B" w:rsidP="00F0563B">
            <w:pPr>
              <w:rPr>
                <w:lang w:eastAsia="en-AU"/>
              </w:rPr>
            </w:pPr>
            <w:r w:rsidRPr="00F0563B">
              <w:rPr>
                <w:lang w:eastAsia="en-AU"/>
              </w:rPr>
              <w:t>New South Wales requires councils to use a merit based selection process and abide by equal employment opportunity provisions.</w:t>
            </w:r>
          </w:p>
        </w:tc>
      </w:tr>
      <w:tr w:rsidR="00B028E4" w:rsidRPr="00F0563B" w14:paraId="075499E8" w14:textId="77777777" w:rsidTr="00CD184D">
        <w:trPr>
          <w:trHeight w:val="481"/>
        </w:trPr>
        <w:tc>
          <w:tcPr>
            <w:tcW w:w="1980" w:type="dxa"/>
          </w:tcPr>
          <w:p w14:paraId="4A3D9844" w14:textId="77777777" w:rsidR="00B028E4" w:rsidRPr="00F0563B" w:rsidRDefault="00B028E4" w:rsidP="00CD184D">
            <w:pPr>
              <w:spacing w:after="200"/>
              <w:rPr>
                <w:lang w:eastAsia="en-AU"/>
              </w:rPr>
            </w:pPr>
            <w:r>
              <w:rPr>
                <w:lang w:eastAsia="en-AU"/>
              </w:rPr>
              <w:t>Victoria</w:t>
            </w:r>
          </w:p>
        </w:tc>
        <w:tc>
          <w:tcPr>
            <w:tcW w:w="6951" w:type="dxa"/>
          </w:tcPr>
          <w:p w14:paraId="380733A2" w14:textId="77777777" w:rsidR="00B028E4" w:rsidRPr="00F0563B" w:rsidRDefault="00B028E4" w:rsidP="00CD184D">
            <w:pPr>
              <w:rPr>
                <w:lang w:eastAsia="en-AU"/>
              </w:rPr>
            </w:pPr>
            <w:r>
              <w:rPr>
                <w:lang w:eastAsia="en-AU"/>
              </w:rPr>
              <w:t>A council must appoint a person after it has invited applications in a state-wide newspaper.  In its Directions for a new Local Government Act paper, it is proposed to introduce the requirement for the Mayor to obtain independent advice when overseeing CEO recruitment.</w:t>
            </w:r>
          </w:p>
        </w:tc>
      </w:tr>
      <w:tr w:rsidR="00F0563B" w:rsidRPr="00F0563B" w14:paraId="32759026" w14:textId="77777777" w:rsidTr="00C17C15">
        <w:trPr>
          <w:trHeight w:val="481"/>
        </w:trPr>
        <w:tc>
          <w:tcPr>
            <w:tcW w:w="1980" w:type="dxa"/>
          </w:tcPr>
          <w:p w14:paraId="0F1E71A6" w14:textId="1474F1CF" w:rsidR="00F0563B" w:rsidRPr="00F0563B" w:rsidRDefault="00D66C15" w:rsidP="00F0563B">
            <w:pPr>
              <w:spacing w:after="200"/>
              <w:rPr>
                <w:lang w:eastAsia="en-AU"/>
              </w:rPr>
            </w:pPr>
            <w:r>
              <w:rPr>
                <w:lang w:eastAsia="en-AU"/>
              </w:rPr>
              <w:t>Queensland</w:t>
            </w:r>
            <w:r w:rsidRPr="00F0563B">
              <w:rPr>
                <w:lang w:eastAsia="en-AU"/>
              </w:rPr>
              <w:t xml:space="preserve"> </w:t>
            </w:r>
          </w:p>
        </w:tc>
        <w:tc>
          <w:tcPr>
            <w:tcW w:w="6951" w:type="dxa"/>
          </w:tcPr>
          <w:p w14:paraId="1DFA9D69" w14:textId="7C0EEF08" w:rsidR="00F0563B" w:rsidRPr="00F0563B" w:rsidRDefault="00D66C15" w:rsidP="00F0563B">
            <w:pPr>
              <w:rPr>
                <w:lang w:eastAsia="en-AU"/>
              </w:rPr>
            </w:pPr>
            <w:r w:rsidRPr="00F0563B">
              <w:rPr>
                <w:lang w:eastAsia="en-AU"/>
              </w:rPr>
              <w:t>A council must appoint a ‘qualified’ person to be its CEO.  A qualified person is someone that has the ability, experience, knowledge and skills that the local government considers appropriate.</w:t>
            </w:r>
          </w:p>
        </w:tc>
      </w:tr>
      <w:tr w:rsidR="00F0563B" w:rsidRPr="00F0563B" w14:paraId="615BB046" w14:textId="77777777" w:rsidTr="00C17C15">
        <w:trPr>
          <w:trHeight w:val="481"/>
        </w:trPr>
        <w:tc>
          <w:tcPr>
            <w:tcW w:w="1980" w:type="dxa"/>
          </w:tcPr>
          <w:p w14:paraId="026BEB60" w14:textId="77777777" w:rsidR="00F0563B" w:rsidRPr="00F0563B" w:rsidRDefault="00F0563B" w:rsidP="00F0563B">
            <w:pPr>
              <w:spacing w:after="200"/>
              <w:rPr>
                <w:lang w:eastAsia="en-AU"/>
              </w:rPr>
            </w:pPr>
            <w:r w:rsidRPr="00F0563B">
              <w:rPr>
                <w:lang w:eastAsia="en-AU"/>
              </w:rPr>
              <w:t>South Australia</w:t>
            </w:r>
          </w:p>
        </w:tc>
        <w:tc>
          <w:tcPr>
            <w:tcW w:w="6951" w:type="dxa"/>
          </w:tcPr>
          <w:p w14:paraId="013174D5" w14:textId="77777777" w:rsidR="00F0563B" w:rsidRPr="00F0563B" w:rsidRDefault="00F0563B" w:rsidP="00F0563B">
            <w:pPr>
              <w:rPr>
                <w:lang w:eastAsia="en-AU"/>
              </w:rPr>
            </w:pPr>
            <w:r w:rsidRPr="00F0563B">
              <w:rPr>
                <w:lang w:eastAsia="en-AU"/>
              </w:rPr>
              <w:t>Councils are required to advertise the position in a state-wide newspaper and appoint a selection panel to make recommendations to the council on an appointment.</w:t>
            </w:r>
          </w:p>
        </w:tc>
      </w:tr>
      <w:tr w:rsidR="00F0563B" w:rsidRPr="00F0563B" w14:paraId="7C40C916" w14:textId="77777777" w:rsidTr="00C17C15">
        <w:trPr>
          <w:trHeight w:val="481"/>
        </w:trPr>
        <w:tc>
          <w:tcPr>
            <w:tcW w:w="1980" w:type="dxa"/>
          </w:tcPr>
          <w:p w14:paraId="1586544E" w14:textId="77777777" w:rsidR="00F0563B" w:rsidRPr="00F0563B" w:rsidRDefault="00F0563B" w:rsidP="00F0563B">
            <w:pPr>
              <w:spacing w:after="200"/>
              <w:rPr>
                <w:lang w:eastAsia="en-AU"/>
              </w:rPr>
            </w:pPr>
            <w:r w:rsidRPr="00F0563B">
              <w:rPr>
                <w:lang w:eastAsia="en-AU"/>
              </w:rPr>
              <w:t>Tasmania</w:t>
            </w:r>
          </w:p>
        </w:tc>
        <w:tc>
          <w:tcPr>
            <w:tcW w:w="6951" w:type="dxa"/>
          </w:tcPr>
          <w:p w14:paraId="5D5CE3C4" w14:textId="77777777" w:rsidR="00F0563B" w:rsidRPr="00F0563B" w:rsidRDefault="00F0563B" w:rsidP="00997D0A">
            <w:pPr>
              <w:rPr>
                <w:lang w:eastAsia="en-AU"/>
              </w:rPr>
            </w:pPr>
            <w:r w:rsidRPr="00F0563B">
              <w:rPr>
                <w:lang w:eastAsia="en-AU"/>
              </w:rPr>
              <w:t>Councils are required to advertise the position but the Act does not currently prescribe principles or a detailed process.</w:t>
            </w:r>
          </w:p>
          <w:p w14:paraId="4F9AAF38" w14:textId="77777777" w:rsidR="00F0563B" w:rsidRPr="00F0563B" w:rsidRDefault="00F0563B" w:rsidP="00F0563B">
            <w:pPr>
              <w:rPr>
                <w:lang w:eastAsia="en-AU"/>
              </w:rPr>
            </w:pPr>
            <w:r w:rsidRPr="00F0563B">
              <w:rPr>
                <w:lang w:eastAsia="en-AU"/>
              </w:rPr>
              <w:t xml:space="preserve">The draft bill provides the Minister with powers to specify the principles governing the selection of a general manager and their performance management. </w:t>
            </w:r>
          </w:p>
        </w:tc>
      </w:tr>
      <w:tr w:rsidR="00F0563B" w:rsidRPr="00F0563B" w14:paraId="206EF35D" w14:textId="77777777" w:rsidTr="00C17C15">
        <w:trPr>
          <w:trHeight w:val="481"/>
        </w:trPr>
        <w:tc>
          <w:tcPr>
            <w:tcW w:w="1980" w:type="dxa"/>
          </w:tcPr>
          <w:p w14:paraId="5C6F57B6" w14:textId="77777777" w:rsidR="00F0563B" w:rsidRPr="00F0563B" w:rsidRDefault="00F0563B" w:rsidP="00F0563B">
            <w:pPr>
              <w:spacing w:after="200"/>
              <w:rPr>
                <w:lang w:eastAsia="en-AU"/>
              </w:rPr>
            </w:pPr>
            <w:r w:rsidRPr="00F0563B">
              <w:rPr>
                <w:lang w:eastAsia="en-AU"/>
              </w:rPr>
              <w:t>Northern Territory</w:t>
            </w:r>
          </w:p>
        </w:tc>
        <w:tc>
          <w:tcPr>
            <w:tcW w:w="6951" w:type="dxa"/>
          </w:tcPr>
          <w:p w14:paraId="3684D1BC" w14:textId="77777777" w:rsidR="00F0563B" w:rsidRPr="00F0563B" w:rsidRDefault="00F0563B" w:rsidP="00F0563B">
            <w:pPr>
              <w:rPr>
                <w:lang w:eastAsia="en-AU"/>
              </w:rPr>
            </w:pPr>
            <w:r w:rsidRPr="00F0563B">
              <w:rPr>
                <w:lang w:eastAsia="en-AU"/>
              </w:rPr>
              <w:t xml:space="preserve">Legislation requires councils appoint CEOs in accordance with the relevant Ministerial guidelines. </w:t>
            </w:r>
          </w:p>
        </w:tc>
      </w:tr>
    </w:tbl>
    <w:p w14:paraId="5B7AF6FF" w14:textId="77777777" w:rsidR="00F0563B" w:rsidRPr="00F0563B" w:rsidRDefault="00F0563B" w:rsidP="00F0563B">
      <w:pPr>
        <w:rPr>
          <w:b/>
          <w:lang w:eastAsia="en-AU"/>
        </w:rPr>
      </w:pPr>
    </w:p>
    <w:p w14:paraId="17628807" w14:textId="0C7BB4C0" w:rsidR="00F0563B" w:rsidRPr="00F0563B" w:rsidRDefault="005758AA" w:rsidP="00CF276F">
      <w:pPr>
        <w:pStyle w:val="Heading3"/>
        <w:jc w:val="both"/>
        <w:rPr>
          <w:lang w:eastAsia="en-AU"/>
        </w:rPr>
      </w:pPr>
      <w:bookmarkStart w:id="609" w:name="_Toc487553361"/>
      <w:bookmarkStart w:id="610" w:name="_Toc487625888"/>
      <w:bookmarkStart w:id="611" w:name="_Toc487711023"/>
      <w:bookmarkStart w:id="612" w:name="_Toc487727815"/>
      <w:bookmarkStart w:id="613" w:name="_Toc487728186"/>
      <w:bookmarkStart w:id="614" w:name="_Toc491097234"/>
      <w:bookmarkStart w:id="615" w:name="_Toc491097624"/>
      <w:bookmarkStart w:id="616" w:name="_Toc491857079"/>
      <w:bookmarkStart w:id="617" w:name="_Toc491872699"/>
      <w:bookmarkStart w:id="618" w:name="_Toc491873633"/>
      <w:bookmarkStart w:id="619" w:name="_Toc491934262"/>
      <w:bookmarkStart w:id="620" w:name="_Toc492368884"/>
      <w:bookmarkStart w:id="621" w:name="_Toc492386612"/>
      <w:bookmarkStart w:id="622" w:name="_Toc492468854"/>
      <w:bookmarkStart w:id="623" w:name="_Toc492470529"/>
      <w:bookmarkStart w:id="624" w:name="_Toc492471209"/>
      <w:bookmarkStart w:id="625" w:name="_Toc492471334"/>
      <w:bookmarkStart w:id="626" w:name="_Toc493746757"/>
      <w:bookmarkStart w:id="627" w:name="_Toc493768889"/>
      <w:bookmarkStart w:id="628" w:name="_Toc493859959"/>
      <w:bookmarkStart w:id="629" w:name="_Toc495491837"/>
      <w:bookmarkStart w:id="630" w:name="_Toc495497617"/>
      <w:bookmarkStart w:id="631" w:name="_Toc495671463"/>
      <w:bookmarkStart w:id="632" w:name="_Toc495676064"/>
      <w:bookmarkStart w:id="633" w:name="_Toc495678359"/>
      <w:bookmarkStart w:id="634" w:name="_Toc495998357"/>
      <w:bookmarkStart w:id="635" w:name="_Toc497741827"/>
      <w:r>
        <w:rPr>
          <w:lang w:eastAsia="en-AU"/>
        </w:rPr>
        <w:lastRenderedPageBreak/>
        <w:t>Option 1:</w:t>
      </w:r>
      <w:r w:rsidR="00F0563B" w:rsidRPr="00F0563B">
        <w:rPr>
          <w:lang w:eastAsia="en-AU"/>
        </w:rPr>
        <w:t xml:space="preserve"> </w:t>
      </w:r>
      <w:r w:rsidR="00437C58">
        <w:rPr>
          <w:lang w:eastAsia="en-AU"/>
        </w:rPr>
        <w:t>L</w:t>
      </w:r>
      <w:r w:rsidR="00F0563B" w:rsidRPr="00F0563B">
        <w:rPr>
          <w:lang w:eastAsia="en-AU"/>
        </w:rPr>
        <w:t xml:space="preserve">ocal governments to engage the services of the Public Sector Commission to </w:t>
      </w:r>
      <w:r w:rsidR="00850ABC">
        <w:rPr>
          <w:lang w:eastAsia="en-AU"/>
        </w:rPr>
        <w:t xml:space="preserve">provide support and guidance </w:t>
      </w:r>
      <w:r w:rsidR="00504621">
        <w:rPr>
          <w:lang w:eastAsia="en-AU"/>
        </w:rPr>
        <w:t>to</w:t>
      </w:r>
      <w:r w:rsidR="00F0563B" w:rsidRPr="00F0563B">
        <w:rPr>
          <w:lang w:eastAsia="en-AU"/>
        </w:rPr>
        <w:t xml:space="preserve"> council during the selection of a CEO</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3A0943E5" w14:textId="77777777" w:rsidR="00F0563B" w:rsidRPr="00F0563B" w:rsidRDefault="00F0563B" w:rsidP="00CF276F">
      <w:pPr>
        <w:pStyle w:val="BodyText-nospacebelow"/>
        <w:jc w:val="both"/>
        <w:rPr>
          <w:lang w:eastAsia="en-AU"/>
        </w:rPr>
      </w:pPr>
      <w:r w:rsidRPr="00F0563B">
        <w:rPr>
          <w:lang w:eastAsia="en-AU"/>
        </w:rPr>
        <w:t>A case has previously been made, most prominently in the 2012 Robson Report, that the Public Sector Commission (PSC) should be involved in the selection of local government CEOs.  The rationale for this proposal is four-fold:</w:t>
      </w:r>
    </w:p>
    <w:p w14:paraId="107E6962" w14:textId="04CFB85E" w:rsidR="00F0563B" w:rsidRPr="00F0563B" w:rsidRDefault="00F0563B" w:rsidP="00CF276F">
      <w:pPr>
        <w:pStyle w:val="BodyText-nospacebelow"/>
        <w:numPr>
          <w:ilvl w:val="0"/>
          <w:numId w:val="56"/>
        </w:numPr>
        <w:jc w:val="both"/>
        <w:rPr>
          <w:lang w:eastAsia="en-AU"/>
        </w:rPr>
      </w:pPr>
      <w:r w:rsidRPr="00F0563B">
        <w:rPr>
          <w:lang w:eastAsia="en-AU"/>
        </w:rPr>
        <w:t xml:space="preserve">the PSC is currently responsible for leading the recruitment of State Government agency CEO positions by examining the </w:t>
      </w:r>
      <w:r w:rsidR="00D66C15">
        <w:rPr>
          <w:lang w:eastAsia="en-AU"/>
        </w:rPr>
        <w:t>applications</w:t>
      </w:r>
      <w:r w:rsidR="00D66C15" w:rsidRPr="00F0563B">
        <w:rPr>
          <w:lang w:eastAsia="en-AU"/>
        </w:rPr>
        <w:t xml:space="preserve"> </w:t>
      </w:r>
      <w:r w:rsidRPr="00F0563B">
        <w:rPr>
          <w:lang w:eastAsia="en-AU"/>
        </w:rPr>
        <w:t>and making a recommendation to the Government;</w:t>
      </w:r>
    </w:p>
    <w:p w14:paraId="5C9D8920" w14:textId="41004515" w:rsidR="00F0563B" w:rsidRPr="00F0563B" w:rsidRDefault="00F0563B" w:rsidP="00CF276F">
      <w:pPr>
        <w:pStyle w:val="BodyText-nospacebelow"/>
        <w:numPr>
          <w:ilvl w:val="0"/>
          <w:numId w:val="56"/>
        </w:numPr>
        <w:jc w:val="both"/>
        <w:rPr>
          <w:lang w:eastAsia="en-AU"/>
        </w:rPr>
      </w:pPr>
      <w:r w:rsidRPr="00F0563B">
        <w:rPr>
          <w:lang w:eastAsia="en-AU"/>
        </w:rPr>
        <w:t xml:space="preserve">the expertise of </w:t>
      </w:r>
      <w:r w:rsidR="00246B9A">
        <w:rPr>
          <w:lang w:eastAsia="en-AU"/>
        </w:rPr>
        <w:t>elected member</w:t>
      </w:r>
      <w:r w:rsidRPr="00F0563B">
        <w:rPr>
          <w:lang w:eastAsia="en-AU"/>
        </w:rPr>
        <w:t xml:space="preserve">s, as democratically elected representatives, may not necessarily extend to CEO recruitment and selection; </w:t>
      </w:r>
    </w:p>
    <w:p w14:paraId="22A27721" w14:textId="0E61CD3D" w:rsidR="00F0563B" w:rsidRPr="00F0563B" w:rsidRDefault="00246B9A" w:rsidP="00CF276F">
      <w:pPr>
        <w:pStyle w:val="BodyText-nospacebelow"/>
        <w:numPr>
          <w:ilvl w:val="0"/>
          <w:numId w:val="56"/>
        </w:numPr>
        <w:jc w:val="both"/>
        <w:rPr>
          <w:lang w:eastAsia="en-AU"/>
        </w:rPr>
      </w:pPr>
      <w:r>
        <w:rPr>
          <w:lang w:eastAsia="en-AU"/>
        </w:rPr>
        <w:t>elected member</w:t>
      </w:r>
      <w:r w:rsidR="00F0563B" w:rsidRPr="00F0563B">
        <w:rPr>
          <w:lang w:eastAsia="en-AU"/>
        </w:rPr>
        <w:t>s may not have the resources required to undertake a suitably intensive and wide-reaching recruitment and selection process to select a high</w:t>
      </w:r>
      <w:r w:rsidR="00CF276F">
        <w:rPr>
          <w:lang w:eastAsia="en-AU"/>
        </w:rPr>
        <w:noBreakHyphen/>
      </w:r>
      <w:r w:rsidR="00F0563B" w:rsidRPr="00F0563B">
        <w:rPr>
          <w:lang w:eastAsia="en-AU"/>
        </w:rPr>
        <w:t>performing CEO</w:t>
      </w:r>
      <w:r w:rsidR="00156E20">
        <w:rPr>
          <w:lang w:eastAsia="en-AU"/>
        </w:rPr>
        <w:t>, particularly if this process is to be conducted independently of the existing CEO</w:t>
      </w:r>
      <w:r w:rsidR="00F0563B" w:rsidRPr="00F0563B">
        <w:rPr>
          <w:lang w:eastAsia="en-AU"/>
        </w:rPr>
        <w:t>;</w:t>
      </w:r>
      <w:r w:rsidR="00FE128A">
        <w:rPr>
          <w:lang w:eastAsia="en-AU"/>
        </w:rPr>
        <w:t xml:space="preserve"> and</w:t>
      </w:r>
    </w:p>
    <w:p w14:paraId="4DC0F30C" w14:textId="77777777" w:rsidR="00F0563B" w:rsidRDefault="00F0563B" w:rsidP="00CF276F">
      <w:pPr>
        <w:pStyle w:val="BodyText-nospacebelow"/>
        <w:numPr>
          <w:ilvl w:val="0"/>
          <w:numId w:val="56"/>
        </w:numPr>
        <w:jc w:val="both"/>
        <w:rPr>
          <w:lang w:eastAsia="en-AU"/>
        </w:rPr>
      </w:pPr>
      <w:r w:rsidRPr="00F0563B">
        <w:rPr>
          <w:lang w:eastAsia="en-AU"/>
        </w:rPr>
        <w:t xml:space="preserve">local governments </w:t>
      </w:r>
      <w:r w:rsidR="00156E20">
        <w:rPr>
          <w:lang w:eastAsia="en-AU"/>
        </w:rPr>
        <w:t xml:space="preserve">in </w:t>
      </w:r>
      <w:r w:rsidR="00156E20" w:rsidRPr="00F0563B">
        <w:rPr>
          <w:lang w:eastAsia="en-AU"/>
        </w:rPr>
        <w:t xml:space="preserve">regional </w:t>
      </w:r>
      <w:r w:rsidR="00156E20">
        <w:rPr>
          <w:lang w:eastAsia="en-AU"/>
        </w:rPr>
        <w:t xml:space="preserve">areas </w:t>
      </w:r>
      <w:r w:rsidRPr="00F0563B">
        <w:rPr>
          <w:lang w:eastAsia="en-AU"/>
        </w:rPr>
        <w:t>have frequently reported difficulties in attracting suitably-qualified candidates.  The involvement of the PSC in recruitment could expand the pool of available candidates.</w:t>
      </w:r>
    </w:p>
    <w:p w14:paraId="7E38E6D3" w14:textId="77777777" w:rsidR="006E14F7" w:rsidRPr="00F0563B" w:rsidRDefault="006E14F7" w:rsidP="00CF276F">
      <w:pPr>
        <w:pStyle w:val="BodyText-nospacebelow"/>
        <w:ind w:left="720"/>
        <w:jc w:val="both"/>
        <w:rPr>
          <w:lang w:eastAsia="en-AU"/>
        </w:rPr>
      </w:pPr>
    </w:p>
    <w:p w14:paraId="67FC3A31" w14:textId="0F94C09D" w:rsidR="00156E20" w:rsidRDefault="001F7083" w:rsidP="00CF276F">
      <w:pPr>
        <w:pStyle w:val="BodyText-nospacebelow"/>
        <w:jc w:val="both"/>
        <w:rPr>
          <w:lang w:eastAsia="en-AU"/>
        </w:rPr>
      </w:pPr>
      <w:r>
        <w:rPr>
          <w:lang w:eastAsia="en-AU"/>
        </w:rPr>
        <w:t>L</w:t>
      </w:r>
      <w:r w:rsidR="00F0563B" w:rsidRPr="00F0563B">
        <w:rPr>
          <w:lang w:eastAsia="en-AU"/>
        </w:rPr>
        <w:t xml:space="preserve">ocal governments </w:t>
      </w:r>
      <w:r>
        <w:rPr>
          <w:lang w:eastAsia="en-AU"/>
        </w:rPr>
        <w:t xml:space="preserve">could be encouraged, or required through amendments to the Act, </w:t>
      </w:r>
      <w:r w:rsidR="00F0563B" w:rsidRPr="00F0563B">
        <w:rPr>
          <w:lang w:eastAsia="en-AU"/>
        </w:rPr>
        <w:t>to use the expertise of independent people approved by the PSC</w:t>
      </w:r>
      <w:r>
        <w:rPr>
          <w:lang w:eastAsia="en-AU"/>
        </w:rPr>
        <w:t>,</w:t>
      </w:r>
      <w:r w:rsidR="00156E20">
        <w:rPr>
          <w:lang w:eastAsia="en-AU"/>
        </w:rPr>
        <w:t xml:space="preserve"> or the PSC itself.</w:t>
      </w:r>
      <w:r w:rsidR="00F0563B" w:rsidRPr="00F0563B">
        <w:rPr>
          <w:lang w:eastAsia="en-AU"/>
        </w:rPr>
        <w:t xml:space="preserve"> </w:t>
      </w:r>
      <w:r w:rsidR="00156E20">
        <w:rPr>
          <w:lang w:eastAsia="en-AU"/>
        </w:rPr>
        <w:t xml:space="preserve"> </w:t>
      </w:r>
      <w:r w:rsidR="00F0563B" w:rsidRPr="00F0563B">
        <w:rPr>
          <w:lang w:eastAsia="en-AU"/>
        </w:rPr>
        <w:t>Currently, local governments may use the services of a recruitment agency or other independent assistance.</w:t>
      </w:r>
      <w:r w:rsidR="00156E20">
        <w:rPr>
          <w:lang w:eastAsia="en-AU"/>
        </w:rPr>
        <w:t xml:space="preserve">  </w:t>
      </w:r>
      <w:r w:rsidR="00F0563B" w:rsidRPr="00F0563B">
        <w:rPr>
          <w:lang w:eastAsia="en-AU"/>
        </w:rPr>
        <w:t>However, concerns exist with the overall quality and consistency of this support and the capacity of small local governments to pay for private recruitment services.</w:t>
      </w:r>
      <w:r w:rsidR="00156E20">
        <w:rPr>
          <w:lang w:eastAsia="en-AU"/>
        </w:rPr>
        <w:t xml:space="preserve">  </w:t>
      </w:r>
    </w:p>
    <w:p w14:paraId="52514849" w14:textId="77777777" w:rsidR="006E14F7" w:rsidRPr="00F0563B" w:rsidRDefault="006E14F7" w:rsidP="00CF276F">
      <w:pPr>
        <w:pStyle w:val="BodyText-nospacebelow"/>
        <w:jc w:val="both"/>
        <w:rPr>
          <w:lang w:eastAsia="en-AU"/>
        </w:rPr>
      </w:pPr>
    </w:p>
    <w:p w14:paraId="134EF43C" w14:textId="6F0A21E9" w:rsidR="00F0563B" w:rsidRDefault="00F0563B" w:rsidP="00CF276F">
      <w:pPr>
        <w:pStyle w:val="BodyText-nospacebelow"/>
        <w:jc w:val="both"/>
        <w:rPr>
          <w:lang w:eastAsia="en-AU"/>
        </w:rPr>
      </w:pPr>
      <w:r w:rsidRPr="00F0563B">
        <w:rPr>
          <w:lang w:eastAsia="en-AU"/>
        </w:rPr>
        <w:t xml:space="preserve">By adapting the process used to recruit </w:t>
      </w:r>
      <w:r w:rsidR="00156E20" w:rsidRPr="00F0563B">
        <w:rPr>
          <w:lang w:eastAsia="en-AU"/>
        </w:rPr>
        <w:t xml:space="preserve">State </w:t>
      </w:r>
      <w:r w:rsidRPr="00F0563B">
        <w:rPr>
          <w:lang w:eastAsia="en-AU"/>
        </w:rPr>
        <w:t>government CEOs</w:t>
      </w:r>
      <w:r w:rsidRPr="00F0563B" w:rsidDel="008B7F7D">
        <w:rPr>
          <w:lang w:eastAsia="en-AU"/>
        </w:rPr>
        <w:t xml:space="preserve">, </w:t>
      </w:r>
      <w:r w:rsidRPr="00F0563B">
        <w:rPr>
          <w:lang w:eastAsia="en-AU"/>
        </w:rPr>
        <w:t>the PSC</w:t>
      </w:r>
      <w:r w:rsidR="00710EA2">
        <w:rPr>
          <w:lang w:eastAsia="en-AU"/>
        </w:rPr>
        <w:t xml:space="preserve"> </w:t>
      </w:r>
      <w:r w:rsidRPr="00F0563B">
        <w:rPr>
          <w:lang w:eastAsia="en-AU"/>
        </w:rPr>
        <w:t xml:space="preserve">could </w:t>
      </w:r>
      <w:r w:rsidR="006051E9">
        <w:rPr>
          <w:lang w:eastAsia="en-AU"/>
        </w:rPr>
        <w:t>support</w:t>
      </w:r>
      <w:r w:rsidRPr="00F0563B">
        <w:rPr>
          <w:lang w:eastAsia="en-AU"/>
        </w:rPr>
        <w:t xml:space="preserve"> councils with recruitment by providing a shortlist of applicants.  Council would then determine whether to appoint one of the shortlisted candidates or an alternative candidate.</w:t>
      </w:r>
    </w:p>
    <w:p w14:paraId="2B431A60" w14:textId="47FCCAE6" w:rsidR="004843A6" w:rsidRPr="001F7083" w:rsidRDefault="004843A6" w:rsidP="00CF276F">
      <w:pPr>
        <w:pStyle w:val="Heading3"/>
        <w:jc w:val="both"/>
        <w:rPr>
          <w:lang w:eastAsia="en-AU"/>
        </w:rPr>
      </w:pPr>
      <w:bookmarkStart w:id="636" w:name="_Toc495671464"/>
      <w:bookmarkStart w:id="637" w:name="_Toc495676065"/>
      <w:bookmarkStart w:id="638" w:name="_Toc495678360"/>
      <w:bookmarkStart w:id="639" w:name="_Toc495998358"/>
      <w:bookmarkStart w:id="640" w:name="_Toc497741828"/>
      <w:bookmarkStart w:id="641" w:name="_Toc492901292"/>
      <w:bookmarkStart w:id="642" w:name="_Toc491097235"/>
      <w:bookmarkStart w:id="643" w:name="_Toc491097625"/>
      <w:bookmarkStart w:id="644" w:name="_Toc491857080"/>
      <w:bookmarkStart w:id="645" w:name="_Toc491872700"/>
      <w:bookmarkStart w:id="646" w:name="_Toc491873634"/>
      <w:bookmarkStart w:id="647" w:name="_Toc491934263"/>
      <w:bookmarkStart w:id="648" w:name="_Toc492368885"/>
      <w:bookmarkStart w:id="649" w:name="_Toc492386613"/>
      <w:bookmarkStart w:id="650" w:name="_Toc492468855"/>
      <w:bookmarkStart w:id="651" w:name="_Toc492470530"/>
      <w:bookmarkStart w:id="652" w:name="_Toc492471210"/>
      <w:bookmarkStart w:id="653" w:name="_Toc492471335"/>
      <w:r w:rsidRPr="00363178">
        <w:rPr>
          <w:lang w:eastAsia="en-AU"/>
        </w:rPr>
        <w:t>Option</w:t>
      </w:r>
      <w:r w:rsidRPr="00C97225">
        <w:rPr>
          <w:lang w:eastAsia="en-AU"/>
        </w:rPr>
        <w:t xml:space="preserve"> 2</w:t>
      </w:r>
      <w:r w:rsidR="005758AA" w:rsidRPr="00C97225">
        <w:rPr>
          <w:lang w:eastAsia="en-AU"/>
        </w:rPr>
        <w:t>:</w:t>
      </w:r>
      <w:r w:rsidRPr="001F7083">
        <w:rPr>
          <w:lang w:eastAsia="en-AU"/>
        </w:rPr>
        <w:t xml:space="preserve"> </w:t>
      </w:r>
      <w:r w:rsidR="00437C58" w:rsidRPr="001F7083">
        <w:rPr>
          <w:lang w:eastAsia="en-AU"/>
        </w:rPr>
        <w:t>C</w:t>
      </w:r>
      <w:r w:rsidRPr="001F7083">
        <w:rPr>
          <w:lang w:eastAsia="en-AU"/>
        </w:rPr>
        <w:t>ouncils to involve third-parties in CEO selection</w:t>
      </w:r>
      <w:bookmarkEnd w:id="636"/>
      <w:bookmarkEnd w:id="637"/>
      <w:bookmarkEnd w:id="638"/>
      <w:bookmarkEnd w:id="639"/>
      <w:bookmarkEnd w:id="640"/>
      <w:r w:rsidRPr="001F7083">
        <w:rPr>
          <w:lang w:eastAsia="en-AU"/>
        </w:rPr>
        <w:t xml:space="preserve"> </w:t>
      </w:r>
      <w:bookmarkEnd w:id="641"/>
    </w:p>
    <w:bookmarkEnd w:id="642"/>
    <w:bookmarkEnd w:id="643"/>
    <w:bookmarkEnd w:id="644"/>
    <w:bookmarkEnd w:id="645"/>
    <w:bookmarkEnd w:id="646"/>
    <w:bookmarkEnd w:id="647"/>
    <w:bookmarkEnd w:id="648"/>
    <w:bookmarkEnd w:id="649"/>
    <w:bookmarkEnd w:id="650"/>
    <w:bookmarkEnd w:id="651"/>
    <w:bookmarkEnd w:id="652"/>
    <w:bookmarkEnd w:id="653"/>
    <w:p w14:paraId="66803808" w14:textId="3E5589AF" w:rsidR="00F0563B" w:rsidRDefault="00F0563B" w:rsidP="00CF276F">
      <w:pPr>
        <w:pStyle w:val="BodyText-nospacebelow"/>
        <w:jc w:val="both"/>
        <w:rPr>
          <w:lang w:eastAsia="en-AU"/>
        </w:rPr>
      </w:pPr>
      <w:r w:rsidRPr="00F0563B">
        <w:rPr>
          <w:lang w:eastAsia="en-AU"/>
        </w:rPr>
        <w:t>The knowledge and experience within Western Australia’s local government sector and the public sector more broadly represents an underutilised resource for councils when selecting a CEO.</w:t>
      </w:r>
      <w:r w:rsidR="00D73B59">
        <w:rPr>
          <w:lang w:eastAsia="en-AU"/>
        </w:rPr>
        <w:t xml:space="preserve">  Greater assistance could be provided in two areas: </w:t>
      </w:r>
      <w:r w:rsidR="008B7F7D">
        <w:rPr>
          <w:lang w:eastAsia="en-AU"/>
        </w:rPr>
        <w:t xml:space="preserve">in </w:t>
      </w:r>
      <w:r w:rsidR="00D73B59">
        <w:rPr>
          <w:lang w:eastAsia="en-AU"/>
        </w:rPr>
        <w:t>assisting with</w:t>
      </w:r>
      <w:r w:rsidR="001F7083">
        <w:rPr>
          <w:lang w:eastAsia="en-AU"/>
        </w:rPr>
        <w:t xml:space="preserve">, </w:t>
      </w:r>
      <w:r w:rsidR="00437C58">
        <w:rPr>
          <w:lang w:eastAsia="en-AU"/>
        </w:rPr>
        <w:t xml:space="preserve">or </w:t>
      </w:r>
      <w:r w:rsidR="00D73B59">
        <w:rPr>
          <w:lang w:eastAsia="en-AU"/>
        </w:rPr>
        <w:t>participating on the selection panel</w:t>
      </w:r>
      <w:r w:rsidR="00437C58">
        <w:rPr>
          <w:lang w:eastAsia="en-AU"/>
        </w:rPr>
        <w:t xml:space="preserve"> in an advisory capacity</w:t>
      </w:r>
      <w:r w:rsidR="00D73B59">
        <w:rPr>
          <w:lang w:eastAsia="en-AU"/>
        </w:rPr>
        <w:t>.</w:t>
      </w:r>
    </w:p>
    <w:p w14:paraId="5FF26CD6" w14:textId="77777777" w:rsidR="006E14F7" w:rsidRPr="00F0563B" w:rsidRDefault="006E14F7" w:rsidP="00CF276F">
      <w:pPr>
        <w:pStyle w:val="BodyText-nospacebelow"/>
        <w:jc w:val="both"/>
        <w:rPr>
          <w:lang w:eastAsia="en-AU"/>
        </w:rPr>
      </w:pPr>
    </w:p>
    <w:p w14:paraId="72463717" w14:textId="77777777" w:rsidR="00F0563B" w:rsidRDefault="00F0563B" w:rsidP="00CF276F">
      <w:pPr>
        <w:pStyle w:val="BodyText-nospacebelow"/>
        <w:jc w:val="both"/>
        <w:rPr>
          <w:lang w:eastAsia="en-AU"/>
        </w:rPr>
      </w:pPr>
      <w:r w:rsidRPr="00F0563B">
        <w:rPr>
          <w:lang w:eastAsia="en-AU"/>
        </w:rPr>
        <w:t xml:space="preserve">Under this approach, a list would be maintained of approved providers that are ‘accredited’ to provide expert advice to local governments during the selection of a CEO.  The support provided could </w:t>
      </w:r>
      <w:r w:rsidRPr="00F0563B">
        <w:rPr>
          <w:lang w:eastAsia="en-AU"/>
        </w:rPr>
        <w:lastRenderedPageBreak/>
        <w:t>include general advice, recruitment and short</w:t>
      </w:r>
      <w:r w:rsidR="00FE128A">
        <w:rPr>
          <w:lang w:eastAsia="en-AU"/>
        </w:rPr>
        <w:noBreakHyphen/>
      </w:r>
      <w:r w:rsidRPr="00F0563B">
        <w:rPr>
          <w:lang w:eastAsia="en-AU"/>
        </w:rPr>
        <w:t>listing services, background checks on candidates and support to selection panels.  Importantly it could include early discussion on the particular skills and experience required by the CEO to deliver that local government’s Strategic Community Plan under direction of the council.</w:t>
      </w:r>
    </w:p>
    <w:p w14:paraId="0ABC5609" w14:textId="77777777" w:rsidR="006E14F7" w:rsidRPr="00F0563B" w:rsidRDefault="006E14F7" w:rsidP="00CF276F">
      <w:pPr>
        <w:pStyle w:val="BodyText-nospacebelow"/>
        <w:jc w:val="both"/>
        <w:rPr>
          <w:lang w:eastAsia="en-AU"/>
        </w:rPr>
      </w:pPr>
    </w:p>
    <w:p w14:paraId="763D414D" w14:textId="77777777" w:rsidR="004843A6" w:rsidRPr="004843A6" w:rsidRDefault="004843A6" w:rsidP="00CF276F">
      <w:pPr>
        <w:pStyle w:val="BodyText-nospacebelow"/>
        <w:jc w:val="both"/>
        <w:rPr>
          <w:lang w:eastAsia="en-AU"/>
        </w:rPr>
      </w:pPr>
      <w:r w:rsidRPr="004843A6">
        <w:rPr>
          <w:lang w:eastAsia="en-AU"/>
        </w:rPr>
        <w:t xml:space="preserve">The list of approved people could include private recruitment agencies, representatives from peak bodies </w:t>
      </w:r>
      <w:r w:rsidR="00D73B59">
        <w:rPr>
          <w:lang w:eastAsia="en-AU"/>
        </w:rPr>
        <w:t>and</w:t>
      </w:r>
      <w:r w:rsidRPr="004843A6">
        <w:rPr>
          <w:lang w:eastAsia="en-AU"/>
        </w:rPr>
        <w:t xml:space="preserve"> independent senior public servants.</w:t>
      </w:r>
    </w:p>
    <w:p w14:paraId="590B605F" w14:textId="77777777" w:rsidR="00CF276F" w:rsidRPr="004843A6" w:rsidRDefault="00CF276F" w:rsidP="00CF276F">
      <w:pPr>
        <w:pStyle w:val="BodyText-nospacebelow"/>
        <w:jc w:val="both"/>
        <w:rPr>
          <w:lang w:eastAsia="en-AU"/>
        </w:rPr>
      </w:pPr>
    </w:p>
    <w:p w14:paraId="26FF235B" w14:textId="77777777" w:rsidR="00F0563B" w:rsidRDefault="00F0563B" w:rsidP="00CF276F">
      <w:pPr>
        <w:pStyle w:val="BodyText-nospacebelow"/>
        <w:jc w:val="both"/>
        <w:rPr>
          <w:lang w:eastAsia="en-AU"/>
        </w:rPr>
      </w:pPr>
      <w:r w:rsidRPr="00F0563B">
        <w:rPr>
          <w:lang w:eastAsia="en-AU"/>
        </w:rPr>
        <w:t>The availability of approved providers would ensure that all councils could access high</w:t>
      </w:r>
      <w:r w:rsidRPr="00F0563B">
        <w:rPr>
          <w:lang w:eastAsia="en-AU"/>
        </w:rPr>
        <w:noBreakHyphen/>
        <w:t>quality recruitment services.  Local governments would be required to meet the costs associated with contracting private recruitment specialists but would benefit from a high-quality recruitment process.</w:t>
      </w:r>
    </w:p>
    <w:p w14:paraId="24FC219E" w14:textId="77777777" w:rsidR="006E14F7" w:rsidRPr="00F0563B" w:rsidRDefault="006E14F7" w:rsidP="00CF276F">
      <w:pPr>
        <w:pStyle w:val="BodyText-nospacebelow"/>
        <w:jc w:val="both"/>
        <w:rPr>
          <w:lang w:eastAsia="en-AU"/>
        </w:rPr>
      </w:pPr>
    </w:p>
    <w:p w14:paraId="77A26FC7" w14:textId="77777777" w:rsidR="00F0563B" w:rsidRDefault="004843A6" w:rsidP="00CF276F">
      <w:pPr>
        <w:pStyle w:val="BodyText-nospacebelow"/>
        <w:jc w:val="both"/>
        <w:rPr>
          <w:lang w:eastAsia="en-AU"/>
        </w:rPr>
      </w:pPr>
      <w:r>
        <w:rPr>
          <w:lang w:eastAsia="en-AU"/>
        </w:rPr>
        <w:t>This approach also proposes r</w:t>
      </w:r>
      <w:r w:rsidR="00F0563B" w:rsidRPr="00F0563B">
        <w:rPr>
          <w:lang w:eastAsia="en-AU"/>
        </w:rPr>
        <w:t xml:space="preserve">eforms that require a council to include an experienced panel member from another local government, peak body or public sector agency </w:t>
      </w:r>
      <w:r w:rsidR="00D73B59">
        <w:rPr>
          <w:lang w:eastAsia="en-AU"/>
        </w:rPr>
        <w:t xml:space="preserve">on the selection panel.  This </w:t>
      </w:r>
      <w:r w:rsidR="00F0563B" w:rsidRPr="00F0563B">
        <w:rPr>
          <w:lang w:eastAsia="en-AU"/>
        </w:rPr>
        <w:t xml:space="preserve">could improve the diversity of panels and better equip local governments in making this important decision. </w:t>
      </w:r>
    </w:p>
    <w:p w14:paraId="2DA72D24" w14:textId="77777777" w:rsidR="006E14F7" w:rsidRPr="00F0563B" w:rsidRDefault="006E14F7" w:rsidP="00CF276F">
      <w:pPr>
        <w:pStyle w:val="BodyText-nospacebelow"/>
        <w:jc w:val="both"/>
        <w:rPr>
          <w:lang w:eastAsia="en-AU"/>
        </w:rPr>
      </w:pPr>
    </w:p>
    <w:p w14:paraId="017B7DB2" w14:textId="77777777" w:rsidR="00F0563B" w:rsidRPr="00F0563B" w:rsidRDefault="00F0563B" w:rsidP="00CF276F">
      <w:pPr>
        <w:pStyle w:val="BodyText-nospacebelow"/>
        <w:jc w:val="both"/>
        <w:rPr>
          <w:lang w:eastAsia="en-AU"/>
        </w:rPr>
      </w:pPr>
      <w:r w:rsidRPr="00F0563B">
        <w:rPr>
          <w:lang w:eastAsia="en-AU"/>
        </w:rPr>
        <w:t>Several entities may be suitable to perform the role</w:t>
      </w:r>
      <w:r w:rsidR="00D73B59">
        <w:rPr>
          <w:lang w:eastAsia="en-AU"/>
        </w:rPr>
        <w:t xml:space="preserve"> of accrediting representatives:</w:t>
      </w:r>
      <w:r w:rsidRPr="00F0563B">
        <w:rPr>
          <w:lang w:eastAsia="en-AU"/>
        </w:rPr>
        <w:t xml:space="preserve">  This could include the </w:t>
      </w:r>
      <w:r w:rsidR="007817C6">
        <w:rPr>
          <w:lang w:eastAsia="en-AU"/>
        </w:rPr>
        <w:t>Department</w:t>
      </w:r>
      <w:r w:rsidRPr="00F0563B">
        <w:rPr>
          <w:lang w:eastAsia="en-AU"/>
        </w:rPr>
        <w:t>, the Local Government Advisory Board, or the Public Sector Commission.</w:t>
      </w:r>
    </w:p>
    <w:p w14:paraId="7991D14E" w14:textId="1584D421" w:rsidR="00F0563B" w:rsidRPr="00F0563B" w:rsidRDefault="00F0563B" w:rsidP="00CF276F">
      <w:pPr>
        <w:pStyle w:val="Heading3"/>
        <w:jc w:val="both"/>
        <w:rPr>
          <w:lang w:eastAsia="en-AU"/>
        </w:rPr>
      </w:pPr>
      <w:bookmarkStart w:id="654" w:name="_Toc487553362"/>
      <w:bookmarkStart w:id="655" w:name="_Toc487625889"/>
      <w:bookmarkStart w:id="656" w:name="_Toc487711024"/>
      <w:bookmarkStart w:id="657" w:name="_Toc487727816"/>
      <w:bookmarkStart w:id="658" w:name="_Toc487728187"/>
      <w:bookmarkStart w:id="659" w:name="_Toc491097236"/>
      <w:bookmarkStart w:id="660" w:name="_Toc491097626"/>
      <w:bookmarkStart w:id="661" w:name="_Toc491857081"/>
      <w:bookmarkStart w:id="662" w:name="_Toc491872701"/>
      <w:bookmarkStart w:id="663" w:name="_Toc491873635"/>
      <w:bookmarkStart w:id="664" w:name="_Toc491934264"/>
      <w:bookmarkStart w:id="665" w:name="_Toc492368886"/>
      <w:bookmarkStart w:id="666" w:name="_Toc492386614"/>
      <w:bookmarkStart w:id="667" w:name="_Toc492468856"/>
      <w:bookmarkStart w:id="668" w:name="_Toc492470531"/>
      <w:bookmarkStart w:id="669" w:name="_Toc492471211"/>
      <w:bookmarkStart w:id="670" w:name="_Toc492471336"/>
      <w:bookmarkStart w:id="671" w:name="_Toc493746758"/>
      <w:bookmarkStart w:id="672" w:name="_Toc493768890"/>
      <w:bookmarkStart w:id="673" w:name="_Toc493859960"/>
      <w:bookmarkStart w:id="674" w:name="_Toc495491838"/>
      <w:bookmarkStart w:id="675" w:name="_Toc495497618"/>
      <w:bookmarkStart w:id="676" w:name="_Toc495671465"/>
      <w:bookmarkStart w:id="677" w:name="_Toc495676066"/>
      <w:bookmarkStart w:id="678" w:name="_Toc495678361"/>
      <w:bookmarkStart w:id="679" w:name="_Toc495998359"/>
      <w:bookmarkStart w:id="680" w:name="_Toc497741829"/>
      <w:r w:rsidRPr="00F0563B">
        <w:rPr>
          <w:lang w:eastAsia="en-AU"/>
        </w:rPr>
        <w:t>Option 3</w:t>
      </w:r>
      <w:r w:rsidR="005758AA">
        <w:rPr>
          <w:lang w:eastAsia="en-AU"/>
        </w:rPr>
        <w:t>:</w:t>
      </w:r>
      <w:r w:rsidRPr="00F0563B">
        <w:rPr>
          <w:lang w:eastAsia="en-AU"/>
        </w:rPr>
        <w:t xml:space="preserve"> </w:t>
      </w:r>
      <w:r w:rsidR="00437C58">
        <w:rPr>
          <w:lang w:eastAsia="en-AU"/>
        </w:rPr>
        <w:t>L</w:t>
      </w:r>
      <w:r w:rsidRPr="00F0563B">
        <w:rPr>
          <w:lang w:eastAsia="en-AU"/>
        </w:rPr>
        <w:t>ocal governments</w:t>
      </w:r>
      <w:bookmarkEnd w:id="654"/>
      <w:bookmarkEnd w:id="655"/>
      <w:bookmarkEnd w:id="656"/>
      <w:bookmarkEnd w:id="657"/>
      <w:bookmarkEnd w:id="658"/>
      <w:r w:rsidRPr="00F0563B">
        <w:rPr>
          <w:lang w:eastAsia="en-AU"/>
        </w:rPr>
        <w:t xml:space="preserve"> to </w:t>
      </w:r>
      <w:r w:rsidR="001F7083">
        <w:rPr>
          <w:lang w:eastAsia="en-AU"/>
        </w:rPr>
        <w:t>adopt</w:t>
      </w:r>
      <w:r w:rsidR="001F7083" w:rsidRPr="00F0563B">
        <w:rPr>
          <w:lang w:eastAsia="en-AU"/>
        </w:rPr>
        <w:t xml:space="preserve"> </w:t>
      </w:r>
      <w:r w:rsidRPr="00F0563B">
        <w:rPr>
          <w:lang w:eastAsia="en-AU"/>
        </w:rPr>
        <w:t>a CEO recruitment standard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69593890" w14:textId="77777777" w:rsidR="001F7083" w:rsidRDefault="001F7083" w:rsidP="00CF276F">
      <w:pPr>
        <w:pStyle w:val="BodyText-nospacebelow"/>
        <w:jc w:val="both"/>
        <w:rPr>
          <w:lang w:eastAsia="en-AU"/>
        </w:rPr>
      </w:pPr>
      <w:r w:rsidRPr="00F0563B">
        <w:rPr>
          <w:lang w:eastAsia="en-AU"/>
        </w:rPr>
        <w:t>A</w:t>
      </w:r>
      <w:r>
        <w:rPr>
          <w:lang w:eastAsia="en-AU"/>
        </w:rPr>
        <w:t xml:space="preserve"> CEO recruitment standard could be developed in consultation with the sector.  It could be required that local governments adopt the standard through amendments to the Act, or the sector could be supported in the application of the standards, by the PSC or other relevant third parties.    </w:t>
      </w:r>
    </w:p>
    <w:p w14:paraId="24A22FD6" w14:textId="77777777" w:rsidR="00C06616" w:rsidRPr="00F0563B" w:rsidRDefault="00C06616" w:rsidP="00CF276F">
      <w:pPr>
        <w:pStyle w:val="BodyText-nospacebelow"/>
        <w:jc w:val="both"/>
        <w:rPr>
          <w:lang w:eastAsia="en-AU"/>
        </w:rPr>
      </w:pPr>
    </w:p>
    <w:p w14:paraId="7D11FB5B" w14:textId="6ED40D74" w:rsidR="00F0563B" w:rsidRDefault="00F0563B" w:rsidP="00CF276F">
      <w:pPr>
        <w:pStyle w:val="BodyText-nospacebelow"/>
        <w:jc w:val="both"/>
        <w:rPr>
          <w:lang w:eastAsia="en-AU"/>
        </w:rPr>
      </w:pPr>
      <w:r w:rsidRPr="00F0563B">
        <w:rPr>
          <w:lang w:eastAsia="en-AU"/>
        </w:rPr>
        <w:t xml:space="preserve">The standard </w:t>
      </w:r>
      <w:r w:rsidR="001F7083">
        <w:rPr>
          <w:lang w:eastAsia="en-AU"/>
        </w:rPr>
        <w:t>c</w:t>
      </w:r>
      <w:r w:rsidRPr="00F0563B">
        <w:rPr>
          <w:lang w:eastAsia="en-AU"/>
        </w:rPr>
        <w:t>ould formalise the existing guidance on good practice for CEO recruitment and detail the matters that local governments should have regard to when selecting a CEO</w:t>
      </w:r>
      <w:r w:rsidR="00AB706E">
        <w:rPr>
          <w:lang w:eastAsia="en-AU"/>
        </w:rPr>
        <w:t xml:space="preserve">.  It would set out </w:t>
      </w:r>
      <w:r w:rsidRPr="00F0563B">
        <w:rPr>
          <w:lang w:eastAsia="en-AU"/>
        </w:rPr>
        <w:t>steps or processes th</w:t>
      </w:r>
      <w:r w:rsidR="00AB706E">
        <w:rPr>
          <w:lang w:eastAsia="en-AU"/>
        </w:rPr>
        <w:t>at</w:t>
      </w:r>
      <w:r w:rsidRPr="00F0563B">
        <w:rPr>
          <w:lang w:eastAsia="en-AU"/>
        </w:rPr>
        <w:t xml:space="preserve"> should </w:t>
      </w:r>
      <w:r w:rsidR="00AB706E">
        <w:rPr>
          <w:lang w:eastAsia="en-AU"/>
        </w:rPr>
        <w:t xml:space="preserve">be </w:t>
      </w:r>
      <w:r w:rsidRPr="00F0563B">
        <w:rPr>
          <w:lang w:eastAsia="en-AU"/>
        </w:rPr>
        <w:t>undertake</w:t>
      </w:r>
      <w:r w:rsidR="00AB706E">
        <w:rPr>
          <w:lang w:eastAsia="en-AU"/>
        </w:rPr>
        <w:t>n</w:t>
      </w:r>
      <w:r w:rsidRPr="00F0563B">
        <w:rPr>
          <w:lang w:eastAsia="en-AU"/>
        </w:rPr>
        <w:t>.</w:t>
      </w:r>
    </w:p>
    <w:p w14:paraId="35E4D15D" w14:textId="77777777" w:rsidR="00C06616" w:rsidRPr="00F0563B" w:rsidRDefault="00C06616" w:rsidP="00CF276F">
      <w:pPr>
        <w:pStyle w:val="BodyText-nospacebelow"/>
        <w:jc w:val="both"/>
        <w:rPr>
          <w:lang w:eastAsia="en-AU"/>
        </w:rPr>
      </w:pPr>
    </w:p>
    <w:p w14:paraId="2640A7A4" w14:textId="58151D11" w:rsidR="00F0563B" w:rsidRPr="00F0563B" w:rsidRDefault="00F0563B" w:rsidP="00CF276F">
      <w:pPr>
        <w:pStyle w:val="BodyText-nospacebelow"/>
        <w:jc w:val="both"/>
        <w:rPr>
          <w:lang w:eastAsia="en-AU"/>
        </w:rPr>
      </w:pPr>
      <w:r w:rsidRPr="00F0563B">
        <w:rPr>
          <w:lang w:eastAsia="en-AU"/>
        </w:rPr>
        <w:t xml:space="preserve">The standard </w:t>
      </w:r>
      <w:r w:rsidR="00E9673B">
        <w:rPr>
          <w:lang w:eastAsia="en-AU"/>
        </w:rPr>
        <w:t>c</w:t>
      </w:r>
      <w:r w:rsidRPr="00F0563B">
        <w:rPr>
          <w:lang w:eastAsia="en-AU"/>
        </w:rPr>
        <w:t xml:space="preserve">ould draw on best practice guidance published by the Public Sector Commission and describe the characteristics and attributes that a CEO should possess </w:t>
      </w:r>
      <w:r w:rsidR="00AB706E">
        <w:rPr>
          <w:lang w:eastAsia="en-AU"/>
        </w:rPr>
        <w:t>together with</w:t>
      </w:r>
      <w:r w:rsidRPr="00F0563B">
        <w:rPr>
          <w:lang w:eastAsia="en-AU"/>
        </w:rPr>
        <w:t xml:space="preserve"> desirable experience, competencies and qualifications. </w:t>
      </w:r>
    </w:p>
    <w:p w14:paraId="196C03AA" w14:textId="64E0A42B" w:rsidR="00F0563B" w:rsidRPr="00F0563B" w:rsidRDefault="00F0563B" w:rsidP="00CF276F">
      <w:pPr>
        <w:pStyle w:val="Heading3"/>
        <w:jc w:val="both"/>
        <w:rPr>
          <w:lang w:eastAsia="en-AU"/>
        </w:rPr>
      </w:pPr>
      <w:bookmarkStart w:id="681" w:name="_Toc487553364"/>
      <w:bookmarkStart w:id="682" w:name="_Toc487625891"/>
      <w:bookmarkStart w:id="683" w:name="_Toc487711026"/>
      <w:bookmarkStart w:id="684" w:name="_Toc487727818"/>
      <w:bookmarkStart w:id="685" w:name="_Toc487728189"/>
      <w:bookmarkStart w:id="686" w:name="_Toc491097237"/>
      <w:bookmarkStart w:id="687" w:name="_Toc491097627"/>
      <w:bookmarkStart w:id="688" w:name="_Toc491857082"/>
      <w:bookmarkStart w:id="689" w:name="_Toc491872702"/>
      <w:bookmarkStart w:id="690" w:name="_Toc491873636"/>
      <w:bookmarkStart w:id="691" w:name="_Toc491934265"/>
      <w:bookmarkStart w:id="692" w:name="_Toc492368887"/>
      <w:bookmarkStart w:id="693" w:name="_Toc492386615"/>
      <w:bookmarkStart w:id="694" w:name="_Toc492468857"/>
      <w:bookmarkStart w:id="695" w:name="_Toc492470532"/>
      <w:bookmarkStart w:id="696" w:name="_Toc492471212"/>
      <w:bookmarkStart w:id="697" w:name="_Toc492471337"/>
      <w:bookmarkStart w:id="698" w:name="_Toc493746759"/>
      <w:bookmarkStart w:id="699" w:name="_Toc493768891"/>
      <w:bookmarkStart w:id="700" w:name="_Toc493859961"/>
      <w:bookmarkStart w:id="701" w:name="_Toc495491839"/>
      <w:bookmarkStart w:id="702" w:name="_Toc495497619"/>
      <w:bookmarkStart w:id="703" w:name="_Toc495671466"/>
      <w:bookmarkStart w:id="704" w:name="_Toc495676067"/>
      <w:bookmarkStart w:id="705" w:name="_Toc495678362"/>
      <w:bookmarkStart w:id="706" w:name="_Toc495998360"/>
      <w:bookmarkStart w:id="707" w:name="_Toc497741830"/>
      <w:r w:rsidRPr="00F0563B">
        <w:rPr>
          <w:lang w:eastAsia="en-AU"/>
        </w:rPr>
        <w:lastRenderedPageBreak/>
        <w:t>Option 4</w:t>
      </w:r>
      <w:r w:rsidR="005758AA">
        <w:rPr>
          <w:lang w:eastAsia="en-AU"/>
        </w:rPr>
        <w:t>:</w:t>
      </w:r>
      <w:r w:rsidRPr="00F0563B">
        <w:rPr>
          <w:lang w:eastAsia="en-AU"/>
        </w:rPr>
        <w:t xml:space="preserve"> </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sidR="00363178">
        <w:rPr>
          <w:lang w:eastAsia="en-AU"/>
        </w:rPr>
        <w:t>Status Quo</w:t>
      </w:r>
      <w:bookmarkEnd w:id="703"/>
      <w:bookmarkEnd w:id="704"/>
      <w:bookmarkEnd w:id="705"/>
      <w:bookmarkEnd w:id="706"/>
      <w:bookmarkEnd w:id="707"/>
    </w:p>
    <w:p w14:paraId="5FD5565D" w14:textId="1A984032" w:rsidR="00F0563B" w:rsidRPr="00F0563B" w:rsidRDefault="00F0563B" w:rsidP="00CF276F">
      <w:pPr>
        <w:pStyle w:val="BodyText-nospacebelow"/>
        <w:jc w:val="both"/>
        <w:rPr>
          <w:lang w:eastAsia="en-AU"/>
        </w:rPr>
      </w:pPr>
      <w:r w:rsidRPr="00F0563B">
        <w:rPr>
          <w:lang w:eastAsia="en-AU"/>
        </w:rPr>
        <w:t xml:space="preserve">A council’s autonomy in selecting a CEO is a fundamental element of the current Act.  Reforms to the way CEOs are selected </w:t>
      </w:r>
      <w:r w:rsidR="00F47367">
        <w:rPr>
          <w:lang w:eastAsia="en-AU"/>
        </w:rPr>
        <w:t xml:space="preserve">may </w:t>
      </w:r>
      <w:r w:rsidRPr="00F0563B">
        <w:rPr>
          <w:lang w:eastAsia="en-AU"/>
        </w:rPr>
        <w:t xml:space="preserve">be seen as a restriction on the autonomy of local governments.  Most CEOs employed in the sector are highly competent and manage their local governments effectively.  In addition, it can be argued that local government CEO positions are unique and </w:t>
      </w:r>
      <w:r w:rsidR="00246B9A">
        <w:rPr>
          <w:lang w:eastAsia="en-AU"/>
        </w:rPr>
        <w:t>elected member</w:t>
      </w:r>
      <w:r w:rsidRPr="00F0563B">
        <w:rPr>
          <w:lang w:eastAsia="en-AU"/>
        </w:rPr>
        <w:t>s, who must work closely with their CEO, are best positioned to select a candidate.</w:t>
      </w:r>
      <w:r w:rsidR="00F47367">
        <w:rPr>
          <w:lang w:eastAsia="en-AU"/>
        </w:rPr>
        <w:t xml:space="preserve">  This does not, however, address any lack of skills or experience in the </w:t>
      </w:r>
      <w:r w:rsidR="00246B9A">
        <w:rPr>
          <w:lang w:eastAsia="en-AU"/>
        </w:rPr>
        <w:t>elected member</w:t>
      </w:r>
      <w:r w:rsidR="00F47367">
        <w:rPr>
          <w:lang w:eastAsia="en-AU"/>
        </w:rPr>
        <w:t>s who are undertaking the selection process.</w:t>
      </w:r>
    </w:p>
    <w:p w14:paraId="5AFB8586" w14:textId="77777777" w:rsidR="00543572" w:rsidRDefault="00543572" w:rsidP="00F0563B">
      <w:pPr>
        <w:rPr>
          <w:lang w:eastAsia="en-AU"/>
        </w:rPr>
      </w:pPr>
    </w:p>
    <w:p w14:paraId="7DD36442" w14:textId="77777777" w:rsidR="00CF276F" w:rsidRDefault="00CF276F">
      <w:pPr>
        <w:rPr>
          <w:b/>
          <w:bCs/>
          <w:iCs/>
          <w:sz w:val="28"/>
        </w:rPr>
      </w:pPr>
      <w:r>
        <w:rPr>
          <w:b/>
          <w:sz w:val="28"/>
        </w:rPr>
        <w:br w:type="page"/>
      </w:r>
    </w:p>
    <w:p w14:paraId="7E3E41D7" w14:textId="5F73CE3C" w:rsidR="006C0BDE" w:rsidRDefault="006C0BDE" w:rsidP="006C0BDE">
      <w:pPr>
        <w:pStyle w:val="IntenseQuote"/>
        <w:rPr>
          <w:b/>
          <w:sz w:val="28"/>
        </w:rPr>
      </w:pPr>
      <w:r>
        <w:rPr>
          <w:b/>
          <w:sz w:val="28"/>
        </w:rPr>
        <w:lastRenderedPageBreak/>
        <w:t xml:space="preserve">Recruitment </w:t>
      </w:r>
      <w:r w:rsidR="00635A74">
        <w:rPr>
          <w:b/>
          <w:sz w:val="28"/>
        </w:rPr>
        <w:t xml:space="preserve">and selection of local government </w:t>
      </w:r>
      <w:r>
        <w:rPr>
          <w:b/>
          <w:sz w:val="28"/>
        </w:rPr>
        <w:t>CEOs: Guidance questions</w:t>
      </w:r>
    </w:p>
    <w:p w14:paraId="3570BEFB" w14:textId="41F1D3AA" w:rsidR="00854FD6" w:rsidRDefault="00636D82" w:rsidP="00DB759E">
      <w:pPr>
        <w:pStyle w:val="BodyText2-nospacebelow"/>
        <w:numPr>
          <w:ilvl w:val="0"/>
          <w:numId w:val="19"/>
        </w:numPr>
        <w:spacing w:after="120"/>
      </w:pPr>
      <w:r>
        <w:t>Would</w:t>
      </w:r>
      <w:r w:rsidR="00854FD6">
        <w:t xml:space="preserve"> councils </w:t>
      </w:r>
      <w:r>
        <w:t>benefit from</w:t>
      </w:r>
      <w:r w:rsidR="00854FD6">
        <w:t xml:space="preserve"> assistance with CEO recruitment and selection?  Why?</w:t>
      </w:r>
    </w:p>
    <w:p w14:paraId="415B6FFC" w14:textId="77777777" w:rsidR="005A2827" w:rsidRDefault="00854FD6" w:rsidP="00DB759E">
      <w:pPr>
        <w:pStyle w:val="BodyText2-nospacebelow"/>
        <w:numPr>
          <w:ilvl w:val="0"/>
          <w:numId w:val="19"/>
        </w:numPr>
        <w:spacing w:after="120"/>
      </w:pPr>
      <w:r>
        <w:t>How c</w:t>
      </w:r>
      <w:r w:rsidR="005A2827">
        <w:t xml:space="preserve">ould </w:t>
      </w:r>
      <w:r>
        <w:t xml:space="preserve">the recruitment and selection of </w:t>
      </w:r>
      <w:r w:rsidR="005A2827">
        <w:t xml:space="preserve">local government CEOs be </w:t>
      </w:r>
      <w:r>
        <w:t>improved</w:t>
      </w:r>
      <w:r w:rsidR="005A2827">
        <w:t>?</w:t>
      </w:r>
    </w:p>
    <w:p w14:paraId="6BE3F75A" w14:textId="77777777" w:rsidR="005A2827" w:rsidRDefault="005A2827" w:rsidP="00DB759E">
      <w:pPr>
        <w:pStyle w:val="BodyText2-nospacebelow"/>
        <w:numPr>
          <w:ilvl w:val="0"/>
          <w:numId w:val="19"/>
        </w:numPr>
        <w:spacing w:after="120"/>
      </w:pPr>
      <w:r>
        <w:t>Should the Public Sector Commission be involved in CEO recruitment and selection? If so, how?</w:t>
      </w:r>
    </w:p>
    <w:p w14:paraId="23952B9D" w14:textId="77777777" w:rsidR="005A2827" w:rsidRDefault="005A2827" w:rsidP="00DB759E">
      <w:pPr>
        <w:pStyle w:val="BodyText2-nospacebelow"/>
        <w:numPr>
          <w:ilvl w:val="0"/>
          <w:numId w:val="19"/>
        </w:numPr>
        <w:spacing w:after="120"/>
      </w:pPr>
      <w:r>
        <w:t>Should other experts be involved in CEO recruitment and selection? If so, who and how?</w:t>
      </w:r>
    </w:p>
    <w:p w14:paraId="2CB6D983" w14:textId="77777777" w:rsidR="005A2827" w:rsidRPr="00AB726B" w:rsidRDefault="005A2827" w:rsidP="00DB759E">
      <w:pPr>
        <w:pStyle w:val="BodyText2-nospacebelow"/>
        <w:numPr>
          <w:ilvl w:val="0"/>
          <w:numId w:val="19"/>
        </w:numPr>
      </w:pPr>
      <w:r>
        <w:t>What competencies, attributes and qualifications should a CEO have?</w:t>
      </w:r>
    </w:p>
    <w:p w14:paraId="7DC34842" w14:textId="77777777" w:rsidR="00F0563B" w:rsidRDefault="00F0563B" w:rsidP="00F0563B">
      <w:pPr>
        <w:rPr>
          <w:lang w:eastAsia="en-AU"/>
        </w:rPr>
      </w:pPr>
    </w:p>
    <w:p w14:paraId="47B80BBB" w14:textId="6A715DAE" w:rsidR="005A2827" w:rsidRPr="005A2827" w:rsidRDefault="005A2827" w:rsidP="003A1777">
      <w:pPr>
        <w:pStyle w:val="Heading2"/>
        <w:numPr>
          <w:ilvl w:val="1"/>
          <w:numId w:val="86"/>
        </w:numPr>
      </w:pPr>
      <w:bookmarkStart w:id="708" w:name="_Toc491097239"/>
      <w:bookmarkStart w:id="709" w:name="_Toc491097629"/>
      <w:bookmarkStart w:id="710" w:name="_Toc491857084"/>
      <w:bookmarkStart w:id="711" w:name="_Toc491872704"/>
      <w:bookmarkStart w:id="712" w:name="_Toc491873638"/>
      <w:bookmarkStart w:id="713" w:name="_Toc491934267"/>
      <w:bookmarkStart w:id="714" w:name="_Toc492368889"/>
      <w:bookmarkStart w:id="715" w:name="_Toc492386617"/>
      <w:bookmarkStart w:id="716" w:name="_Toc492468859"/>
      <w:bookmarkStart w:id="717" w:name="_Toc492470534"/>
      <w:bookmarkStart w:id="718" w:name="_Toc492471214"/>
      <w:bookmarkStart w:id="719" w:name="_Toc492471339"/>
      <w:bookmarkStart w:id="720" w:name="_Toc493746760"/>
      <w:bookmarkStart w:id="721" w:name="_Toc493768892"/>
      <w:bookmarkStart w:id="722" w:name="_Toc493859962"/>
      <w:bookmarkStart w:id="723" w:name="_Toc495491840"/>
      <w:bookmarkStart w:id="724" w:name="_Toc495497620"/>
      <w:bookmarkStart w:id="725" w:name="_Toc495671467"/>
      <w:bookmarkStart w:id="726" w:name="_Toc495676068"/>
      <w:bookmarkStart w:id="727" w:name="_Toc495678363"/>
      <w:bookmarkStart w:id="728" w:name="_Toc495998361"/>
      <w:bookmarkStart w:id="729" w:name="_Toc497741831"/>
      <w:r w:rsidRPr="005A2827">
        <w:t>Acting C</w:t>
      </w:r>
      <w:r w:rsidR="00DE36D0">
        <w:t>hief Executive Officers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14:paraId="7AA6D33B" w14:textId="77777777" w:rsidR="005A2827" w:rsidRDefault="005A2827" w:rsidP="00CF276F">
      <w:pPr>
        <w:pStyle w:val="BodyText-nospacebelow"/>
        <w:jc w:val="both"/>
        <w:rPr>
          <w:lang w:eastAsia="en-AU"/>
        </w:rPr>
      </w:pPr>
      <w:r w:rsidRPr="005A2827">
        <w:rPr>
          <w:lang w:eastAsia="en-AU"/>
        </w:rPr>
        <w:t>From time to time due to the absence of the CEO it is necessary for the local government to appoint an acting CEO.  Absences can be temporary, when the CEO is on leave or temporarily absent for other reasons; or permanent, when the CEO has resigned, died or when the CEO’s employment has been terminated.</w:t>
      </w:r>
    </w:p>
    <w:p w14:paraId="6D027784" w14:textId="77777777" w:rsidR="005A2827" w:rsidRPr="005A2827" w:rsidRDefault="005A2827" w:rsidP="00CF276F">
      <w:pPr>
        <w:pStyle w:val="BodyText-nospacebelow"/>
        <w:jc w:val="both"/>
        <w:rPr>
          <w:lang w:eastAsia="en-AU"/>
        </w:rPr>
      </w:pPr>
    </w:p>
    <w:p w14:paraId="12AFF12D" w14:textId="77777777" w:rsidR="005A2827" w:rsidRDefault="00543572" w:rsidP="00CF276F">
      <w:pPr>
        <w:pStyle w:val="BodyText-nospacebelow"/>
        <w:jc w:val="both"/>
        <w:rPr>
          <w:lang w:eastAsia="en-AU"/>
        </w:rPr>
      </w:pPr>
      <w:r>
        <w:rPr>
          <w:lang w:eastAsia="en-AU"/>
        </w:rPr>
        <w:t>T</w:t>
      </w:r>
      <w:r w:rsidR="005A2827" w:rsidRPr="005A2827">
        <w:rPr>
          <w:lang w:eastAsia="en-AU"/>
        </w:rPr>
        <w:t>he Act states that an employee may act in the position of the CEO or senior employee for a term not exceeding one year without a written contract.</w:t>
      </w:r>
      <w:r>
        <w:rPr>
          <w:rStyle w:val="FootnoteReference"/>
          <w:lang w:eastAsia="en-AU"/>
        </w:rPr>
        <w:footnoteReference w:id="16"/>
      </w:r>
      <w:r w:rsidR="005A2827" w:rsidRPr="005A2827">
        <w:rPr>
          <w:lang w:eastAsia="en-AU"/>
        </w:rPr>
        <w:t xml:space="preserve">  </w:t>
      </w:r>
      <w:r w:rsidR="00BA55D7">
        <w:rPr>
          <w:lang w:eastAsia="en-AU"/>
        </w:rPr>
        <w:t>T</w:t>
      </w:r>
      <w:r w:rsidR="005A2827" w:rsidRPr="005A2827">
        <w:rPr>
          <w:lang w:eastAsia="en-AU"/>
        </w:rPr>
        <w:t xml:space="preserve">he Act is silent as to who has the responsibility </w:t>
      </w:r>
      <w:r w:rsidR="00BA55D7">
        <w:rPr>
          <w:lang w:eastAsia="en-AU"/>
        </w:rPr>
        <w:t>for</w:t>
      </w:r>
      <w:r w:rsidR="005A2827" w:rsidRPr="005A2827">
        <w:rPr>
          <w:lang w:eastAsia="en-AU"/>
        </w:rPr>
        <w:t xml:space="preserve"> appointing the acting CEO.</w:t>
      </w:r>
    </w:p>
    <w:p w14:paraId="02C40652" w14:textId="77777777" w:rsidR="005A2827" w:rsidRPr="005A2827" w:rsidRDefault="005A2827" w:rsidP="00CF276F">
      <w:pPr>
        <w:pStyle w:val="BodyText-nospacebelow"/>
        <w:jc w:val="both"/>
        <w:rPr>
          <w:lang w:eastAsia="en-AU"/>
        </w:rPr>
      </w:pPr>
    </w:p>
    <w:p w14:paraId="35332965" w14:textId="77777777" w:rsidR="005A2827" w:rsidRDefault="005A2827" w:rsidP="00CF276F">
      <w:pPr>
        <w:pStyle w:val="BodyText-nospacebelow"/>
        <w:jc w:val="both"/>
        <w:rPr>
          <w:lang w:eastAsia="en-AU"/>
        </w:rPr>
      </w:pPr>
      <w:r w:rsidRPr="005A2827">
        <w:rPr>
          <w:lang w:eastAsia="en-AU"/>
        </w:rPr>
        <w:t xml:space="preserve">Competing arguments exist </w:t>
      </w:r>
      <w:r w:rsidR="00BA55D7">
        <w:rPr>
          <w:lang w:eastAsia="en-AU"/>
        </w:rPr>
        <w:t xml:space="preserve">as to </w:t>
      </w:r>
      <w:r w:rsidRPr="005A2827">
        <w:rPr>
          <w:lang w:eastAsia="en-AU"/>
        </w:rPr>
        <w:t xml:space="preserve">whether the appointment of an acting CEO should be the responsibility of the CEO, council, or council in conjunction with the CEO. </w:t>
      </w:r>
      <w:r w:rsidR="00BA55D7">
        <w:rPr>
          <w:lang w:eastAsia="en-AU"/>
        </w:rPr>
        <w:t xml:space="preserve"> </w:t>
      </w:r>
      <w:r w:rsidRPr="005A2827">
        <w:rPr>
          <w:lang w:eastAsia="en-AU"/>
        </w:rPr>
        <w:t xml:space="preserve">It can also be argued that there is a difference between the appointment of an </w:t>
      </w:r>
      <w:r w:rsidR="00BA55D7">
        <w:rPr>
          <w:lang w:eastAsia="en-AU"/>
        </w:rPr>
        <w:t>a</w:t>
      </w:r>
      <w:r w:rsidRPr="005A2827">
        <w:rPr>
          <w:lang w:eastAsia="en-AU"/>
        </w:rPr>
        <w:t>cting CEO for a temporary absence and a situation where the appointed CEO will not be returning to the position.</w:t>
      </w:r>
    </w:p>
    <w:p w14:paraId="06C7C49D" w14:textId="77777777" w:rsidR="005A2827" w:rsidRPr="005A2827" w:rsidRDefault="005A2827" w:rsidP="00CF276F">
      <w:pPr>
        <w:pStyle w:val="BodyText-nospacebelow"/>
        <w:jc w:val="both"/>
        <w:rPr>
          <w:lang w:eastAsia="en-AU"/>
        </w:rPr>
      </w:pPr>
    </w:p>
    <w:p w14:paraId="38CE7900" w14:textId="77777777" w:rsidR="005A2827" w:rsidRDefault="005A2827" w:rsidP="00CF276F">
      <w:pPr>
        <w:pStyle w:val="BodyText-nospacebelow"/>
        <w:jc w:val="both"/>
        <w:rPr>
          <w:lang w:eastAsia="en-AU"/>
        </w:rPr>
      </w:pPr>
      <w:r w:rsidRPr="005A2827">
        <w:rPr>
          <w:lang w:eastAsia="en-AU"/>
        </w:rPr>
        <w:t>The process for appointing an acting CEO is usually set out in council policy.  In the absence of such a policy, this matter can cause confusion, especially if the CEO is absent unexpectedly.</w:t>
      </w:r>
    </w:p>
    <w:p w14:paraId="6404D727" w14:textId="77777777" w:rsidR="005A2827" w:rsidRPr="005A2827" w:rsidRDefault="005A2827" w:rsidP="005A2827">
      <w:pPr>
        <w:pStyle w:val="Heading2"/>
      </w:pPr>
      <w:bookmarkStart w:id="730" w:name="_Toc491097240"/>
      <w:bookmarkStart w:id="731" w:name="_Toc491097630"/>
      <w:bookmarkStart w:id="732" w:name="_Toc491857085"/>
      <w:bookmarkStart w:id="733" w:name="_Toc491872705"/>
      <w:bookmarkStart w:id="734" w:name="_Toc491873639"/>
      <w:bookmarkStart w:id="735" w:name="_Toc491934268"/>
      <w:bookmarkStart w:id="736" w:name="_Toc492368890"/>
      <w:bookmarkStart w:id="737" w:name="_Toc492386618"/>
      <w:bookmarkStart w:id="738" w:name="_Toc492468860"/>
      <w:bookmarkStart w:id="739" w:name="_Toc492470535"/>
      <w:bookmarkStart w:id="740" w:name="_Toc492471215"/>
      <w:bookmarkStart w:id="741" w:name="_Toc492471340"/>
      <w:bookmarkStart w:id="742" w:name="_Toc493746761"/>
      <w:bookmarkStart w:id="743" w:name="_Toc493768893"/>
      <w:bookmarkStart w:id="744" w:name="_Toc493859963"/>
      <w:bookmarkStart w:id="745" w:name="_Toc495491841"/>
      <w:bookmarkStart w:id="746" w:name="_Toc495497621"/>
      <w:bookmarkStart w:id="747" w:name="_Toc495671468"/>
      <w:bookmarkStart w:id="748" w:name="_Toc495676069"/>
      <w:bookmarkStart w:id="749" w:name="_Toc495678364"/>
      <w:bookmarkStart w:id="750" w:name="_Toc495998362"/>
      <w:bookmarkStart w:id="751" w:name="_Toc497741832"/>
      <w:r w:rsidRPr="005A2827">
        <w:lastRenderedPageBreak/>
        <w:t>Across Australia</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tbl>
      <w:tblPr>
        <w:tblStyle w:val="DLGCTable-Data"/>
        <w:tblW w:w="8931" w:type="dxa"/>
        <w:tblLayout w:type="fixed"/>
        <w:tblLook w:val="04A0" w:firstRow="1" w:lastRow="0" w:firstColumn="1" w:lastColumn="0" w:noHBand="0" w:noVBand="1"/>
      </w:tblPr>
      <w:tblGrid>
        <w:gridCol w:w="1980"/>
        <w:gridCol w:w="6951"/>
      </w:tblGrid>
      <w:tr w:rsidR="005A2827" w:rsidRPr="005A2827" w14:paraId="0929044F" w14:textId="77777777" w:rsidTr="00A7265E">
        <w:trPr>
          <w:cnfStyle w:val="100000000000" w:firstRow="1" w:lastRow="0" w:firstColumn="0" w:lastColumn="0" w:oddVBand="0" w:evenVBand="0" w:oddHBand="0" w:evenHBand="0" w:firstRowFirstColumn="0" w:firstRowLastColumn="0" w:lastRowFirstColumn="0" w:lastRowLastColumn="0"/>
          <w:trHeight w:val="520"/>
        </w:trPr>
        <w:tc>
          <w:tcPr>
            <w:tcW w:w="1980" w:type="dxa"/>
          </w:tcPr>
          <w:p w14:paraId="28BEF16D" w14:textId="77777777" w:rsidR="005A2827" w:rsidRPr="005A2827" w:rsidRDefault="005A2827" w:rsidP="005A2827">
            <w:pPr>
              <w:rPr>
                <w:lang w:eastAsia="en-AU"/>
              </w:rPr>
            </w:pPr>
            <w:r w:rsidRPr="005A2827">
              <w:rPr>
                <w:lang w:eastAsia="en-AU"/>
              </w:rPr>
              <w:t>Jurisdiction</w:t>
            </w:r>
          </w:p>
        </w:tc>
        <w:tc>
          <w:tcPr>
            <w:tcW w:w="6951" w:type="dxa"/>
          </w:tcPr>
          <w:p w14:paraId="4040988C" w14:textId="77777777" w:rsidR="005A2827" w:rsidRPr="005A2827" w:rsidRDefault="005A2827" w:rsidP="005A2827">
            <w:pPr>
              <w:rPr>
                <w:lang w:eastAsia="en-AU"/>
              </w:rPr>
            </w:pPr>
            <w:r w:rsidRPr="005A2827">
              <w:rPr>
                <w:lang w:eastAsia="en-AU"/>
              </w:rPr>
              <w:t>Provisions</w:t>
            </w:r>
          </w:p>
        </w:tc>
      </w:tr>
      <w:tr w:rsidR="005A2827" w:rsidRPr="005A2827" w14:paraId="000C3C64" w14:textId="77777777" w:rsidTr="00C17C15">
        <w:trPr>
          <w:trHeight w:val="481"/>
        </w:trPr>
        <w:tc>
          <w:tcPr>
            <w:tcW w:w="1980" w:type="dxa"/>
          </w:tcPr>
          <w:p w14:paraId="05970F30" w14:textId="77777777" w:rsidR="005A2827" w:rsidRPr="005A2827" w:rsidRDefault="00332EB0" w:rsidP="00332EB0">
            <w:pPr>
              <w:rPr>
                <w:lang w:eastAsia="en-AU"/>
              </w:rPr>
            </w:pPr>
            <w:r>
              <w:rPr>
                <w:lang w:eastAsia="en-AU"/>
              </w:rPr>
              <w:t>New South Wales</w:t>
            </w:r>
          </w:p>
        </w:tc>
        <w:tc>
          <w:tcPr>
            <w:tcW w:w="6951" w:type="dxa"/>
          </w:tcPr>
          <w:p w14:paraId="0F2E58AA" w14:textId="77777777" w:rsidR="005A2827" w:rsidRPr="005A2827" w:rsidRDefault="005A2827" w:rsidP="005A2827">
            <w:pPr>
              <w:rPr>
                <w:lang w:eastAsia="en-AU"/>
              </w:rPr>
            </w:pPr>
            <w:r w:rsidRPr="005A2827">
              <w:rPr>
                <w:lang w:eastAsia="en-AU"/>
              </w:rPr>
              <w:t>Appointed by council, although legislation is silent on temporary vacancies for short term absences.</w:t>
            </w:r>
          </w:p>
        </w:tc>
      </w:tr>
      <w:tr w:rsidR="005A2827" w:rsidRPr="005A2827" w14:paraId="4F11B237" w14:textId="77777777" w:rsidTr="00C17C15">
        <w:trPr>
          <w:trHeight w:val="481"/>
        </w:trPr>
        <w:tc>
          <w:tcPr>
            <w:tcW w:w="1980" w:type="dxa"/>
          </w:tcPr>
          <w:p w14:paraId="70757881" w14:textId="77777777" w:rsidR="005A2827" w:rsidRPr="005A2827" w:rsidRDefault="00332EB0" w:rsidP="005A2827">
            <w:pPr>
              <w:rPr>
                <w:lang w:eastAsia="en-AU"/>
              </w:rPr>
            </w:pPr>
            <w:r>
              <w:rPr>
                <w:lang w:eastAsia="en-AU"/>
              </w:rPr>
              <w:t>Victoria</w:t>
            </w:r>
          </w:p>
        </w:tc>
        <w:tc>
          <w:tcPr>
            <w:tcW w:w="6951" w:type="dxa"/>
          </w:tcPr>
          <w:p w14:paraId="659CE533" w14:textId="77777777" w:rsidR="005A2827" w:rsidRPr="005A2827" w:rsidRDefault="005A2827" w:rsidP="005A2827">
            <w:pPr>
              <w:rPr>
                <w:lang w:eastAsia="en-AU"/>
              </w:rPr>
            </w:pPr>
            <w:r w:rsidRPr="005A2827">
              <w:rPr>
                <w:lang w:eastAsia="en-AU"/>
              </w:rPr>
              <w:t>Nil</w:t>
            </w:r>
          </w:p>
        </w:tc>
      </w:tr>
      <w:tr w:rsidR="005A2827" w:rsidRPr="005A2827" w14:paraId="22550038" w14:textId="77777777" w:rsidTr="00C17C15">
        <w:trPr>
          <w:trHeight w:val="481"/>
        </w:trPr>
        <w:tc>
          <w:tcPr>
            <w:tcW w:w="1980" w:type="dxa"/>
          </w:tcPr>
          <w:p w14:paraId="74EEB5E7" w14:textId="77777777" w:rsidR="005A2827" w:rsidRPr="005A2827" w:rsidRDefault="00332EB0" w:rsidP="005A2827">
            <w:pPr>
              <w:rPr>
                <w:lang w:eastAsia="en-AU"/>
              </w:rPr>
            </w:pPr>
            <w:r>
              <w:rPr>
                <w:lang w:eastAsia="en-AU"/>
              </w:rPr>
              <w:t>Queensland</w:t>
            </w:r>
          </w:p>
        </w:tc>
        <w:tc>
          <w:tcPr>
            <w:tcW w:w="6951" w:type="dxa"/>
          </w:tcPr>
          <w:p w14:paraId="04C55B87" w14:textId="77777777" w:rsidR="005A2827" w:rsidRPr="005A2827" w:rsidRDefault="005A2827" w:rsidP="005A2827">
            <w:pPr>
              <w:rPr>
                <w:lang w:eastAsia="en-AU"/>
              </w:rPr>
            </w:pPr>
            <w:r w:rsidRPr="005A2827">
              <w:rPr>
                <w:lang w:eastAsia="en-AU"/>
              </w:rPr>
              <w:t>The council appoints a qualified person to act in the absence of the CEO.</w:t>
            </w:r>
          </w:p>
        </w:tc>
      </w:tr>
      <w:tr w:rsidR="005A2827" w:rsidRPr="005A2827" w14:paraId="0F405E80" w14:textId="77777777" w:rsidTr="00C17C15">
        <w:trPr>
          <w:trHeight w:val="481"/>
        </w:trPr>
        <w:tc>
          <w:tcPr>
            <w:tcW w:w="1980" w:type="dxa"/>
          </w:tcPr>
          <w:p w14:paraId="31F62455" w14:textId="77777777" w:rsidR="005A2827" w:rsidRPr="005A2827" w:rsidRDefault="00332EB0" w:rsidP="005A2827">
            <w:pPr>
              <w:rPr>
                <w:lang w:eastAsia="en-AU"/>
              </w:rPr>
            </w:pPr>
            <w:r>
              <w:rPr>
                <w:lang w:eastAsia="en-AU"/>
              </w:rPr>
              <w:t>South Australia</w:t>
            </w:r>
          </w:p>
        </w:tc>
        <w:tc>
          <w:tcPr>
            <w:tcW w:w="6951" w:type="dxa"/>
          </w:tcPr>
          <w:p w14:paraId="4ADCAF5D" w14:textId="77777777" w:rsidR="005A2827" w:rsidRPr="005A2827" w:rsidRDefault="005A2827" w:rsidP="005A2827">
            <w:pPr>
              <w:rPr>
                <w:lang w:eastAsia="en-AU"/>
              </w:rPr>
            </w:pPr>
            <w:r w:rsidRPr="005A2827">
              <w:rPr>
                <w:lang w:eastAsia="en-AU"/>
              </w:rPr>
              <w:t xml:space="preserve">If the CEO is absent and there is a </w:t>
            </w:r>
            <w:r w:rsidR="00BA55D7">
              <w:rPr>
                <w:lang w:eastAsia="en-AU"/>
              </w:rPr>
              <w:t>d</w:t>
            </w:r>
            <w:r w:rsidRPr="005A2827">
              <w:rPr>
                <w:lang w:eastAsia="en-AU"/>
              </w:rPr>
              <w:t xml:space="preserve">eputy, the </w:t>
            </w:r>
            <w:r w:rsidR="00BA55D7">
              <w:rPr>
                <w:lang w:eastAsia="en-AU"/>
              </w:rPr>
              <w:t>d</w:t>
            </w:r>
            <w:r w:rsidRPr="005A2827">
              <w:rPr>
                <w:lang w:eastAsia="en-AU"/>
              </w:rPr>
              <w:t>eputy acts as the CEO. If not, the acting CEO is appointed by council.</w:t>
            </w:r>
          </w:p>
        </w:tc>
      </w:tr>
      <w:tr w:rsidR="005A2827" w:rsidRPr="005A2827" w14:paraId="151FDFCC" w14:textId="77777777" w:rsidTr="00C17C15">
        <w:trPr>
          <w:trHeight w:val="481"/>
        </w:trPr>
        <w:tc>
          <w:tcPr>
            <w:tcW w:w="1980" w:type="dxa"/>
          </w:tcPr>
          <w:p w14:paraId="33761491" w14:textId="77777777" w:rsidR="005A2827" w:rsidRPr="005A2827" w:rsidRDefault="00332EB0" w:rsidP="009579A1">
            <w:pPr>
              <w:rPr>
                <w:lang w:eastAsia="en-AU"/>
              </w:rPr>
            </w:pPr>
            <w:r>
              <w:rPr>
                <w:lang w:eastAsia="en-AU"/>
              </w:rPr>
              <w:t>Tasmania</w:t>
            </w:r>
          </w:p>
        </w:tc>
        <w:tc>
          <w:tcPr>
            <w:tcW w:w="6951" w:type="dxa"/>
          </w:tcPr>
          <w:p w14:paraId="53FFBDC4" w14:textId="26DF4E4C" w:rsidR="005A2827" w:rsidRPr="005A2827" w:rsidRDefault="005A2827" w:rsidP="005A2827">
            <w:pPr>
              <w:rPr>
                <w:lang w:eastAsia="en-AU"/>
              </w:rPr>
            </w:pPr>
            <w:r w:rsidRPr="005A2827">
              <w:rPr>
                <w:lang w:eastAsia="en-AU"/>
              </w:rPr>
              <w:t xml:space="preserve">Acting CEOs are appointed by the </w:t>
            </w:r>
            <w:r w:rsidR="00562E68">
              <w:rPr>
                <w:lang w:eastAsia="en-AU"/>
              </w:rPr>
              <w:t>mayor</w:t>
            </w:r>
            <w:r w:rsidRPr="005A2827">
              <w:rPr>
                <w:lang w:eastAsia="en-AU"/>
              </w:rPr>
              <w:t xml:space="preserve"> and confirmed by the council. The legislation is silent on temporary vacancies. </w:t>
            </w:r>
          </w:p>
        </w:tc>
      </w:tr>
      <w:tr w:rsidR="005A2827" w:rsidRPr="005A2827" w14:paraId="1884D7BD" w14:textId="77777777" w:rsidTr="00C17C15">
        <w:trPr>
          <w:trHeight w:val="481"/>
        </w:trPr>
        <w:tc>
          <w:tcPr>
            <w:tcW w:w="1980" w:type="dxa"/>
          </w:tcPr>
          <w:p w14:paraId="02D9558D" w14:textId="77777777" w:rsidR="005A2827" w:rsidRPr="005A2827" w:rsidRDefault="00332EB0" w:rsidP="005A2827">
            <w:pPr>
              <w:rPr>
                <w:lang w:eastAsia="en-AU"/>
              </w:rPr>
            </w:pPr>
            <w:r>
              <w:rPr>
                <w:lang w:eastAsia="en-AU"/>
              </w:rPr>
              <w:t>Northern Territory</w:t>
            </w:r>
          </w:p>
        </w:tc>
        <w:tc>
          <w:tcPr>
            <w:tcW w:w="6951" w:type="dxa"/>
          </w:tcPr>
          <w:p w14:paraId="66B3BDCA" w14:textId="77777777" w:rsidR="005A2827" w:rsidRPr="005A2827" w:rsidRDefault="005A2827" w:rsidP="005A2827">
            <w:pPr>
              <w:rPr>
                <w:lang w:eastAsia="en-AU"/>
              </w:rPr>
            </w:pPr>
            <w:r w:rsidRPr="005A2827">
              <w:rPr>
                <w:lang w:eastAsia="en-AU"/>
              </w:rPr>
              <w:t xml:space="preserve">If the CEO is absent and there is a </w:t>
            </w:r>
            <w:r w:rsidR="00BA55D7">
              <w:rPr>
                <w:lang w:eastAsia="en-AU"/>
              </w:rPr>
              <w:t>d</w:t>
            </w:r>
            <w:r w:rsidRPr="005A2827">
              <w:rPr>
                <w:lang w:eastAsia="en-AU"/>
              </w:rPr>
              <w:t xml:space="preserve">eputy, the </w:t>
            </w:r>
            <w:r w:rsidR="00BA55D7">
              <w:rPr>
                <w:lang w:eastAsia="en-AU"/>
              </w:rPr>
              <w:t>d</w:t>
            </w:r>
            <w:r w:rsidRPr="005A2827">
              <w:rPr>
                <w:lang w:eastAsia="en-AU"/>
              </w:rPr>
              <w:t>eputy acts as the CEO. If not</w:t>
            </w:r>
            <w:r w:rsidR="00BA55D7">
              <w:rPr>
                <w:lang w:eastAsia="en-AU"/>
              </w:rPr>
              <w:t>,</w:t>
            </w:r>
            <w:r w:rsidRPr="005A2827">
              <w:rPr>
                <w:lang w:eastAsia="en-AU"/>
              </w:rPr>
              <w:t xml:space="preserve"> the CEO nominates a person and informs the council.</w:t>
            </w:r>
          </w:p>
        </w:tc>
      </w:tr>
    </w:tbl>
    <w:p w14:paraId="3B55209D" w14:textId="77777777" w:rsidR="005A2827" w:rsidRPr="005A2827" w:rsidRDefault="005A2827" w:rsidP="005A2827">
      <w:pPr>
        <w:rPr>
          <w:lang w:eastAsia="en-AU"/>
        </w:rPr>
      </w:pPr>
    </w:p>
    <w:p w14:paraId="4BD0EE4B" w14:textId="77777777" w:rsidR="005A2827" w:rsidRPr="005A2827" w:rsidRDefault="005A2827" w:rsidP="005A2827">
      <w:pPr>
        <w:rPr>
          <w:lang w:eastAsia="en-AU"/>
        </w:rPr>
      </w:pPr>
      <w:r w:rsidRPr="005A2827">
        <w:rPr>
          <w:lang w:eastAsia="en-AU"/>
        </w:rPr>
        <w:t>As illustrated above there is no one approach that has been adopted across Australia.</w:t>
      </w:r>
    </w:p>
    <w:p w14:paraId="2952831F" w14:textId="77777777" w:rsidR="002D42A7" w:rsidRDefault="002D42A7" w:rsidP="002D42A7">
      <w:pPr>
        <w:pStyle w:val="IntenseQuote"/>
        <w:rPr>
          <w:b/>
          <w:sz w:val="28"/>
        </w:rPr>
      </w:pPr>
      <w:r>
        <w:rPr>
          <w:b/>
          <w:sz w:val="28"/>
        </w:rPr>
        <w:t>Acting CEOs: Guidance questions</w:t>
      </w:r>
    </w:p>
    <w:p w14:paraId="5D7D07DD" w14:textId="77777777" w:rsidR="005A2827" w:rsidRDefault="002D42A7" w:rsidP="00DB759E">
      <w:pPr>
        <w:pStyle w:val="BodyText2-nospacebelow"/>
        <w:numPr>
          <w:ilvl w:val="0"/>
          <w:numId w:val="19"/>
        </w:numPr>
        <w:spacing w:after="120"/>
      </w:pPr>
      <w:r>
        <w:t>Should</w:t>
      </w:r>
      <w:r w:rsidR="005A2827">
        <w:t xml:space="preserve"> the process of appointing an a</w:t>
      </w:r>
      <w:r w:rsidR="005A2827" w:rsidRPr="00697EF4">
        <w:t xml:space="preserve">cting CEO </w:t>
      </w:r>
      <w:r>
        <w:t>be covered</w:t>
      </w:r>
      <w:r w:rsidR="005A2827" w:rsidRPr="00697EF4">
        <w:t xml:space="preserve"> in legislation?</w:t>
      </w:r>
      <w:r w:rsidR="005A2827">
        <w:t xml:space="preserve"> </w:t>
      </w:r>
      <w:r>
        <w:t xml:space="preserve">  Why or why not?</w:t>
      </w:r>
    </w:p>
    <w:p w14:paraId="20A38DB1" w14:textId="77777777" w:rsidR="005A2827" w:rsidRDefault="005A2827" w:rsidP="00DB759E">
      <w:pPr>
        <w:pStyle w:val="BodyText2-nospacebelow"/>
        <w:numPr>
          <w:ilvl w:val="0"/>
          <w:numId w:val="19"/>
        </w:numPr>
        <w:spacing w:after="120"/>
      </w:pPr>
      <w:r>
        <w:t>If so, who should appoint the CEO when there is a short term temporary vacancy</w:t>
      </w:r>
      <w:r w:rsidR="002D42A7">
        <w:t xml:space="preserve"> (covering sick or annual leave for example)</w:t>
      </w:r>
      <w:r>
        <w:t>?</w:t>
      </w:r>
    </w:p>
    <w:p w14:paraId="3D7F8210" w14:textId="77777777" w:rsidR="005A2827" w:rsidRDefault="005A2827" w:rsidP="00DB759E">
      <w:pPr>
        <w:pStyle w:val="BodyText2-nospacebelow"/>
        <w:numPr>
          <w:ilvl w:val="0"/>
          <w:numId w:val="19"/>
        </w:numPr>
        <w:spacing w:after="120"/>
      </w:pPr>
      <w:r>
        <w:t xml:space="preserve">Who should appoint the CEO if there will be vacancy for an extended period (for example, while a recruitment process is </w:t>
      </w:r>
      <w:r w:rsidR="002D42A7">
        <w:t xml:space="preserve">to be </w:t>
      </w:r>
      <w:r>
        <w:t>undertaken)?</w:t>
      </w:r>
    </w:p>
    <w:p w14:paraId="5FAD7395" w14:textId="77777777" w:rsidR="004D0296" w:rsidRDefault="004D0296" w:rsidP="004D0296">
      <w:pPr>
        <w:pStyle w:val="BodyText2-nospacebelow"/>
      </w:pPr>
    </w:p>
    <w:p w14:paraId="1C37F7D1" w14:textId="77777777" w:rsidR="00011ACD" w:rsidRDefault="0022305B" w:rsidP="003A1777">
      <w:pPr>
        <w:pStyle w:val="Heading2"/>
        <w:numPr>
          <w:ilvl w:val="1"/>
          <w:numId w:val="86"/>
        </w:numPr>
      </w:pPr>
      <w:bookmarkStart w:id="752" w:name="_Toc493746762"/>
      <w:bookmarkStart w:id="753" w:name="_Toc493768894"/>
      <w:bookmarkStart w:id="754" w:name="_Toc493859964"/>
      <w:bookmarkStart w:id="755" w:name="_Toc495491842"/>
      <w:bookmarkStart w:id="756" w:name="_Toc495497622"/>
      <w:bookmarkStart w:id="757" w:name="_Toc495671469"/>
      <w:bookmarkStart w:id="758" w:name="_Toc495676070"/>
      <w:bookmarkStart w:id="759" w:name="_Toc495678365"/>
      <w:bookmarkStart w:id="760" w:name="_Toc495998363"/>
      <w:bookmarkStart w:id="761" w:name="_Toc497741833"/>
      <w:r>
        <w:lastRenderedPageBreak/>
        <w:t>Performance review of local government Chief Executive Officers</w:t>
      </w:r>
      <w:bookmarkEnd w:id="752"/>
      <w:bookmarkEnd w:id="753"/>
      <w:bookmarkEnd w:id="754"/>
      <w:bookmarkEnd w:id="755"/>
      <w:bookmarkEnd w:id="756"/>
      <w:bookmarkEnd w:id="757"/>
      <w:bookmarkEnd w:id="758"/>
      <w:bookmarkEnd w:id="759"/>
      <w:bookmarkEnd w:id="760"/>
      <w:bookmarkEnd w:id="761"/>
    </w:p>
    <w:p w14:paraId="2A2ADADA" w14:textId="77777777" w:rsidR="0022305B" w:rsidRDefault="00543572" w:rsidP="00CF276F">
      <w:pPr>
        <w:pStyle w:val="BodyText-nospacebelow"/>
        <w:jc w:val="both"/>
        <w:rPr>
          <w:lang w:eastAsia="en-AU"/>
        </w:rPr>
      </w:pPr>
      <w:r>
        <w:rPr>
          <w:lang w:eastAsia="en-AU"/>
        </w:rPr>
        <w:t>T</w:t>
      </w:r>
      <w:r w:rsidR="0022305B" w:rsidRPr="0022305B">
        <w:rPr>
          <w:lang w:eastAsia="en-AU"/>
        </w:rPr>
        <w:t xml:space="preserve">he Act requires that the performance of each employee who is employed for a term of more than </w:t>
      </w:r>
      <w:r w:rsidR="00FE128A">
        <w:rPr>
          <w:lang w:eastAsia="en-AU"/>
        </w:rPr>
        <w:t>one</w:t>
      </w:r>
      <w:r w:rsidR="0022305B" w:rsidRPr="0022305B">
        <w:rPr>
          <w:lang w:eastAsia="en-AU"/>
        </w:rPr>
        <w:t xml:space="preserve"> year, including the CEO, is to be reviewed at least once every year.</w:t>
      </w:r>
      <w:r>
        <w:rPr>
          <w:rStyle w:val="FootnoteReference"/>
          <w:lang w:eastAsia="en-AU"/>
        </w:rPr>
        <w:footnoteReference w:id="17"/>
      </w:r>
      <w:r w:rsidR="0022305B" w:rsidRPr="0022305B">
        <w:rPr>
          <w:lang w:eastAsia="en-AU"/>
        </w:rPr>
        <w:t xml:space="preserve">  While the CEO is responsible for reviewing the performance of officers, it is the council that is solely responsible for reviewing the CEO’s performance.</w:t>
      </w:r>
    </w:p>
    <w:p w14:paraId="491AB370" w14:textId="77777777" w:rsidR="0022305B" w:rsidRPr="0022305B" w:rsidRDefault="0022305B" w:rsidP="0022305B">
      <w:pPr>
        <w:pStyle w:val="BodyText-nospacebelow"/>
        <w:rPr>
          <w:lang w:eastAsia="en-AU"/>
        </w:rPr>
      </w:pPr>
    </w:p>
    <w:p w14:paraId="2062AC27" w14:textId="1A23D5BF" w:rsidR="0022305B" w:rsidRDefault="0022305B" w:rsidP="00CF276F">
      <w:pPr>
        <w:pStyle w:val="BodyText-nospacebelow"/>
        <w:jc w:val="both"/>
        <w:rPr>
          <w:lang w:eastAsia="en-AU"/>
        </w:rPr>
      </w:pPr>
      <w:r w:rsidRPr="0022305B">
        <w:rPr>
          <w:lang w:eastAsia="en-AU"/>
        </w:rPr>
        <w:t xml:space="preserve">Councils have significant autonomy in selecting the method and means to review the performance of the CEOs. Some councils appoint a </w:t>
      </w:r>
      <w:r w:rsidR="00075452">
        <w:rPr>
          <w:lang w:eastAsia="en-AU"/>
        </w:rPr>
        <w:t>sub-</w:t>
      </w:r>
      <w:r w:rsidRPr="0022305B">
        <w:rPr>
          <w:lang w:eastAsia="en-AU"/>
        </w:rPr>
        <w:t xml:space="preserve">committee of </w:t>
      </w:r>
      <w:r w:rsidR="00246B9A">
        <w:rPr>
          <w:lang w:eastAsia="en-AU"/>
        </w:rPr>
        <w:t>elected member</w:t>
      </w:r>
      <w:r w:rsidRPr="0022305B">
        <w:rPr>
          <w:lang w:eastAsia="en-AU"/>
        </w:rPr>
        <w:t>s, while others use external independent experts, including WALGA, to assist the process.  For some councils, this can be a cursory assessment.</w:t>
      </w:r>
    </w:p>
    <w:p w14:paraId="04730D31" w14:textId="77777777" w:rsidR="0022305B" w:rsidRPr="0022305B" w:rsidRDefault="0022305B" w:rsidP="00CF276F">
      <w:pPr>
        <w:pStyle w:val="BodyText-nospacebelow"/>
        <w:jc w:val="both"/>
        <w:rPr>
          <w:lang w:eastAsia="en-AU"/>
        </w:rPr>
      </w:pPr>
    </w:p>
    <w:p w14:paraId="0E3FFA56" w14:textId="499F0765" w:rsidR="00075452" w:rsidRDefault="0022305B" w:rsidP="00CF276F">
      <w:pPr>
        <w:pStyle w:val="BodyText-nospacebelow"/>
        <w:jc w:val="both"/>
        <w:rPr>
          <w:lang w:eastAsia="en-AU"/>
        </w:rPr>
      </w:pPr>
      <w:r w:rsidRPr="0022305B">
        <w:rPr>
          <w:lang w:eastAsia="en-AU"/>
        </w:rPr>
        <w:t xml:space="preserve">Reviewing the performance of a CEO is </w:t>
      </w:r>
      <w:r w:rsidR="00A52E34">
        <w:rPr>
          <w:lang w:eastAsia="en-AU"/>
        </w:rPr>
        <w:t>a</w:t>
      </w:r>
      <w:r w:rsidR="00075452">
        <w:rPr>
          <w:lang w:eastAsia="en-AU"/>
        </w:rPr>
        <w:t xml:space="preserve"> critical</w:t>
      </w:r>
      <w:r w:rsidRPr="0022305B">
        <w:rPr>
          <w:lang w:eastAsia="en-AU"/>
        </w:rPr>
        <w:t xml:space="preserve"> matter.  Like recruitment, </w:t>
      </w:r>
      <w:r w:rsidR="00246B9A">
        <w:rPr>
          <w:lang w:eastAsia="en-AU"/>
        </w:rPr>
        <w:t>elected member</w:t>
      </w:r>
      <w:r w:rsidRPr="0022305B">
        <w:rPr>
          <w:lang w:eastAsia="en-AU"/>
        </w:rPr>
        <w:t xml:space="preserve">s </w:t>
      </w:r>
      <w:r w:rsidR="00A52E34">
        <w:rPr>
          <w:lang w:eastAsia="en-AU"/>
        </w:rPr>
        <w:t xml:space="preserve">may not </w:t>
      </w:r>
      <w:r w:rsidR="00075452">
        <w:rPr>
          <w:lang w:eastAsia="en-AU"/>
        </w:rPr>
        <w:t>have any</w:t>
      </w:r>
      <w:r w:rsidRPr="0022305B">
        <w:rPr>
          <w:lang w:eastAsia="en-AU"/>
        </w:rPr>
        <w:t xml:space="preserve"> expert</w:t>
      </w:r>
      <w:r w:rsidR="00075452">
        <w:rPr>
          <w:lang w:eastAsia="en-AU"/>
        </w:rPr>
        <w:t>i</w:t>
      </w:r>
      <w:r w:rsidRPr="0022305B">
        <w:rPr>
          <w:lang w:eastAsia="en-AU"/>
        </w:rPr>
        <w:t>s</w:t>
      </w:r>
      <w:r w:rsidR="00075452">
        <w:rPr>
          <w:lang w:eastAsia="en-AU"/>
        </w:rPr>
        <w:t>e</w:t>
      </w:r>
      <w:r w:rsidRPr="0022305B">
        <w:rPr>
          <w:lang w:eastAsia="en-AU"/>
        </w:rPr>
        <w:t xml:space="preserve"> in performance review.  The review of a CEO’s performance can be</w:t>
      </w:r>
      <w:r w:rsidR="00075452">
        <w:rPr>
          <w:lang w:eastAsia="en-AU"/>
        </w:rPr>
        <w:t xml:space="preserve"> particularly</w:t>
      </w:r>
      <w:r w:rsidRPr="0022305B">
        <w:rPr>
          <w:lang w:eastAsia="en-AU"/>
        </w:rPr>
        <w:t xml:space="preserve"> difficult when relationships between the council and CEO are not professional.  Both hostile and overly friendly relationships between council and CEO can be equally problematic.  </w:t>
      </w:r>
    </w:p>
    <w:p w14:paraId="33EF30B6" w14:textId="77777777" w:rsidR="0022305B" w:rsidRPr="0022305B" w:rsidRDefault="0022305B" w:rsidP="0022305B">
      <w:pPr>
        <w:pStyle w:val="Heading2"/>
      </w:pPr>
      <w:bookmarkStart w:id="762" w:name="_Toc491857089"/>
      <w:bookmarkStart w:id="763" w:name="_Toc491872709"/>
      <w:bookmarkStart w:id="764" w:name="_Toc491873643"/>
      <w:bookmarkStart w:id="765" w:name="_Toc491934272"/>
      <w:bookmarkStart w:id="766" w:name="_Toc492368895"/>
      <w:bookmarkStart w:id="767" w:name="_Toc492386622"/>
      <w:bookmarkStart w:id="768" w:name="_Toc492468864"/>
      <w:bookmarkStart w:id="769" w:name="_Toc492470539"/>
      <w:bookmarkStart w:id="770" w:name="_Toc492471219"/>
      <w:bookmarkStart w:id="771" w:name="_Toc492471344"/>
      <w:bookmarkStart w:id="772" w:name="_Toc493746763"/>
      <w:bookmarkStart w:id="773" w:name="_Toc493768895"/>
      <w:bookmarkStart w:id="774" w:name="_Toc493859965"/>
      <w:bookmarkStart w:id="775" w:name="_Toc495491843"/>
      <w:bookmarkStart w:id="776" w:name="_Toc495497623"/>
      <w:bookmarkStart w:id="777" w:name="_Toc495671470"/>
      <w:bookmarkStart w:id="778" w:name="_Toc495676071"/>
      <w:bookmarkStart w:id="779" w:name="_Toc495678366"/>
      <w:bookmarkStart w:id="780" w:name="_Toc495998364"/>
      <w:bookmarkStart w:id="781" w:name="_Toc497741834"/>
      <w:r w:rsidRPr="0022305B">
        <w:t>Across Australia</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bl>
      <w:tblPr>
        <w:tblStyle w:val="DLGCTable-Data"/>
        <w:tblW w:w="8931" w:type="dxa"/>
        <w:tblLayout w:type="fixed"/>
        <w:tblLook w:val="04A0" w:firstRow="1" w:lastRow="0" w:firstColumn="1" w:lastColumn="0" w:noHBand="0" w:noVBand="1"/>
      </w:tblPr>
      <w:tblGrid>
        <w:gridCol w:w="1980"/>
        <w:gridCol w:w="6951"/>
      </w:tblGrid>
      <w:tr w:rsidR="0022305B" w:rsidRPr="0022305B" w14:paraId="28C3B554" w14:textId="77777777" w:rsidTr="00A7265E">
        <w:trPr>
          <w:cnfStyle w:val="100000000000" w:firstRow="1" w:lastRow="0" w:firstColumn="0" w:lastColumn="0" w:oddVBand="0" w:evenVBand="0" w:oddHBand="0" w:evenHBand="0" w:firstRowFirstColumn="0" w:firstRowLastColumn="0" w:lastRowFirstColumn="0" w:lastRowLastColumn="0"/>
          <w:trHeight w:val="555"/>
        </w:trPr>
        <w:tc>
          <w:tcPr>
            <w:tcW w:w="1980" w:type="dxa"/>
          </w:tcPr>
          <w:p w14:paraId="7A2C8BD5" w14:textId="77777777" w:rsidR="0022305B" w:rsidRPr="0022305B" w:rsidRDefault="0022305B" w:rsidP="0022305B">
            <w:pPr>
              <w:pStyle w:val="BodyText-nospacebelow"/>
              <w:rPr>
                <w:lang w:eastAsia="en-AU"/>
              </w:rPr>
            </w:pPr>
            <w:r w:rsidRPr="0022305B">
              <w:rPr>
                <w:lang w:eastAsia="en-AU"/>
              </w:rPr>
              <w:t>Jurisdiction</w:t>
            </w:r>
          </w:p>
        </w:tc>
        <w:tc>
          <w:tcPr>
            <w:tcW w:w="6951" w:type="dxa"/>
          </w:tcPr>
          <w:p w14:paraId="19FD62CB" w14:textId="77777777" w:rsidR="0022305B" w:rsidRPr="0022305B" w:rsidRDefault="0022305B" w:rsidP="0022305B">
            <w:pPr>
              <w:pStyle w:val="BodyText-nospacebelow"/>
              <w:rPr>
                <w:lang w:eastAsia="en-AU"/>
              </w:rPr>
            </w:pPr>
            <w:r w:rsidRPr="0022305B">
              <w:rPr>
                <w:lang w:eastAsia="en-AU"/>
              </w:rPr>
              <w:t>Provisions</w:t>
            </w:r>
          </w:p>
        </w:tc>
      </w:tr>
      <w:tr w:rsidR="0022305B" w:rsidRPr="0022305B" w14:paraId="1D18AD9A" w14:textId="77777777" w:rsidTr="00C25BDE">
        <w:trPr>
          <w:trHeight w:val="481"/>
        </w:trPr>
        <w:tc>
          <w:tcPr>
            <w:tcW w:w="1980" w:type="dxa"/>
          </w:tcPr>
          <w:p w14:paraId="7710181A" w14:textId="77777777" w:rsidR="0022305B" w:rsidRPr="0022305B" w:rsidRDefault="00332EB0" w:rsidP="00332EB0">
            <w:pPr>
              <w:pStyle w:val="BodyText-nospacebelow"/>
              <w:rPr>
                <w:lang w:eastAsia="en-AU"/>
              </w:rPr>
            </w:pPr>
            <w:r>
              <w:rPr>
                <w:lang w:eastAsia="en-AU"/>
              </w:rPr>
              <w:t>New South Wales</w:t>
            </w:r>
          </w:p>
        </w:tc>
        <w:tc>
          <w:tcPr>
            <w:tcW w:w="6951" w:type="dxa"/>
          </w:tcPr>
          <w:p w14:paraId="3F798D50" w14:textId="77777777" w:rsidR="0022305B" w:rsidRPr="0022305B" w:rsidRDefault="0022305B" w:rsidP="00997D0A">
            <w:pPr>
              <w:pStyle w:val="BodyText-nospacebelow"/>
              <w:spacing w:after="100"/>
              <w:rPr>
                <w:lang w:eastAsia="en-AU"/>
              </w:rPr>
            </w:pPr>
            <w:r w:rsidRPr="0022305B">
              <w:rPr>
                <w:lang w:eastAsia="en-AU"/>
              </w:rPr>
              <w:t>Section 338 of the NSW </w:t>
            </w:r>
            <w:r w:rsidRPr="0022305B">
              <w:rPr>
                <w:i/>
                <w:lang w:eastAsia="en-AU"/>
              </w:rPr>
              <w:t>Local Government Act 1993 </w:t>
            </w:r>
            <w:r w:rsidRPr="0022305B">
              <w:rPr>
                <w:lang w:eastAsia="en-AU"/>
              </w:rPr>
              <w:t xml:space="preserve">requires general managers and other senior council staff to be employed under performance based contracts and empowers the Chief Executive of the Office of Local Government to approve a standard form of contract for the general manager and senior staff. </w:t>
            </w:r>
          </w:p>
          <w:p w14:paraId="352F173F" w14:textId="77777777" w:rsidR="0022305B" w:rsidRPr="0022305B" w:rsidRDefault="0022305B" w:rsidP="00997D0A">
            <w:pPr>
              <w:pStyle w:val="BodyText-nospacebelow"/>
              <w:spacing w:after="100"/>
              <w:rPr>
                <w:lang w:eastAsia="en-AU"/>
              </w:rPr>
            </w:pPr>
            <w:r w:rsidRPr="0022305B">
              <w:rPr>
                <w:lang w:eastAsia="en-AU"/>
              </w:rPr>
              <w:t xml:space="preserve">Part 7 of the approved standard contract for General Managers requires councils and General Managers to enter into a performance agreement setting out agreed performance criteria and for their performance to be reviewed regularly based on the performance criteria </w:t>
            </w:r>
          </w:p>
          <w:p w14:paraId="6A9B95EA" w14:textId="77777777" w:rsidR="0022305B" w:rsidRPr="0022305B" w:rsidRDefault="0022305B" w:rsidP="00997D0A">
            <w:pPr>
              <w:pStyle w:val="BodyText-nospacebelow"/>
              <w:spacing w:after="100"/>
              <w:rPr>
                <w:lang w:eastAsia="en-AU"/>
              </w:rPr>
            </w:pPr>
            <w:r w:rsidRPr="0022305B">
              <w:rPr>
                <w:lang w:eastAsia="en-AU"/>
              </w:rPr>
              <w:t>The role of the mayor prescribed under legislation includes to lead performance appraisals of the general manager in consultation with the councillors.</w:t>
            </w:r>
          </w:p>
          <w:p w14:paraId="6DD31D87" w14:textId="77777777" w:rsidR="0022305B" w:rsidRPr="0022305B" w:rsidRDefault="0022305B" w:rsidP="00997D0A">
            <w:pPr>
              <w:pStyle w:val="BodyText-nospacebelow"/>
              <w:spacing w:after="100"/>
              <w:rPr>
                <w:lang w:eastAsia="en-AU"/>
              </w:rPr>
            </w:pPr>
            <w:r w:rsidRPr="0022305B">
              <w:rPr>
                <w:lang w:eastAsia="en-AU"/>
              </w:rPr>
              <w:t>The Office of Local Government has issued guidelines on the appointment and oversight of general managers.</w:t>
            </w:r>
            <w:r w:rsidR="00DB37F5" w:rsidRPr="0022305B">
              <w:rPr>
                <w:lang w:eastAsia="en-AU"/>
              </w:rPr>
              <w:t xml:space="preserve"> The</w:t>
            </w:r>
            <w:r w:rsidR="00DB37F5">
              <w:rPr>
                <w:lang w:eastAsia="en-AU"/>
              </w:rPr>
              <w:t>se</w:t>
            </w:r>
            <w:r w:rsidR="00DB37F5" w:rsidRPr="0022305B">
              <w:rPr>
                <w:lang w:eastAsia="en-AU"/>
              </w:rPr>
              <w:t xml:space="preserve"> include information on convening of performance review </w:t>
            </w:r>
            <w:r w:rsidR="00DB37F5" w:rsidRPr="0022305B">
              <w:rPr>
                <w:lang w:eastAsia="en-AU"/>
              </w:rPr>
              <w:lastRenderedPageBreak/>
              <w:t>panels, their membership and the performance review process.</w:t>
            </w:r>
          </w:p>
          <w:p w14:paraId="5720B6FB" w14:textId="77777777" w:rsidR="0022305B" w:rsidRPr="0022305B" w:rsidRDefault="0022305B" w:rsidP="00997D0A">
            <w:pPr>
              <w:pStyle w:val="BodyText-nospacebelow"/>
              <w:spacing w:after="100"/>
              <w:rPr>
                <w:lang w:eastAsia="en-AU"/>
              </w:rPr>
            </w:pPr>
            <w:r w:rsidRPr="0022305B">
              <w:rPr>
                <w:lang w:eastAsia="en-AU"/>
              </w:rPr>
              <w:t xml:space="preserve">Councils are required to consider </w:t>
            </w:r>
            <w:r w:rsidR="00DB37F5">
              <w:rPr>
                <w:lang w:eastAsia="en-AU"/>
              </w:rPr>
              <w:t xml:space="preserve">the </w:t>
            </w:r>
            <w:r w:rsidRPr="0022305B">
              <w:rPr>
                <w:lang w:eastAsia="en-AU"/>
              </w:rPr>
              <w:t xml:space="preserve">guidelines. </w:t>
            </w:r>
          </w:p>
        </w:tc>
      </w:tr>
      <w:tr w:rsidR="00B028E4" w:rsidRPr="0022305B" w14:paraId="08499055" w14:textId="77777777" w:rsidTr="00CD184D">
        <w:trPr>
          <w:trHeight w:val="481"/>
        </w:trPr>
        <w:tc>
          <w:tcPr>
            <w:tcW w:w="1980" w:type="dxa"/>
          </w:tcPr>
          <w:p w14:paraId="17DE8E1E" w14:textId="77777777" w:rsidR="00B028E4" w:rsidRPr="0022305B" w:rsidRDefault="00B028E4" w:rsidP="00CD184D">
            <w:pPr>
              <w:pStyle w:val="BodyText-nospacebelow"/>
              <w:rPr>
                <w:lang w:eastAsia="en-AU"/>
              </w:rPr>
            </w:pPr>
            <w:r>
              <w:rPr>
                <w:lang w:eastAsia="en-AU"/>
              </w:rPr>
              <w:lastRenderedPageBreak/>
              <w:t>Victoria</w:t>
            </w:r>
          </w:p>
        </w:tc>
        <w:tc>
          <w:tcPr>
            <w:tcW w:w="6951" w:type="dxa"/>
          </w:tcPr>
          <w:p w14:paraId="4FFEC0CE" w14:textId="77777777" w:rsidR="00B028E4" w:rsidRPr="0022305B" w:rsidRDefault="00B028E4" w:rsidP="00CD184D">
            <w:pPr>
              <w:pStyle w:val="BodyText-nospacebelow"/>
              <w:spacing w:after="100"/>
              <w:rPr>
                <w:lang w:eastAsia="en-AU"/>
              </w:rPr>
            </w:pPr>
            <w:r w:rsidRPr="0022305B">
              <w:rPr>
                <w:lang w:eastAsia="en-AU"/>
              </w:rPr>
              <w:t xml:space="preserve">At least once each year a council must review the performance of its Chief Executive Officer (section 97A(1) of the </w:t>
            </w:r>
            <w:r w:rsidRPr="0022305B">
              <w:rPr>
                <w:i/>
                <w:lang w:eastAsia="en-AU"/>
              </w:rPr>
              <w:t>Local Government Act 1989</w:t>
            </w:r>
            <w:r w:rsidRPr="0022305B">
              <w:rPr>
                <w:lang w:eastAsia="en-AU"/>
              </w:rPr>
              <w:t xml:space="preserve"> (Vic)). </w:t>
            </w:r>
          </w:p>
          <w:p w14:paraId="7B37899B" w14:textId="77777777" w:rsidR="00B028E4" w:rsidRPr="0022305B" w:rsidRDefault="00B028E4" w:rsidP="00CD184D">
            <w:pPr>
              <w:pStyle w:val="BodyText-nospacebelow"/>
              <w:spacing w:after="100"/>
              <w:rPr>
                <w:lang w:eastAsia="en-AU"/>
              </w:rPr>
            </w:pPr>
            <w:r w:rsidRPr="0022305B">
              <w:rPr>
                <w:lang w:eastAsia="en-AU"/>
              </w:rPr>
              <w:t xml:space="preserve">The Chief Executive Officer's contract of employment must specify performance criteria for the purpose of that person's performance reviews (section 95A(2)). </w:t>
            </w:r>
          </w:p>
          <w:p w14:paraId="1CA6F94B" w14:textId="77777777" w:rsidR="00B028E4" w:rsidRPr="0022305B" w:rsidRDefault="00B028E4" w:rsidP="00CD184D">
            <w:pPr>
              <w:pStyle w:val="BodyText-nospacebelow"/>
              <w:spacing w:after="100"/>
              <w:rPr>
                <w:lang w:eastAsia="en-AU"/>
              </w:rPr>
            </w:pPr>
            <w:r w:rsidRPr="0022305B">
              <w:rPr>
                <w:lang w:eastAsia="en-AU"/>
              </w:rPr>
              <w:t xml:space="preserve">There is currently no legislative requirement for a council to engage independent advice regarding Chief Executive Officer performance matters, nor is there an existing requirement for a council to maintain a policy concerning Chief Executive Officer performance. </w:t>
            </w:r>
          </w:p>
          <w:p w14:paraId="4CB680FF" w14:textId="77777777" w:rsidR="00B028E4" w:rsidRPr="0022305B" w:rsidRDefault="00B028E4" w:rsidP="00CD184D">
            <w:pPr>
              <w:pStyle w:val="BodyText-nospacebelow"/>
              <w:spacing w:after="100"/>
              <w:rPr>
                <w:lang w:eastAsia="en-AU"/>
              </w:rPr>
            </w:pPr>
            <w:r w:rsidRPr="0022305B">
              <w:rPr>
                <w:lang w:eastAsia="en-AU"/>
              </w:rPr>
              <w:t xml:space="preserve">Reforms are being considered that will require all councils to have a CEO remuneration policy that broadly aligns with the policy that applies to executive positions in the Victorian Public Service. </w:t>
            </w:r>
          </w:p>
          <w:p w14:paraId="107F8CCF" w14:textId="77777777" w:rsidR="00B028E4" w:rsidRPr="0022305B" w:rsidRDefault="00B028E4" w:rsidP="00CD184D">
            <w:pPr>
              <w:pStyle w:val="BodyText-nospacebelow"/>
              <w:spacing w:after="100"/>
              <w:rPr>
                <w:lang w:eastAsia="en-AU"/>
              </w:rPr>
            </w:pPr>
            <w:r w:rsidRPr="0022305B">
              <w:rPr>
                <w:lang w:eastAsia="en-AU"/>
              </w:rPr>
              <w:t xml:space="preserve">The directions paper also proposes that each council's audit and risk committee monitor and report on the council's performance against the remuneration policy, and further proposes that councils obtain independent professional advice in overseeing CEO recruitment, contractual arrangements and performance monitoring.  </w:t>
            </w:r>
          </w:p>
        </w:tc>
      </w:tr>
      <w:tr w:rsidR="0022305B" w:rsidRPr="0022305B" w14:paraId="66501983" w14:textId="77777777" w:rsidTr="00C25BDE">
        <w:trPr>
          <w:trHeight w:val="481"/>
        </w:trPr>
        <w:tc>
          <w:tcPr>
            <w:tcW w:w="1980" w:type="dxa"/>
          </w:tcPr>
          <w:p w14:paraId="56C8AE6E" w14:textId="36EAFE57" w:rsidR="0022305B" w:rsidRPr="0022305B" w:rsidRDefault="00CC715A" w:rsidP="0022305B">
            <w:pPr>
              <w:pStyle w:val="BodyText-nospacebelow"/>
              <w:rPr>
                <w:lang w:eastAsia="en-AU"/>
              </w:rPr>
            </w:pPr>
            <w:r>
              <w:rPr>
                <w:lang w:eastAsia="en-AU"/>
              </w:rPr>
              <w:t>Queensland</w:t>
            </w:r>
            <w:r w:rsidR="009579A1" w:rsidRPr="0022305B">
              <w:rPr>
                <w:lang w:eastAsia="en-AU"/>
              </w:rPr>
              <w:t xml:space="preserve"> </w:t>
            </w:r>
          </w:p>
        </w:tc>
        <w:tc>
          <w:tcPr>
            <w:tcW w:w="6951" w:type="dxa"/>
          </w:tcPr>
          <w:p w14:paraId="63058870" w14:textId="394704E2" w:rsidR="0022305B" w:rsidRPr="0022305B" w:rsidRDefault="00CC715A" w:rsidP="00997D0A">
            <w:pPr>
              <w:pStyle w:val="BodyText-nospacebelow"/>
              <w:spacing w:after="100"/>
              <w:rPr>
                <w:lang w:eastAsia="en-AU"/>
              </w:rPr>
            </w:pPr>
            <w:r>
              <w:rPr>
                <w:lang w:eastAsia="en-AU"/>
              </w:rPr>
              <w:t>The council is solely responsible for the performance review of the CEO as led by the Mayor and has autonomy to do so (nothing is prescribed).  This often involves a group led by the Mayor, sometimes consultants are involved and sometimes it involves all councillors led by the Mayor.</w:t>
            </w:r>
          </w:p>
        </w:tc>
      </w:tr>
      <w:tr w:rsidR="0022305B" w:rsidRPr="0022305B" w14:paraId="46D213BC" w14:textId="77777777" w:rsidTr="00C25BDE">
        <w:trPr>
          <w:trHeight w:val="481"/>
        </w:trPr>
        <w:tc>
          <w:tcPr>
            <w:tcW w:w="1980" w:type="dxa"/>
          </w:tcPr>
          <w:p w14:paraId="5D122318" w14:textId="77777777" w:rsidR="0022305B" w:rsidRPr="0022305B" w:rsidRDefault="00332EB0" w:rsidP="009579A1">
            <w:pPr>
              <w:pStyle w:val="BodyText-nospacebelow"/>
              <w:rPr>
                <w:lang w:eastAsia="en-AU"/>
              </w:rPr>
            </w:pPr>
            <w:r>
              <w:rPr>
                <w:lang w:eastAsia="en-AU"/>
              </w:rPr>
              <w:t>South Australia</w:t>
            </w:r>
            <w:r w:rsidR="009579A1" w:rsidRPr="0022305B">
              <w:rPr>
                <w:lang w:eastAsia="en-AU"/>
              </w:rPr>
              <w:t xml:space="preserve"> </w:t>
            </w:r>
          </w:p>
        </w:tc>
        <w:tc>
          <w:tcPr>
            <w:tcW w:w="6951" w:type="dxa"/>
          </w:tcPr>
          <w:p w14:paraId="1BD9370C" w14:textId="77777777" w:rsidR="0022305B" w:rsidRPr="0022305B" w:rsidRDefault="0022305B" w:rsidP="00997D0A">
            <w:pPr>
              <w:pStyle w:val="BodyText-nospacebelow"/>
              <w:spacing w:after="100"/>
              <w:rPr>
                <w:lang w:eastAsia="en-AU"/>
              </w:rPr>
            </w:pPr>
            <w:r w:rsidRPr="0022305B">
              <w:rPr>
                <w:lang w:eastAsia="en-AU"/>
              </w:rPr>
              <w:t xml:space="preserve">The </w:t>
            </w:r>
            <w:r w:rsidRPr="0022305B">
              <w:rPr>
                <w:i/>
                <w:lang w:eastAsia="en-AU"/>
              </w:rPr>
              <w:t>Local Government Act 1999</w:t>
            </w:r>
            <w:r w:rsidRPr="0022305B">
              <w:rPr>
                <w:lang w:eastAsia="en-AU"/>
              </w:rPr>
              <w:t xml:space="preserve"> (SA)</w:t>
            </w:r>
            <w:r w:rsidRPr="0022305B">
              <w:rPr>
                <w:i/>
                <w:lang w:eastAsia="en-AU"/>
              </w:rPr>
              <w:t xml:space="preserve"> </w:t>
            </w:r>
            <w:r w:rsidRPr="0022305B">
              <w:rPr>
                <w:lang w:eastAsia="en-AU"/>
              </w:rPr>
              <w:t>does not prescribe specific standards or processes in relation to CEO performance.</w:t>
            </w:r>
          </w:p>
          <w:p w14:paraId="77218D57" w14:textId="77777777" w:rsidR="0022305B" w:rsidRPr="0022305B" w:rsidRDefault="0022305B" w:rsidP="00997D0A">
            <w:pPr>
              <w:pStyle w:val="BodyText-nospacebelow"/>
              <w:spacing w:after="100"/>
              <w:rPr>
                <w:lang w:eastAsia="en-AU"/>
              </w:rPr>
            </w:pPr>
            <w:r w:rsidRPr="0022305B">
              <w:rPr>
                <w:lang w:eastAsia="en-AU"/>
              </w:rPr>
              <w:t xml:space="preserve">Each council must have a chief executive officer. </w:t>
            </w:r>
            <w:r w:rsidR="00570212">
              <w:rPr>
                <w:lang w:eastAsia="en-AU"/>
              </w:rPr>
              <w:t>T</w:t>
            </w:r>
            <w:r w:rsidRPr="0022305B">
              <w:rPr>
                <w:lang w:eastAsia="en-AU"/>
              </w:rPr>
              <w:t>he CEO’s performance standards are set by council. Section 97(1)(iv) of the Act enables termination of the CEO’s appointment based on, amongst other things, failings of ‘…any performance standards specified by the council or in any contract relating to his or her appointment’.</w:t>
            </w:r>
          </w:p>
          <w:p w14:paraId="5D383578" w14:textId="77777777" w:rsidR="0022305B" w:rsidRPr="0022305B" w:rsidRDefault="0022305B" w:rsidP="00997D0A">
            <w:pPr>
              <w:pStyle w:val="BodyText-nospacebelow"/>
              <w:spacing w:after="100"/>
              <w:rPr>
                <w:lang w:eastAsia="en-AU"/>
              </w:rPr>
            </w:pPr>
            <w:r w:rsidRPr="0022305B">
              <w:rPr>
                <w:lang w:eastAsia="en-AU"/>
              </w:rPr>
              <w:t xml:space="preserve">Section 99 covers the functions and some expectations of the CEO role and the Act contains other requirements of </w:t>
            </w:r>
            <w:r w:rsidRPr="0022305B">
              <w:rPr>
                <w:lang w:eastAsia="en-AU"/>
              </w:rPr>
              <w:lastRenderedPageBreak/>
              <w:t>the CEO, however, does not contain quantitative performance measures.</w:t>
            </w:r>
          </w:p>
          <w:p w14:paraId="506827F7" w14:textId="77777777" w:rsidR="0022305B" w:rsidRPr="0022305B" w:rsidRDefault="0022305B" w:rsidP="00997D0A">
            <w:pPr>
              <w:pStyle w:val="BodyText-nospacebelow"/>
              <w:spacing w:after="100"/>
              <w:rPr>
                <w:lang w:eastAsia="en-AU"/>
              </w:rPr>
            </w:pPr>
            <w:r w:rsidRPr="0022305B">
              <w:rPr>
                <w:lang w:eastAsia="en-AU"/>
              </w:rPr>
              <w:t xml:space="preserve">The Office of Local Government publishes guidance material for councils. This material addresses the selection process for a CEO but does include </w:t>
            </w:r>
            <w:r w:rsidR="00570212">
              <w:rPr>
                <w:lang w:eastAsia="en-AU"/>
              </w:rPr>
              <w:t xml:space="preserve">a </w:t>
            </w:r>
            <w:r w:rsidRPr="0022305B">
              <w:rPr>
                <w:lang w:eastAsia="en-AU"/>
              </w:rPr>
              <w:t>short section covering the setting of CEO performance criteria by a council.</w:t>
            </w:r>
          </w:p>
        </w:tc>
      </w:tr>
      <w:tr w:rsidR="0022305B" w:rsidRPr="0022305B" w14:paraId="34DCED1A" w14:textId="77777777" w:rsidTr="00C25BDE">
        <w:trPr>
          <w:trHeight w:val="481"/>
        </w:trPr>
        <w:tc>
          <w:tcPr>
            <w:tcW w:w="1980" w:type="dxa"/>
          </w:tcPr>
          <w:p w14:paraId="044BE772" w14:textId="77777777" w:rsidR="0022305B" w:rsidRPr="0022305B" w:rsidRDefault="00332EB0" w:rsidP="0022305B">
            <w:pPr>
              <w:pStyle w:val="BodyText-nospacebelow"/>
              <w:rPr>
                <w:lang w:eastAsia="en-AU"/>
              </w:rPr>
            </w:pPr>
            <w:r>
              <w:rPr>
                <w:lang w:eastAsia="en-AU"/>
              </w:rPr>
              <w:lastRenderedPageBreak/>
              <w:t>Tasmania</w:t>
            </w:r>
          </w:p>
        </w:tc>
        <w:tc>
          <w:tcPr>
            <w:tcW w:w="6951" w:type="dxa"/>
          </w:tcPr>
          <w:p w14:paraId="6EFAB337" w14:textId="77777777" w:rsidR="0022305B" w:rsidRPr="0022305B" w:rsidRDefault="0022305B" w:rsidP="00997D0A">
            <w:pPr>
              <w:pStyle w:val="BodyText-nospacebelow"/>
              <w:spacing w:after="100"/>
              <w:rPr>
                <w:lang w:eastAsia="en-AU"/>
              </w:rPr>
            </w:pPr>
            <w:r w:rsidRPr="0022305B">
              <w:rPr>
                <w:lang w:eastAsia="en-AU"/>
              </w:rPr>
              <w:t xml:space="preserve">Section 28(2)(d) of the </w:t>
            </w:r>
            <w:r w:rsidRPr="0022305B">
              <w:rPr>
                <w:i/>
                <w:lang w:eastAsia="en-AU"/>
              </w:rPr>
              <w:t>Local Government Act 1993</w:t>
            </w:r>
            <w:r w:rsidRPr="0022305B">
              <w:rPr>
                <w:lang w:eastAsia="en-AU"/>
              </w:rPr>
              <w:t xml:space="preserve"> requires the council to appoint and monitor the performance of the General Manager.  External recruitment firms specialising in executive appointments are often engaged to assist with the appointment process, but are not mandated in legislation.</w:t>
            </w:r>
          </w:p>
          <w:p w14:paraId="22BA24AB" w14:textId="77777777" w:rsidR="0022305B" w:rsidRPr="0022305B" w:rsidRDefault="0022305B" w:rsidP="00997D0A">
            <w:pPr>
              <w:pStyle w:val="BodyText-nospacebelow"/>
              <w:spacing w:after="100"/>
              <w:rPr>
                <w:lang w:eastAsia="en-AU"/>
              </w:rPr>
            </w:pPr>
            <w:r w:rsidRPr="0022305B">
              <w:rPr>
                <w:lang w:eastAsia="en-AU"/>
              </w:rPr>
              <w:t xml:space="preserve">Councils generally appoint a Council Committee under section 23 of the Act to undertake performance reviews of General Managers </w:t>
            </w:r>
            <w:r w:rsidR="00570212">
              <w:rPr>
                <w:lang w:eastAsia="en-AU"/>
              </w:rPr>
              <w:t>and</w:t>
            </w:r>
            <w:r w:rsidRPr="0022305B">
              <w:rPr>
                <w:lang w:eastAsia="en-AU"/>
              </w:rPr>
              <w:t xml:space="preserve"> report to the full council.  </w:t>
            </w:r>
            <w:r w:rsidR="00570212">
              <w:rPr>
                <w:lang w:eastAsia="en-AU"/>
              </w:rPr>
              <w:t>S</w:t>
            </w:r>
            <w:r w:rsidRPr="0022305B">
              <w:rPr>
                <w:lang w:eastAsia="en-AU"/>
              </w:rPr>
              <w:t>ome councils engage external consultants to assist with the performance review process but again this is not mandated.</w:t>
            </w:r>
          </w:p>
          <w:p w14:paraId="5A1D65F2" w14:textId="77777777" w:rsidR="0022305B" w:rsidRPr="0022305B" w:rsidRDefault="0022305B" w:rsidP="00997D0A">
            <w:pPr>
              <w:pStyle w:val="BodyText-nospacebelow"/>
              <w:spacing w:after="100"/>
              <w:rPr>
                <w:lang w:eastAsia="en-AU"/>
              </w:rPr>
            </w:pPr>
            <w:r w:rsidRPr="0022305B">
              <w:rPr>
                <w:lang w:eastAsia="en-AU"/>
              </w:rPr>
              <w:t>Amendments to the Act are currently being developed that would give a power to the Minister to develop Ministerial Orders regarding the appointment and performance of general managers.  Specifically the Order would provide the processes and procedures to be followed by a council in monitoring the performance of a General Manager.</w:t>
            </w:r>
          </w:p>
        </w:tc>
      </w:tr>
      <w:tr w:rsidR="0022305B" w:rsidRPr="0022305B" w14:paraId="0CD1EF7E" w14:textId="77777777" w:rsidTr="00C25BDE">
        <w:trPr>
          <w:trHeight w:val="481"/>
        </w:trPr>
        <w:tc>
          <w:tcPr>
            <w:tcW w:w="1980" w:type="dxa"/>
          </w:tcPr>
          <w:p w14:paraId="1A80BF69" w14:textId="77777777" w:rsidR="0022305B" w:rsidRPr="0022305B" w:rsidRDefault="00332EB0" w:rsidP="0022305B">
            <w:pPr>
              <w:pStyle w:val="BodyText-nospacebelow"/>
              <w:rPr>
                <w:lang w:eastAsia="en-AU"/>
              </w:rPr>
            </w:pPr>
            <w:r>
              <w:rPr>
                <w:lang w:eastAsia="en-AU"/>
              </w:rPr>
              <w:t>Northern Territory</w:t>
            </w:r>
          </w:p>
        </w:tc>
        <w:tc>
          <w:tcPr>
            <w:tcW w:w="6951" w:type="dxa"/>
          </w:tcPr>
          <w:p w14:paraId="583BE520" w14:textId="77777777" w:rsidR="0022305B" w:rsidRPr="0022305B" w:rsidRDefault="0022305B" w:rsidP="00997D0A">
            <w:pPr>
              <w:pStyle w:val="BodyText-nospacebelow"/>
              <w:spacing w:after="100"/>
              <w:rPr>
                <w:lang w:eastAsia="en-AU"/>
              </w:rPr>
            </w:pPr>
            <w:r w:rsidRPr="0022305B">
              <w:rPr>
                <w:lang w:eastAsia="en-AU"/>
              </w:rPr>
              <w:t>While the Minister in the Northern Territory has issued guidance material, CEO performance review is a matter for the council.</w:t>
            </w:r>
          </w:p>
        </w:tc>
      </w:tr>
    </w:tbl>
    <w:p w14:paraId="6CDD79B4" w14:textId="77777777" w:rsidR="0022305B" w:rsidRPr="0022305B" w:rsidRDefault="0022305B" w:rsidP="0022305B">
      <w:pPr>
        <w:pStyle w:val="BodyText-nospacebelow"/>
        <w:rPr>
          <w:lang w:eastAsia="en-AU"/>
        </w:rPr>
      </w:pPr>
    </w:p>
    <w:p w14:paraId="0792F2CB" w14:textId="124E4D1A" w:rsidR="0022305B" w:rsidRPr="0022305B" w:rsidRDefault="0022305B" w:rsidP="0022305B">
      <w:pPr>
        <w:pStyle w:val="Heading3"/>
        <w:rPr>
          <w:lang w:eastAsia="en-AU"/>
        </w:rPr>
      </w:pPr>
      <w:bookmarkStart w:id="782" w:name="_Toc487553368"/>
      <w:bookmarkStart w:id="783" w:name="_Toc487625895"/>
      <w:bookmarkStart w:id="784" w:name="_Toc487711030"/>
      <w:bookmarkStart w:id="785" w:name="_Toc487727822"/>
      <w:bookmarkStart w:id="786" w:name="_Toc487728193"/>
      <w:bookmarkStart w:id="787" w:name="_Toc491097246"/>
      <w:bookmarkStart w:id="788" w:name="_Toc491097636"/>
      <w:bookmarkStart w:id="789" w:name="_Toc491857090"/>
      <w:bookmarkStart w:id="790" w:name="_Toc491872710"/>
      <w:bookmarkStart w:id="791" w:name="_Toc491873644"/>
      <w:bookmarkStart w:id="792" w:name="_Toc491934273"/>
      <w:bookmarkStart w:id="793" w:name="_Toc492368896"/>
      <w:bookmarkStart w:id="794" w:name="_Toc492386623"/>
      <w:bookmarkStart w:id="795" w:name="_Toc492468865"/>
      <w:bookmarkStart w:id="796" w:name="_Toc492470540"/>
      <w:bookmarkStart w:id="797" w:name="_Toc492471220"/>
      <w:bookmarkStart w:id="798" w:name="_Toc492471345"/>
      <w:bookmarkStart w:id="799" w:name="_Toc493746764"/>
      <w:bookmarkStart w:id="800" w:name="_Toc493768896"/>
      <w:bookmarkStart w:id="801" w:name="_Toc493859966"/>
      <w:bookmarkStart w:id="802" w:name="_Toc495491844"/>
      <w:bookmarkStart w:id="803" w:name="_Toc495497624"/>
      <w:bookmarkStart w:id="804" w:name="_Toc495671471"/>
      <w:bookmarkStart w:id="805" w:name="_Toc495676072"/>
      <w:bookmarkStart w:id="806" w:name="_Toc495678367"/>
      <w:bookmarkStart w:id="807" w:name="_Toc495998365"/>
      <w:bookmarkStart w:id="808" w:name="_Toc497741835"/>
      <w:r w:rsidRPr="0022305B">
        <w:rPr>
          <w:lang w:eastAsia="en-AU"/>
        </w:rPr>
        <w:t>Option 1</w:t>
      </w:r>
      <w:r w:rsidR="00997D0A">
        <w:rPr>
          <w:lang w:eastAsia="en-AU"/>
        </w:rPr>
        <w:t>:</w:t>
      </w:r>
      <w:r w:rsidRPr="0022305B">
        <w:rPr>
          <w:lang w:eastAsia="en-AU"/>
        </w:rPr>
        <w:t xml:space="preserve"> </w:t>
      </w:r>
      <w:r w:rsidR="00437C58">
        <w:rPr>
          <w:lang w:eastAsia="en-AU"/>
        </w:rPr>
        <w:t>A</w:t>
      </w:r>
      <w:r w:rsidRPr="0022305B">
        <w:rPr>
          <w:lang w:eastAsia="en-AU"/>
        </w:rPr>
        <w:t>pproved third-party to be involved in the performance review of CEOs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2B7907BA" w14:textId="77777777" w:rsidR="003370F4" w:rsidRDefault="003370F4" w:rsidP="00CF276F">
      <w:pPr>
        <w:pStyle w:val="BodyText-nospacebelow"/>
        <w:jc w:val="both"/>
        <w:rPr>
          <w:lang w:eastAsia="en-AU"/>
        </w:rPr>
      </w:pPr>
      <w:r w:rsidRPr="0022305B">
        <w:rPr>
          <w:lang w:eastAsia="en-AU"/>
        </w:rPr>
        <w:t xml:space="preserve">As councils work with CEOs daily, they are uniquely positioned to assess CEO performance.  Providing additional tools </w:t>
      </w:r>
      <w:r>
        <w:rPr>
          <w:lang w:eastAsia="en-AU"/>
        </w:rPr>
        <w:t xml:space="preserve">such as guidance material </w:t>
      </w:r>
      <w:r w:rsidRPr="0022305B">
        <w:rPr>
          <w:lang w:eastAsia="en-AU"/>
        </w:rPr>
        <w:t>for councils to review performance is an alternative to legislative reform.  Without the skills or expertise to use these tools, however, they may</w:t>
      </w:r>
      <w:r>
        <w:rPr>
          <w:lang w:eastAsia="en-AU"/>
        </w:rPr>
        <w:t xml:space="preserve"> </w:t>
      </w:r>
      <w:r w:rsidRPr="0022305B">
        <w:rPr>
          <w:lang w:eastAsia="en-AU"/>
        </w:rPr>
        <w:t>be of little benefit.</w:t>
      </w:r>
    </w:p>
    <w:p w14:paraId="5D2A23F7" w14:textId="77777777" w:rsidR="003370F4" w:rsidRPr="0022305B" w:rsidRDefault="003370F4" w:rsidP="00CF276F">
      <w:pPr>
        <w:pStyle w:val="BodyText-nospacebelow"/>
        <w:jc w:val="both"/>
        <w:rPr>
          <w:lang w:eastAsia="en-AU"/>
        </w:rPr>
      </w:pPr>
    </w:p>
    <w:p w14:paraId="34B299D1" w14:textId="74931CBA" w:rsidR="0022305B" w:rsidRDefault="00246B9A" w:rsidP="00CF276F">
      <w:pPr>
        <w:pStyle w:val="BodyText-nospacebelow"/>
        <w:jc w:val="both"/>
        <w:rPr>
          <w:lang w:eastAsia="en-AU"/>
        </w:rPr>
      </w:pPr>
      <w:r>
        <w:rPr>
          <w:lang w:eastAsia="en-AU"/>
        </w:rPr>
        <w:t>Elected member</w:t>
      </w:r>
      <w:r w:rsidR="0022305B" w:rsidRPr="0022305B">
        <w:rPr>
          <w:lang w:eastAsia="en-AU"/>
        </w:rPr>
        <w:t xml:space="preserve">s do not necessarily have the competencies or experience </w:t>
      </w:r>
      <w:r w:rsidR="00584500">
        <w:rPr>
          <w:lang w:eastAsia="en-AU"/>
        </w:rPr>
        <w:t xml:space="preserve">in </w:t>
      </w:r>
      <w:r w:rsidR="0022305B" w:rsidRPr="0022305B">
        <w:rPr>
          <w:lang w:eastAsia="en-AU"/>
        </w:rPr>
        <w:t>conducting performance reviews and may face difficulties balancing the professional performance of the CEO with community concerns about the implementation of unpopular decisions.</w:t>
      </w:r>
    </w:p>
    <w:p w14:paraId="42C3ADA9" w14:textId="77777777" w:rsidR="0022305B" w:rsidRPr="0022305B" w:rsidRDefault="0022305B" w:rsidP="00CF276F">
      <w:pPr>
        <w:pStyle w:val="BodyText-nospacebelow"/>
        <w:jc w:val="both"/>
        <w:rPr>
          <w:lang w:eastAsia="en-AU"/>
        </w:rPr>
      </w:pPr>
    </w:p>
    <w:p w14:paraId="67E9F1DA" w14:textId="77777777" w:rsidR="0022305B" w:rsidRDefault="0022305B" w:rsidP="00CF276F">
      <w:pPr>
        <w:pStyle w:val="BodyText-nospacebelow"/>
        <w:jc w:val="both"/>
        <w:rPr>
          <w:lang w:eastAsia="en-AU"/>
        </w:rPr>
      </w:pPr>
      <w:r w:rsidRPr="0022305B">
        <w:rPr>
          <w:lang w:eastAsia="en-AU"/>
        </w:rPr>
        <w:lastRenderedPageBreak/>
        <w:t>Involving an approved third-party can mitigate some of these challenges and ensure that CEO performance is assessed based on evidence.</w:t>
      </w:r>
      <w:r w:rsidR="003370F4" w:rsidRPr="003370F4">
        <w:rPr>
          <w:lang w:eastAsia="en-AU"/>
        </w:rPr>
        <w:t xml:space="preserve"> </w:t>
      </w:r>
      <w:r w:rsidR="003370F4">
        <w:rPr>
          <w:lang w:eastAsia="en-AU"/>
        </w:rPr>
        <w:t xml:space="preserve"> It</w:t>
      </w:r>
      <w:r w:rsidR="003370F4" w:rsidRPr="0022305B">
        <w:rPr>
          <w:lang w:eastAsia="en-AU"/>
        </w:rPr>
        <w:t xml:space="preserve"> may result in more rigorous and fair performance reviews.  </w:t>
      </w:r>
    </w:p>
    <w:p w14:paraId="14F020A6" w14:textId="77777777" w:rsidR="0022305B" w:rsidRPr="0022305B" w:rsidRDefault="0022305B" w:rsidP="00CF276F">
      <w:pPr>
        <w:pStyle w:val="BodyText-nospacebelow"/>
        <w:jc w:val="both"/>
        <w:rPr>
          <w:lang w:eastAsia="en-AU"/>
        </w:rPr>
      </w:pPr>
    </w:p>
    <w:p w14:paraId="5B213BB9" w14:textId="4AC2087A" w:rsidR="0022305B" w:rsidRPr="0022305B" w:rsidRDefault="00584500" w:rsidP="00CF276F">
      <w:pPr>
        <w:pStyle w:val="BodyText-nospacebelow"/>
        <w:jc w:val="both"/>
        <w:rPr>
          <w:lang w:eastAsia="en-AU"/>
        </w:rPr>
      </w:pPr>
      <w:r>
        <w:rPr>
          <w:lang w:eastAsia="en-AU"/>
        </w:rPr>
        <w:t>T</w:t>
      </w:r>
      <w:r w:rsidR="0022305B" w:rsidRPr="0022305B">
        <w:rPr>
          <w:lang w:eastAsia="en-AU"/>
        </w:rPr>
        <w:t>he Public Sector Commission manages performance agreements with State Government agency CEO</w:t>
      </w:r>
      <w:r w:rsidR="00FE128A">
        <w:rPr>
          <w:lang w:eastAsia="en-AU"/>
        </w:rPr>
        <w:t>’s and</w:t>
      </w:r>
      <w:r w:rsidR="0022305B" w:rsidRPr="0022305B">
        <w:rPr>
          <w:lang w:eastAsia="en-AU"/>
        </w:rPr>
        <w:t xml:space="preserve"> equivalents.  </w:t>
      </w:r>
      <w:r w:rsidR="001F7083">
        <w:rPr>
          <w:lang w:eastAsia="en-AU"/>
        </w:rPr>
        <w:t>T</w:t>
      </w:r>
      <w:r w:rsidR="0022305B" w:rsidRPr="0022305B">
        <w:rPr>
          <w:lang w:eastAsia="en-AU"/>
        </w:rPr>
        <w:t xml:space="preserve">he role of the Public Sector Commission to participate in local government CEO performance reviews </w:t>
      </w:r>
      <w:r w:rsidR="001F7083">
        <w:rPr>
          <w:lang w:eastAsia="en-AU"/>
        </w:rPr>
        <w:t xml:space="preserve">could be expanded </w:t>
      </w:r>
      <w:r w:rsidR="0022305B" w:rsidRPr="0022305B">
        <w:rPr>
          <w:lang w:eastAsia="en-AU"/>
        </w:rPr>
        <w:t>by:</w:t>
      </w:r>
    </w:p>
    <w:p w14:paraId="24FD039F" w14:textId="77777777" w:rsidR="0022305B" w:rsidRPr="0022305B" w:rsidRDefault="0022305B" w:rsidP="00CF276F">
      <w:pPr>
        <w:pStyle w:val="BodyText-nospacebelow"/>
        <w:numPr>
          <w:ilvl w:val="0"/>
          <w:numId w:val="57"/>
        </w:numPr>
        <w:jc w:val="both"/>
        <w:rPr>
          <w:lang w:eastAsia="en-AU"/>
        </w:rPr>
      </w:pPr>
      <w:r w:rsidRPr="0022305B">
        <w:rPr>
          <w:lang w:eastAsia="en-AU"/>
        </w:rPr>
        <w:t>providing advice to local governments;</w:t>
      </w:r>
    </w:p>
    <w:p w14:paraId="1980B551" w14:textId="77777777" w:rsidR="0022305B" w:rsidRPr="0022305B" w:rsidRDefault="0022305B" w:rsidP="00CF276F">
      <w:pPr>
        <w:pStyle w:val="BodyText-nospacebelow"/>
        <w:numPr>
          <w:ilvl w:val="0"/>
          <w:numId w:val="57"/>
        </w:numPr>
        <w:jc w:val="both"/>
        <w:rPr>
          <w:lang w:eastAsia="en-AU"/>
        </w:rPr>
      </w:pPr>
      <w:r w:rsidRPr="0022305B">
        <w:rPr>
          <w:lang w:eastAsia="en-AU"/>
        </w:rPr>
        <w:t>maintaining panels of experts that local governments could contract to assist with reviews; or</w:t>
      </w:r>
    </w:p>
    <w:p w14:paraId="79B8B3FF" w14:textId="77777777" w:rsidR="0022305B" w:rsidRDefault="0022305B" w:rsidP="00CF276F">
      <w:pPr>
        <w:pStyle w:val="BodyText-nospacebelow"/>
        <w:numPr>
          <w:ilvl w:val="0"/>
          <w:numId w:val="57"/>
        </w:numPr>
        <w:jc w:val="both"/>
        <w:rPr>
          <w:lang w:eastAsia="en-AU"/>
        </w:rPr>
      </w:pPr>
      <w:r w:rsidRPr="0022305B">
        <w:rPr>
          <w:lang w:eastAsia="en-AU"/>
        </w:rPr>
        <w:t>participating in performance reviews with councils.</w:t>
      </w:r>
    </w:p>
    <w:p w14:paraId="3DDE3A18" w14:textId="77777777" w:rsidR="0022305B" w:rsidRPr="0022305B" w:rsidRDefault="0022305B" w:rsidP="00CF276F">
      <w:pPr>
        <w:pStyle w:val="BodyText-nospacebelow"/>
        <w:ind w:left="720"/>
        <w:jc w:val="both"/>
        <w:rPr>
          <w:lang w:eastAsia="en-AU"/>
        </w:rPr>
      </w:pPr>
    </w:p>
    <w:p w14:paraId="11677952" w14:textId="10CC025F" w:rsidR="0022305B" w:rsidRDefault="0022305B" w:rsidP="00CF276F">
      <w:pPr>
        <w:pStyle w:val="BodyText-nospacebelow"/>
        <w:jc w:val="both"/>
        <w:rPr>
          <w:lang w:eastAsia="en-AU"/>
        </w:rPr>
      </w:pPr>
      <w:r w:rsidRPr="0022305B">
        <w:rPr>
          <w:lang w:eastAsia="en-AU"/>
        </w:rPr>
        <w:t xml:space="preserve">Other experts that local governments could involve include experienced </w:t>
      </w:r>
      <w:r w:rsidR="00246B9A">
        <w:rPr>
          <w:lang w:eastAsia="en-AU"/>
        </w:rPr>
        <w:t>elected member</w:t>
      </w:r>
      <w:r w:rsidRPr="0022305B">
        <w:rPr>
          <w:lang w:eastAsia="en-AU"/>
        </w:rPr>
        <w:t>s or senior public servants.  Alternatively, councils could contract services from WALGA or other consultants.</w:t>
      </w:r>
    </w:p>
    <w:p w14:paraId="49A60705" w14:textId="1308CF7E" w:rsidR="0022305B" w:rsidRPr="0022305B" w:rsidRDefault="0022305B" w:rsidP="00CF276F">
      <w:pPr>
        <w:pStyle w:val="Heading3"/>
        <w:jc w:val="both"/>
        <w:rPr>
          <w:lang w:eastAsia="en-AU"/>
        </w:rPr>
      </w:pPr>
      <w:bookmarkStart w:id="809" w:name="_Toc487553370"/>
      <w:bookmarkStart w:id="810" w:name="_Toc487625897"/>
      <w:bookmarkStart w:id="811" w:name="_Toc487711032"/>
      <w:bookmarkStart w:id="812" w:name="_Toc487727824"/>
      <w:bookmarkStart w:id="813" w:name="_Toc487728195"/>
      <w:bookmarkStart w:id="814" w:name="_Toc491097247"/>
      <w:bookmarkStart w:id="815" w:name="_Toc491097637"/>
      <w:bookmarkStart w:id="816" w:name="_Toc491857091"/>
      <w:bookmarkStart w:id="817" w:name="_Toc491872711"/>
      <w:bookmarkStart w:id="818" w:name="_Toc491873645"/>
      <w:bookmarkStart w:id="819" w:name="_Toc491934274"/>
      <w:bookmarkStart w:id="820" w:name="_Toc492368897"/>
      <w:bookmarkStart w:id="821" w:name="_Toc492386624"/>
      <w:bookmarkStart w:id="822" w:name="_Toc492468866"/>
      <w:bookmarkStart w:id="823" w:name="_Toc492470541"/>
      <w:bookmarkStart w:id="824" w:name="_Toc492471221"/>
      <w:bookmarkStart w:id="825" w:name="_Toc492471346"/>
      <w:bookmarkStart w:id="826" w:name="_Toc493746765"/>
      <w:bookmarkStart w:id="827" w:name="_Toc493768897"/>
      <w:bookmarkStart w:id="828" w:name="_Toc493859967"/>
      <w:bookmarkStart w:id="829" w:name="_Toc495491845"/>
      <w:bookmarkStart w:id="830" w:name="_Toc495497625"/>
      <w:bookmarkStart w:id="831" w:name="_Toc495671472"/>
      <w:bookmarkStart w:id="832" w:name="_Toc495676073"/>
      <w:bookmarkStart w:id="833" w:name="_Toc495678368"/>
      <w:bookmarkStart w:id="834" w:name="_Toc495998366"/>
      <w:bookmarkStart w:id="835" w:name="_Toc497741836"/>
      <w:r w:rsidRPr="0022305B">
        <w:rPr>
          <w:lang w:eastAsia="en-AU"/>
        </w:rPr>
        <w:t>Option 2</w:t>
      </w:r>
      <w:r w:rsidR="00997D0A">
        <w:rPr>
          <w:lang w:eastAsia="en-AU"/>
        </w:rPr>
        <w:t>:</w:t>
      </w:r>
      <w:r w:rsidRPr="0022305B">
        <w:rPr>
          <w:lang w:eastAsia="en-AU"/>
        </w:rPr>
        <w:t xml:space="preserve"> </w:t>
      </w:r>
      <w:r w:rsidR="00437C58">
        <w:rPr>
          <w:lang w:eastAsia="en-AU"/>
        </w:rPr>
        <w:t>L</w:t>
      </w:r>
      <w:r w:rsidRPr="0022305B">
        <w:rPr>
          <w:lang w:eastAsia="en-AU"/>
        </w:rPr>
        <w:t xml:space="preserve">ocal governments to adopt a CEO performance review </w:t>
      </w:r>
      <w:bookmarkEnd w:id="809"/>
      <w:r w:rsidRPr="0022305B">
        <w:rPr>
          <w:lang w:eastAsia="en-AU"/>
        </w:rPr>
        <w:t>policy</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0168288E" w14:textId="7D83A603" w:rsidR="0022305B" w:rsidRDefault="001F7083" w:rsidP="00CF276F">
      <w:pPr>
        <w:pStyle w:val="BodyText-nospacebelow"/>
        <w:jc w:val="both"/>
        <w:rPr>
          <w:lang w:eastAsia="en-AU"/>
        </w:rPr>
      </w:pPr>
      <w:r>
        <w:rPr>
          <w:lang w:eastAsia="en-AU"/>
        </w:rPr>
        <w:t>Councils adopting a</w:t>
      </w:r>
      <w:r w:rsidR="0022305B" w:rsidRPr="0022305B">
        <w:rPr>
          <w:lang w:eastAsia="en-AU"/>
        </w:rPr>
        <w:t xml:space="preserve"> CEO performance review policy that contains </w:t>
      </w:r>
      <w:r w:rsidR="001F18F3">
        <w:rPr>
          <w:lang w:eastAsia="en-AU"/>
        </w:rPr>
        <w:t>specified</w:t>
      </w:r>
      <w:r w:rsidR="0022305B" w:rsidRPr="0022305B">
        <w:rPr>
          <w:lang w:eastAsia="en-AU"/>
        </w:rPr>
        <w:t xml:space="preserve"> elements could achieve greater consistency between local governments and result in more rigorous and fair performance reviews.</w:t>
      </w:r>
    </w:p>
    <w:p w14:paraId="13E88BFB" w14:textId="77777777" w:rsidR="0022305B" w:rsidRPr="0022305B" w:rsidRDefault="0022305B" w:rsidP="00CF276F">
      <w:pPr>
        <w:pStyle w:val="BodyText-nospacebelow"/>
        <w:jc w:val="both"/>
        <w:rPr>
          <w:lang w:eastAsia="en-AU"/>
        </w:rPr>
      </w:pPr>
    </w:p>
    <w:p w14:paraId="5B4EDF18" w14:textId="77777777" w:rsidR="0022305B" w:rsidRPr="0022305B" w:rsidRDefault="00957B33" w:rsidP="00CF276F">
      <w:pPr>
        <w:pStyle w:val="BodyText-nospacebelow"/>
        <w:jc w:val="both"/>
        <w:rPr>
          <w:lang w:eastAsia="en-AU"/>
        </w:rPr>
      </w:pPr>
      <w:r>
        <w:rPr>
          <w:lang w:eastAsia="en-AU"/>
        </w:rPr>
        <w:t>I</w:t>
      </w:r>
      <w:r w:rsidR="0022305B" w:rsidRPr="0022305B">
        <w:rPr>
          <w:lang w:eastAsia="en-AU"/>
        </w:rPr>
        <w:t>tems to be included within a CEO performance review policy could include:</w:t>
      </w:r>
    </w:p>
    <w:p w14:paraId="7BD188EC" w14:textId="77777777" w:rsidR="0022305B" w:rsidRPr="0022305B" w:rsidRDefault="0022305B" w:rsidP="00CF276F">
      <w:pPr>
        <w:pStyle w:val="BodyText-nospacebelow"/>
        <w:numPr>
          <w:ilvl w:val="0"/>
          <w:numId w:val="58"/>
        </w:numPr>
        <w:jc w:val="both"/>
        <w:rPr>
          <w:lang w:eastAsia="en-AU"/>
        </w:rPr>
      </w:pPr>
      <w:r w:rsidRPr="0022305B">
        <w:rPr>
          <w:lang w:eastAsia="en-AU"/>
        </w:rPr>
        <w:t>who is required to participate in the performance review; and</w:t>
      </w:r>
    </w:p>
    <w:p w14:paraId="307ECF27" w14:textId="77777777" w:rsidR="0022305B" w:rsidRPr="0022305B" w:rsidRDefault="0022305B" w:rsidP="00CF276F">
      <w:pPr>
        <w:pStyle w:val="BodyText-nospacebelow"/>
        <w:numPr>
          <w:ilvl w:val="0"/>
          <w:numId w:val="58"/>
        </w:numPr>
        <w:jc w:val="both"/>
        <w:rPr>
          <w:lang w:eastAsia="en-AU"/>
        </w:rPr>
      </w:pPr>
      <w:r w:rsidRPr="0022305B">
        <w:rPr>
          <w:lang w:eastAsia="en-AU"/>
        </w:rPr>
        <w:t xml:space="preserve">what matters should be considered in the review such as key performance indicators, benchmarks and progress </w:t>
      </w:r>
      <w:r w:rsidR="00957B33">
        <w:rPr>
          <w:lang w:eastAsia="en-AU"/>
        </w:rPr>
        <w:t xml:space="preserve">towards </w:t>
      </w:r>
      <w:r w:rsidRPr="0022305B">
        <w:rPr>
          <w:lang w:eastAsia="en-AU"/>
        </w:rPr>
        <w:t>achieving the Strategic Community Plan and Corporate Business Plan.</w:t>
      </w:r>
    </w:p>
    <w:p w14:paraId="0BDDEA1B" w14:textId="77777777" w:rsidR="00957B33" w:rsidRDefault="00957B33" w:rsidP="00CF276F">
      <w:pPr>
        <w:pStyle w:val="BodyText-nospacebelow"/>
        <w:jc w:val="both"/>
        <w:rPr>
          <w:lang w:eastAsia="en-AU"/>
        </w:rPr>
      </w:pPr>
    </w:p>
    <w:p w14:paraId="5B6AC69A" w14:textId="77777777" w:rsidR="0022305B" w:rsidRPr="0022305B" w:rsidRDefault="0022305B" w:rsidP="00CF276F">
      <w:pPr>
        <w:pStyle w:val="BodyText-nospacebelow"/>
        <w:jc w:val="both"/>
        <w:rPr>
          <w:lang w:eastAsia="en-AU"/>
        </w:rPr>
      </w:pPr>
      <w:r w:rsidRPr="0022305B">
        <w:rPr>
          <w:lang w:eastAsia="en-AU"/>
        </w:rPr>
        <w:t xml:space="preserve">Requiring local governments to adopt a CEO performance review policy would mandate a practice that is already employed by some local governments across the State but could provide further guidance on the contents of such policies.  This in turn may result in improvements to the conduct of CEO performance reviews. </w:t>
      </w:r>
    </w:p>
    <w:p w14:paraId="2A51F603" w14:textId="498B67A6" w:rsidR="0022305B" w:rsidRPr="0022305B" w:rsidRDefault="0022305B" w:rsidP="00CF276F">
      <w:pPr>
        <w:pStyle w:val="Heading3"/>
        <w:jc w:val="both"/>
        <w:rPr>
          <w:lang w:eastAsia="en-AU"/>
        </w:rPr>
      </w:pPr>
      <w:bookmarkStart w:id="836" w:name="_Toc491097248"/>
      <w:bookmarkStart w:id="837" w:name="_Toc491097638"/>
      <w:bookmarkStart w:id="838" w:name="_Toc491857092"/>
      <w:bookmarkStart w:id="839" w:name="_Toc491872712"/>
      <w:bookmarkStart w:id="840" w:name="_Toc491873646"/>
      <w:bookmarkStart w:id="841" w:name="_Toc491934275"/>
      <w:bookmarkStart w:id="842" w:name="_Toc492368898"/>
      <w:bookmarkStart w:id="843" w:name="_Toc492386625"/>
      <w:bookmarkStart w:id="844" w:name="_Toc492468867"/>
      <w:bookmarkStart w:id="845" w:name="_Toc492470542"/>
      <w:bookmarkStart w:id="846" w:name="_Toc492471222"/>
      <w:bookmarkStart w:id="847" w:name="_Toc492471347"/>
      <w:bookmarkStart w:id="848" w:name="_Toc493746766"/>
      <w:bookmarkStart w:id="849" w:name="_Toc493768898"/>
      <w:bookmarkStart w:id="850" w:name="_Toc493859968"/>
      <w:bookmarkStart w:id="851" w:name="_Toc495491846"/>
      <w:bookmarkStart w:id="852" w:name="_Toc495497626"/>
      <w:bookmarkStart w:id="853" w:name="_Toc495671473"/>
      <w:bookmarkStart w:id="854" w:name="_Toc495676074"/>
      <w:bookmarkStart w:id="855" w:name="_Toc495678369"/>
      <w:bookmarkStart w:id="856" w:name="_Toc495998367"/>
      <w:bookmarkStart w:id="857" w:name="_Toc497741837"/>
      <w:r w:rsidRPr="0022305B">
        <w:rPr>
          <w:lang w:eastAsia="en-AU"/>
        </w:rPr>
        <w:t>Option 3</w:t>
      </w:r>
      <w:r w:rsidR="00997D0A">
        <w:rPr>
          <w:lang w:eastAsia="en-AU"/>
        </w:rPr>
        <w:t>:</w:t>
      </w:r>
      <w:r w:rsidRPr="0022305B">
        <w:rPr>
          <w:lang w:eastAsia="en-AU"/>
        </w:rPr>
        <w:t xml:space="preserve"> </w:t>
      </w:r>
      <w:r w:rsidR="00437C58">
        <w:rPr>
          <w:lang w:eastAsia="en-AU"/>
        </w:rPr>
        <w:t>L</w:t>
      </w:r>
      <w:r w:rsidRPr="0022305B">
        <w:rPr>
          <w:lang w:eastAsia="en-AU"/>
        </w:rPr>
        <w:t>ocal governments to conform to a standard for CEO performance review</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14:paraId="2557926E" w14:textId="77777777" w:rsidR="0022305B" w:rsidRPr="0022305B" w:rsidRDefault="0022305B" w:rsidP="00CF276F">
      <w:pPr>
        <w:pStyle w:val="BodyText-nospacebelow"/>
        <w:jc w:val="both"/>
        <w:rPr>
          <w:lang w:eastAsia="en-AU"/>
        </w:rPr>
      </w:pPr>
      <w:r w:rsidRPr="0022305B">
        <w:rPr>
          <w:lang w:eastAsia="en-AU"/>
        </w:rPr>
        <w:t xml:space="preserve">Providing a standard for CEO performance review represents another option that could achieve greater consistency, fairness and rigour in CEO performance review.  A standard would take the concept of policy a step further by specifying the methods for performance review and the matters to be considered.  </w:t>
      </w:r>
    </w:p>
    <w:p w14:paraId="2B99486D" w14:textId="77777777" w:rsidR="0022305B" w:rsidRPr="0022305B" w:rsidRDefault="0022305B" w:rsidP="0022305B">
      <w:pPr>
        <w:pStyle w:val="BodyText-nospacebelow"/>
        <w:rPr>
          <w:lang w:eastAsia="en-AU"/>
        </w:rPr>
      </w:pPr>
    </w:p>
    <w:p w14:paraId="327C357F" w14:textId="77777777" w:rsidR="00A71E2C" w:rsidRDefault="00A71E2C" w:rsidP="00A71E2C">
      <w:pPr>
        <w:pStyle w:val="IntenseQuote"/>
        <w:rPr>
          <w:b/>
          <w:sz w:val="28"/>
        </w:rPr>
      </w:pPr>
      <w:r w:rsidRPr="00A71E2C">
        <w:rPr>
          <w:b/>
          <w:sz w:val="28"/>
        </w:rPr>
        <w:t xml:space="preserve">Performance review of </w:t>
      </w:r>
      <w:r w:rsidR="00655540">
        <w:rPr>
          <w:b/>
          <w:sz w:val="28"/>
        </w:rPr>
        <w:t xml:space="preserve">local government </w:t>
      </w:r>
      <w:r>
        <w:rPr>
          <w:b/>
          <w:sz w:val="28"/>
        </w:rPr>
        <w:t>CEOs: Guidance questions</w:t>
      </w:r>
    </w:p>
    <w:p w14:paraId="621D0FF1" w14:textId="77777777" w:rsidR="0022305B" w:rsidRDefault="0022305B" w:rsidP="00DB759E">
      <w:pPr>
        <w:pStyle w:val="BodyText2-nospacebelow"/>
        <w:numPr>
          <w:ilvl w:val="0"/>
          <w:numId w:val="19"/>
        </w:numPr>
        <w:spacing w:after="120"/>
      </w:pPr>
      <w:r>
        <w:t xml:space="preserve"> Who should be involved in CEO performance reviews?</w:t>
      </w:r>
    </w:p>
    <w:p w14:paraId="0FF98358" w14:textId="77777777" w:rsidR="0022305B" w:rsidRDefault="00957B33" w:rsidP="00DB759E">
      <w:pPr>
        <w:pStyle w:val="BodyText2-nospacebelow"/>
        <w:numPr>
          <w:ilvl w:val="0"/>
          <w:numId w:val="19"/>
        </w:numPr>
        <w:spacing w:after="120"/>
      </w:pPr>
      <w:r>
        <w:t xml:space="preserve"> </w:t>
      </w:r>
      <w:r w:rsidR="0022305B">
        <w:t>What should the criteria be for reviewing a CEO’s performance?</w:t>
      </w:r>
    </w:p>
    <w:p w14:paraId="723084EF" w14:textId="77777777" w:rsidR="0022305B" w:rsidRDefault="00957B33" w:rsidP="00DB759E">
      <w:pPr>
        <w:pStyle w:val="BodyText2-nospacebelow"/>
        <w:numPr>
          <w:ilvl w:val="0"/>
          <w:numId w:val="19"/>
        </w:numPr>
        <w:spacing w:after="120"/>
      </w:pPr>
      <w:r>
        <w:t xml:space="preserve"> </w:t>
      </w:r>
      <w:r w:rsidR="0022305B">
        <w:t>How often should CEO performance be reviewed?</w:t>
      </w:r>
    </w:p>
    <w:p w14:paraId="4A68A6FB" w14:textId="77777777" w:rsidR="0022305B" w:rsidRDefault="00957B33" w:rsidP="00DB759E">
      <w:pPr>
        <w:pStyle w:val="BodyText2-nospacebelow"/>
        <w:numPr>
          <w:ilvl w:val="0"/>
          <w:numId w:val="19"/>
        </w:numPr>
        <w:spacing w:after="120"/>
      </w:pPr>
      <w:r>
        <w:t xml:space="preserve"> </w:t>
      </w:r>
      <w:r w:rsidR="0022305B">
        <w:t>Which of the above options do you prefer?  Why?</w:t>
      </w:r>
    </w:p>
    <w:p w14:paraId="2BDAC33A" w14:textId="77777777" w:rsidR="0022305B" w:rsidRDefault="00957B33" w:rsidP="00DB759E">
      <w:pPr>
        <w:pStyle w:val="BodyText2-nospacebelow"/>
        <w:numPr>
          <w:ilvl w:val="0"/>
          <w:numId w:val="19"/>
        </w:numPr>
        <w:spacing w:after="120"/>
      </w:pPr>
      <w:r>
        <w:t xml:space="preserve"> </w:t>
      </w:r>
      <w:r w:rsidR="0022305B">
        <w:t>Is there an alternative model that could be considered?</w:t>
      </w:r>
    </w:p>
    <w:p w14:paraId="02804BF6" w14:textId="77777777" w:rsidR="004D0296" w:rsidRDefault="004D0296" w:rsidP="004D0296">
      <w:pPr>
        <w:pStyle w:val="BodyText2-nospacebelow"/>
      </w:pPr>
    </w:p>
    <w:p w14:paraId="0EEEBF36" w14:textId="77777777" w:rsidR="0098471D" w:rsidRDefault="0098471D" w:rsidP="003A1777">
      <w:pPr>
        <w:pStyle w:val="Heading2"/>
        <w:numPr>
          <w:ilvl w:val="1"/>
          <w:numId w:val="86"/>
        </w:numPr>
      </w:pPr>
      <w:bookmarkStart w:id="858" w:name="_Toc493746767"/>
      <w:bookmarkStart w:id="859" w:name="_Toc493768899"/>
      <w:bookmarkStart w:id="860" w:name="_Toc493859969"/>
      <w:bookmarkStart w:id="861" w:name="_Toc495491847"/>
      <w:bookmarkStart w:id="862" w:name="_Toc495497627"/>
      <w:bookmarkStart w:id="863" w:name="_Toc495671474"/>
      <w:bookmarkStart w:id="864" w:name="_Toc495676075"/>
      <w:bookmarkStart w:id="865" w:name="_Toc495678370"/>
      <w:bookmarkStart w:id="866" w:name="_Toc495998368"/>
      <w:bookmarkStart w:id="867" w:name="_Toc497741838"/>
      <w:r>
        <w:t>Extension or termination of the Chief Executive Officer contract immediately before or following an election</w:t>
      </w:r>
      <w:bookmarkEnd w:id="858"/>
      <w:bookmarkEnd w:id="859"/>
      <w:bookmarkEnd w:id="860"/>
      <w:bookmarkEnd w:id="861"/>
      <w:bookmarkEnd w:id="862"/>
      <w:bookmarkEnd w:id="863"/>
      <w:bookmarkEnd w:id="864"/>
      <w:bookmarkEnd w:id="865"/>
      <w:bookmarkEnd w:id="866"/>
      <w:bookmarkEnd w:id="867"/>
    </w:p>
    <w:p w14:paraId="782A3FDA" w14:textId="3E84C770" w:rsidR="008F10C8" w:rsidRDefault="00A224D0" w:rsidP="00CF276F">
      <w:pPr>
        <w:pStyle w:val="BodyText-nospacebelow"/>
        <w:jc w:val="both"/>
        <w:rPr>
          <w:lang w:eastAsia="en-AU"/>
        </w:rPr>
      </w:pPr>
      <w:r w:rsidRPr="00A224D0">
        <w:rPr>
          <w:lang w:eastAsia="en-AU"/>
        </w:rPr>
        <w:t>As an employee directly appointed by the council, a CEO contract may be extended or terminated by council at any time, though financial penalties will apply to early termination. This can create situations where a newly elected council dismisses the CEO immediately after an election</w:t>
      </w:r>
      <w:r w:rsidR="00957B33">
        <w:rPr>
          <w:lang w:eastAsia="en-AU"/>
        </w:rPr>
        <w:t>,</w:t>
      </w:r>
      <w:r w:rsidRPr="00A224D0">
        <w:rPr>
          <w:lang w:eastAsia="en-AU"/>
        </w:rPr>
        <w:t xml:space="preserve"> or where a council extends the contract of the CEO before an election for an extended period thus binding incoming </w:t>
      </w:r>
      <w:r w:rsidR="00246B9A">
        <w:rPr>
          <w:lang w:eastAsia="en-AU"/>
        </w:rPr>
        <w:t>elected member</w:t>
      </w:r>
      <w:r w:rsidRPr="00A224D0">
        <w:rPr>
          <w:lang w:eastAsia="en-AU"/>
        </w:rPr>
        <w:t xml:space="preserve">s.  </w:t>
      </w:r>
    </w:p>
    <w:p w14:paraId="07E078BF" w14:textId="77777777" w:rsidR="008F10C8" w:rsidRDefault="008F10C8" w:rsidP="00CF276F">
      <w:pPr>
        <w:pStyle w:val="BodyText-nospacebelow"/>
        <w:jc w:val="both"/>
        <w:rPr>
          <w:lang w:eastAsia="en-AU"/>
        </w:rPr>
      </w:pPr>
    </w:p>
    <w:p w14:paraId="4984F640" w14:textId="77777777" w:rsidR="00A224D0" w:rsidRDefault="00A224D0" w:rsidP="00CF276F">
      <w:pPr>
        <w:pStyle w:val="BodyText-nospacebelow"/>
        <w:jc w:val="both"/>
        <w:rPr>
          <w:lang w:eastAsia="en-AU"/>
        </w:rPr>
      </w:pPr>
      <w:r w:rsidRPr="00A224D0">
        <w:rPr>
          <w:lang w:eastAsia="en-AU"/>
        </w:rPr>
        <w:t>Dismissal of a CEO immediately after an election can be a political decision, rather than one based on performance and can lead to a lack of continuity and dysfunction during the time when a new council is settling in to their role.</w:t>
      </w:r>
      <w:r w:rsidR="008F10C8">
        <w:rPr>
          <w:lang w:eastAsia="en-AU"/>
        </w:rPr>
        <w:t xml:space="preserve">  </w:t>
      </w:r>
      <w:r w:rsidRPr="00A224D0">
        <w:rPr>
          <w:lang w:eastAsia="en-AU"/>
        </w:rPr>
        <w:t xml:space="preserve">Western Australian legislation </w:t>
      </w:r>
      <w:r w:rsidR="008F10C8">
        <w:rPr>
          <w:lang w:eastAsia="en-AU"/>
        </w:rPr>
        <w:t>specifies</w:t>
      </w:r>
      <w:r w:rsidRPr="00A224D0">
        <w:rPr>
          <w:lang w:eastAsia="en-AU"/>
        </w:rPr>
        <w:t xml:space="preserve"> that a CEO or senior employee who has their contract terminated is entitled to be compensated the value of the contract to a maximum of one year’s remuneration, which means that while there is a financial consequence for terminating a CEO, </w:t>
      </w:r>
      <w:r w:rsidR="00957B33">
        <w:rPr>
          <w:lang w:eastAsia="en-AU"/>
        </w:rPr>
        <w:t>it is</w:t>
      </w:r>
      <w:r w:rsidRPr="00A224D0">
        <w:rPr>
          <w:lang w:eastAsia="en-AU"/>
        </w:rPr>
        <w:t xml:space="preserve"> not so great as to dissuade councils from terminating CEOs.</w:t>
      </w:r>
    </w:p>
    <w:p w14:paraId="0CE7DE4E" w14:textId="77777777" w:rsidR="00A224D0" w:rsidRPr="00A224D0" w:rsidRDefault="00A224D0" w:rsidP="00CF276F">
      <w:pPr>
        <w:pStyle w:val="BodyText-nospacebelow"/>
        <w:jc w:val="both"/>
        <w:rPr>
          <w:lang w:eastAsia="en-AU"/>
        </w:rPr>
      </w:pPr>
    </w:p>
    <w:p w14:paraId="3647FCC6" w14:textId="77777777" w:rsidR="00A224D0" w:rsidRDefault="00A224D0" w:rsidP="00CF276F">
      <w:pPr>
        <w:pStyle w:val="BodyText-nospacebelow"/>
        <w:jc w:val="both"/>
        <w:rPr>
          <w:lang w:eastAsia="en-AU"/>
        </w:rPr>
      </w:pPr>
      <w:r w:rsidRPr="00A224D0">
        <w:rPr>
          <w:lang w:eastAsia="en-AU"/>
        </w:rPr>
        <w:t xml:space="preserve">Council decisions regarding CEO contract management should be based on </w:t>
      </w:r>
      <w:r w:rsidR="00957B33">
        <w:rPr>
          <w:lang w:eastAsia="en-AU"/>
        </w:rPr>
        <w:t>the CEO’s</w:t>
      </w:r>
      <w:r w:rsidRPr="00A224D0">
        <w:rPr>
          <w:lang w:eastAsia="en-AU"/>
        </w:rPr>
        <w:t xml:space="preserve"> performance and achievement.  The current legislative framework does not provide significant protections to ensure that the grounds for extension or termination of the CEO are valid.  </w:t>
      </w:r>
    </w:p>
    <w:p w14:paraId="02B918BE" w14:textId="77777777" w:rsidR="00A224D0" w:rsidRPr="00A224D0" w:rsidRDefault="00A224D0" w:rsidP="00CF276F">
      <w:pPr>
        <w:pStyle w:val="BodyText-nospacebelow"/>
        <w:jc w:val="both"/>
        <w:rPr>
          <w:lang w:eastAsia="en-AU"/>
        </w:rPr>
      </w:pPr>
    </w:p>
    <w:p w14:paraId="11F6D837" w14:textId="73721EA1" w:rsidR="00A224D0" w:rsidRPr="00A224D0" w:rsidRDefault="00A224D0" w:rsidP="00CF276F">
      <w:pPr>
        <w:pStyle w:val="BodyText-nospacebelow"/>
        <w:jc w:val="both"/>
        <w:rPr>
          <w:lang w:eastAsia="en-AU"/>
        </w:rPr>
      </w:pPr>
      <w:r w:rsidRPr="00A224D0">
        <w:rPr>
          <w:lang w:eastAsia="en-AU"/>
        </w:rPr>
        <w:lastRenderedPageBreak/>
        <w:t xml:space="preserve">In </w:t>
      </w:r>
      <w:r w:rsidR="00332EB0">
        <w:rPr>
          <w:lang w:eastAsia="en-AU"/>
        </w:rPr>
        <w:t>New South Wales</w:t>
      </w:r>
      <w:r w:rsidRPr="00A224D0">
        <w:rPr>
          <w:lang w:eastAsia="en-AU"/>
        </w:rPr>
        <w:t xml:space="preserve"> the Independent Local Government Review Panel</w:t>
      </w:r>
      <w:r w:rsidRPr="00A224D0">
        <w:rPr>
          <w:vertAlign w:val="superscript"/>
          <w:lang w:eastAsia="en-AU"/>
        </w:rPr>
        <w:footnoteReference w:id="18"/>
      </w:r>
      <w:r w:rsidRPr="00A224D0">
        <w:rPr>
          <w:lang w:eastAsia="en-AU"/>
        </w:rPr>
        <w:t xml:space="preserve"> recommended reforms that would introduce:</w:t>
      </w:r>
    </w:p>
    <w:p w14:paraId="45D16962" w14:textId="77777777" w:rsidR="00A224D0" w:rsidRPr="00A224D0" w:rsidRDefault="00A224D0" w:rsidP="00CF276F">
      <w:pPr>
        <w:pStyle w:val="BodyText-nospacebelow"/>
        <w:numPr>
          <w:ilvl w:val="0"/>
          <w:numId w:val="59"/>
        </w:numPr>
        <w:jc w:val="both"/>
        <w:rPr>
          <w:lang w:eastAsia="en-AU"/>
        </w:rPr>
      </w:pPr>
      <w:r w:rsidRPr="00A224D0">
        <w:rPr>
          <w:lang w:eastAsia="en-AU"/>
        </w:rPr>
        <w:t>a six month ‘cooling off’ period following a general election where a CEO’s contract could not be terminated; and</w:t>
      </w:r>
    </w:p>
    <w:p w14:paraId="0DC4B650" w14:textId="77777777" w:rsidR="00A224D0" w:rsidRDefault="00A224D0" w:rsidP="00CF276F">
      <w:pPr>
        <w:pStyle w:val="BodyText-nospacebelow"/>
        <w:numPr>
          <w:ilvl w:val="0"/>
          <w:numId w:val="59"/>
        </w:numPr>
        <w:jc w:val="both"/>
        <w:rPr>
          <w:lang w:eastAsia="en-AU"/>
        </w:rPr>
      </w:pPr>
      <w:r w:rsidRPr="00A224D0">
        <w:rPr>
          <w:lang w:eastAsia="en-AU"/>
        </w:rPr>
        <w:t>limits on the capacity of councils to extend CEO contracts prior to an election.</w:t>
      </w:r>
    </w:p>
    <w:p w14:paraId="4E92C925" w14:textId="7C0DF77A" w:rsidR="00A224D0" w:rsidRPr="00A224D0" w:rsidRDefault="00A224D0" w:rsidP="00CF276F">
      <w:pPr>
        <w:pStyle w:val="BodyText-nospacebelow"/>
        <w:jc w:val="both"/>
        <w:rPr>
          <w:lang w:eastAsia="en-AU"/>
        </w:rPr>
      </w:pPr>
      <w:r w:rsidRPr="00A224D0">
        <w:rPr>
          <w:lang w:eastAsia="en-AU"/>
        </w:rPr>
        <w:t xml:space="preserve">These reforms are being considered by the </w:t>
      </w:r>
      <w:r w:rsidR="00332EB0">
        <w:rPr>
          <w:lang w:eastAsia="en-AU"/>
        </w:rPr>
        <w:t>New South Wales</w:t>
      </w:r>
      <w:r w:rsidRPr="00A224D0">
        <w:rPr>
          <w:lang w:eastAsia="en-AU"/>
        </w:rPr>
        <w:t xml:space="preserve"> Government.</w:t>
      </w:r>
    </w:p>
    <w:p w14:paraId="703B5F1D" w14:textId="77777777" w:rsidR="00F77154" w:rsidRDefault="00F77154" w:rsidP="00CF276F">
      <w:pPr>
        <w:pStyle w:val="BodyText-nospacebelow"/>
        <w:jc w:val="both"/>
        <w:rPr>
          <w:lang w:eastAsia="en-AU"/>
        </w:rPr>
      </w:pPr>
    </w:p>
    <w:p w14:paraId="30BCD119" w14:textId="77777777" w:rsidR="00A224D0" w:rsidRPr="00A224D0" w:rsidRDefault="00A224D0" w:rsidP="00CF276F">
      <w:pPr>
        <w:pStyle w:val="BodyText-nospacebelow"/>
        <w:jc w:val="both"/>
        <w:rPr>
          <w:lang w:eastAsia="en-AU"/>
        </w:rPr>
      </w:pPr>
      <w:r w:rsidRPr="00A224D0">
        <w:rPr>
          <w:lang w:eastAsia="en-AU"/>
        </w:rPr>
        <w:t xml:space="preserve">A cooling off period could enable new councils and CEOs </w:t>
      </w:r>
      <w:r w:rsidR="00957B33">
        <w:rPr>
          <w:lang w:eastAsia="en-AU"/>
        </w:rPr>
        <w:t xml:space="preserve">to </w:t>
      </w:r>
      <w:r w:rsidRPr="00A224D0">
        <w:rPr>
          <w:lang w:eastAsia="en-AU"/>
        </w:rPr>
        <w:t>establish a productive relationship</w:t>
      </w:r>
      <w:r w:rsidR="00957B33">
        <w:rPr>
          <w:lang w:eastAsia="en-AU"/>
        </w:rPr>
        <w:t>,</w:t>
      </w:r>
      <w:r w:rsidRPr="00A224D0">
        <w:rPr>
          <w:lang w:eastAsia="en-AU"/>
        </w:rPr>
        <w:t xml:space="preserve"> identify priorities and avoid potentially rushed or emotional decisions to remove a CEO.</w:t>
      </w:r>
    </w:p>
    <w:p w14:paraId="56AE85C5" w14:textId="77777777" w:rsidR="0098471D" w:rsidRDefault="0098471D" w:rsidP="00F0563B">
      <w:pPr>
        <w:pStyle w:val="BodyText-nospacebelow"/>
        <w:rPr>
          <w:lang w:eastAsia="en-AU"/>
        </w:rPr>
      </w:pPr>
    </w:p>
    <w:p w14:paraId="68421B63" w14:textId="77777777" w:rsidR="00F77154" w:rsidRDefault="00F77154" w:rsidP="00710EA2">
      <w:pPr>
        <w:pStyle w:val="IntenseQuote"/>
        <w:rPr>
          <w:b/>
          <w:sz w:val="28"/>
        </w:rPr>
      </w:pPr>
      <w:r>
        <w:rPr>
          <w:b/>
          <w:sz w:val="28"/>
        </w:rPr>
        <w:t>Termination or extension of CEO contract around an election: Guidance questions</w:t>
      </w:r>
    </w:p>
    <w:p w14:paraId="4B2198CE" w14:textId="77777777" w:rsidR="00A224D0" w:rsidRDefault="00A224D0" w:rsidP="00DB759E">
      <w:pPr>
        <w:pStyle w:val="BodyText2-nospacebelow"/>
        <w:numPr>
          <w:ilvl w:val="0"/>
          <w:numId w:val="19"/>
        </w:numPr>
        <w:spacing w:after="120"/>
      </w:pPr>
      <w:r>
        <w:t xml:space="preserve">Would a ‘cooling off’ period </w:t>
      </w:r>
      <w:r w:rsidR="00F77154">
        <w:t xml:space="preserve">before a council can terminate the CEO following an election </w:t>
      </w:r>
      <w:r>
        <w:t>assist strengthening productive relationships between council and administration?</w:t>
      </w:r>
    </w:p>
    <w:p w14:paraId="62EFF804" w14:textId="77777777" w:rsidR="00A224D0" w:rsidRDefault="00A224D0" w:rsidP="00DB759E">
      <w:pPr>
        <w:pStyle w:val="BodyText2-nospacebelow"/>
        <w:numPr>
          <w:ilvl w:val="0"/>
          <w:numId w:val="19"/>
        </w:numPr>
        <w:spacing w:after="120"/>
      </w:pPr>
      <w:r>
        <w:t xml:space="preserve">What length should </w:t>
      </w:r>
      <w:r w:rsidR="00F77154">
        <w:t>such a</w:t>
      </w:r>
      <w:r>
        <w:t xml:space="preserve"> cooling off period be?</w:t>
      </w:r>
    </w:p>
    <w:p w14:paraId="2B0AA1D9" w14:textId="77777777" w:rsidR="00A224D0" w:rsidRDefault="00A224D0" w:rsidP="00DB759E">
      <w:pPr>
        <w:pStyle w:val="BodyText2-nospacebelow"/>
        <w:numPr>
          <w:ilvl w:val="0"/>
          <w:numId w:val="19"/>
        </w:numPr>
        <w:spacing w:after="120"/>
      </w:pPr>
      <w:r>
        <w:t>For what period before an election should there be a restriction on a council from extending a CEO contract?  Should there be any exceptions to this?</w:t>
      </w:r>
    </w:p>
    <w:p w14:paraId="76B1CAD9" w14:textId="06E3E164" w:rsidR="000D639D" w:rsidRDefault="001F7083" w:rsidP="003A1777">
      <w:pPr>
        <w:pStyle w:val="Heading2"/>
        <w:numPr>
          <w:ilvl w:val="1"/>
          <w:numId w:val="86"/>
        </w:numPr>
      </w:pPr>
      <w:bookmarkStart w:id="868" w:name="_Toc493746768"/>
      <w:bookmarkStart w:id="869" w:name="_Toc493768900"/>
      <w:bookmarkStart w:id="870" w:name="_Toc493859970"/>
      <w:bookmarkStart w:id="871" w:name="_Toc495491848"/>
      <w:bookmarkStart w:id="872" w:name="_Toc495497628"/>
      <w:bookmarkStart w:id="873" w:name="_Toc495671475"/>
      <w:bookmarkStart w:id="874" w:name="_Toc495676076"/>
      <w:bookmarkStart w:id="875" w:name="_Toc495678371"/>
      <w:bookmarkStart w:id="876" w:name="_Toc495998369"/>
      <w:bookmarkStart w:id="877" w:name="_Toc497741839"/>
      <w:r>
        <w:t>P</w:t>
      </w:r>
      <w:r w:rsidR="000D639D">
        <w:t>ublic expectations of staff performance</w:t>
      </w:r>
      <w:bookmarkEnd w:id="868"/>
      <w:bookmarkEnd w:id="869"/>
      <w:bookmarkEnd w:id="870"/>
      <w:bookmarkEnd w:id="871"/>
      <w:bookmarkEnd w:id="872"/>
      <w:bookmarkEnd w:id="873"/>
      <w:bookmarkEnd w:id="874"/>
      <w:bookmarkEnd w:id="875"/>
      <w:bookmarkEnd w:id="876"/>
      <w:bookmarkEnd w:id="877"/>
    </w:p>
    <w:p w14:paraId="1DBFD91A" w14:textId="77777777" w:rsidR="00E150A3" w:rsidRDefault="00E150A3" w:rsidP="00CF276F">
      <w:pPr>
        <w:pStyle w:val="BodyText-nospacebelow"/>
        <w:jc w:val="both"/>
        <w:rPr>
          <w:lang w:eastAsia="en-AU"/>
        </w:rPr>
      </w:pPr>
      <w:r w:rsidRPr="00E150A3">
        <w:rPr>
          <w:lang w:eastAsia="en-AU"/>
        </w:rPr>
        <w:t>Western Australian local government employees perform important roles delivering services, regulating local businesses, supporting communities and ensuring that the local governments themselves are well managed.</w:t>
      </w:r>
    </w:p>
    <w:p w14:paraId="63F86E12" w14:textId="77777777" w:rsidR="00E150A3" w:rsidRPr="00E150A3" w:rsidRDefault="00E150A3" w:rsidP="00CF276F">
      <w:pPr>
        <w:pStyle w:val="BodyText-nospacebelow"/>
        <w:jc w:val="both"/>
        <w:rPr>
          <w:lang w:eastAsia="en-AU"/>
        </w:rPr>
      </w:pPr>
    </w:p>
    <w:p w14:paraId="4CA38826" w14:textId="77777777" w:rsidR="00E150A3" w:rsidRDefault="00E150A3" w:rsidP="00CF276F">
      <w:pPr>
        <w:pStyle w:val="BodyText-nospacebelow"/>
        <w:jc w:val="both"/>
        <w:rPr>
          <w:lang w:eastAsia="en-AU"/>
        </w:rPr>
      </w:pPr>
      <w:r w:rsidRPr="00E150A3">
        <w:rPr>
          <w:lang w:eastAsia="en-AU"/>
        </w:rPr>
        <w:t>While the public has high expectations for public officers at all levels of government, the public expectations of local government employees may be heightened</w:t>
      </w:r>
      <w:r w:rsidR="00C00306" w:rsidRPr="00C00306">
        <w:rPr>
          <w:lang w:eastAsia="en-AU"/>
        </w:rPr>
        <w:t xml:space="preserve"> </w:t>
      </w:r>
      <w:r w:rsidR="00C00306">
        <w:rPr>
          <w:lang w:eastAsia="en-AU"/>
        </w:rPr>
        <w:t>because the</w:t>
      </w:r>
      <w:r w:rsidR="00C00306" w:rsidRPr="00E150A3">
        <w:rPr>
          <w:lang w:eastAsia="en-AU"/>
        </w:rPr>
        <w:t xml:space="preserve"> community interacts so frequently with local government employees</w:t>
      </w:r>
      <w:r w:rsidRPr="00E150A3">
        <w:rPr>
          <w:lang w:eastAsia="en-AU"/>
        </w:rPr>
        <w:t xml:space="preserve">.  </w:t>
      </w:r>
    </w:p>
    <w:p w14:paraId="38AAEAF4" w14:textId="77777777" w:rsidR="00E150A3" w:rsidRPr="00E150A3" w:rsidRDefault="00E150A3" w:rsidP="00CF276F">
      <w:pPr>
        <w:pStyle w:val="BodyText-nospacebelow"/>
        <w:jc w:val="both"/>
        <w:rPr>
          <w:lang w:eastAsia="en-AU"/>
        </w:rPr>
      </w:pPr>
    </w:p>
    <w:p w14:paraId="1004619E" w14:textId="77777777" w:rsidR="00E150A3" w:rsidRDefault="00E150A3" w:rsidP="00CF276F">
      <w:pPr>
        <w:pStyle w:val="BodyText-nospacebelow"/>
        <w:jc w:val="both"/>
        <w:rPr>
          <w:lang w:eastAsia="en-AU"/>
        </w:rPr>
      </w:pPr>
      <w:r w:rsidRPr="00E150A3">
        <w:rPr>
          <w:lang w:eastAsia="en-AU"/>
        </w:rPr>
        <w:t xml:space="preserve">Local government employees are entrusted with public money, </w:t>
      </w:r>
      <w:r w:rsidR="007469C3">
        <w:rPr>
          <w:lang w:eastAsia="en-AU"/>
        </w:rPr>
        <w:t xml:space="preserve">and </w:t>
      </w:r>
      <w:r w:rsidRPr="00E150A3">
        <w:rPr>
          <w:lang w:eastAsia="en-AU"/>
        </w:rPr>
        <w:t>must make sure that their decision making is fair and free of bias, and that private information is stored and used appropriately.</w:t>
      </w:r>
    </w:p>
    <w:p w14:paraId="1321AF1C" w14:textId="77777777" w:rsidR="00E150A3" w:rsidRPr="00E150A3" w:rsidRDefault="00E150A3" w:rsidP="00CF276F">
      <w:pPr>
        <w:pStyle w:val="BodyText-nospacebelow"/>
        <w:jc w:val="both"/>
        <w:rPr>
          <w:lang w:eastAsia="en-AU"/>
        </w:rPr>
      </w:pPr>
    </w:p>
    <w:p w14:paraId="0E478E4E" w14:textId="77777777" w:rsidR="00E150A3" w:rsidRDefault="00E150A3" w:rsidP="00CF276F">
      <w:pPr>
        <w:pStyle w:val="BodyText-nospacebelow"/>
        <w:jc w:val="both"/>
        <w:rPr>
          <w:lang w:eastAsia="en-AU"/>
        </w:rPr>
      </w:pPr>
      <w:r w:rsidRPr="00E150A3">
        <w:rPr>
          <w:lang w:eastAsia="en-AU"/>
        </w:rPr>
        <w:lastRenderedPageBreak/>
        <w:t>With over 15,000 employees across Western Australia, it is not surprising that</w:t>
      </w:r>
      <w:r w:rsidR="00A52E34">
        <w:rPr>
          <w:lang w:eastAsia="en-AU"/>
        </w:rPr>
        <w:t>,</w:t>
      </w:r>
      <w:r w:rsidRPr="00E150A3">
        <w:rPr>
          <w:lang w:eastAsia="en-AU"/>
        </w:rPr>
        <w:t xml:space="preserve"> on occasion, public expectations of staff conduct and performance are not met.  In Western Australia, the Public Sector Commission is responsible for oversight of minor misconduct for public officers and for misconduct and education programs.  Matters of serious misconduct and corruption are the focus of the Corruption and Crime Commission. </w:t>
      </w:r>
    </w:p>
    <w:p w14:paraId="6A2B0499" w14:textId="77777777" w:rsidR="00E150A3" w:rsidRPr="00E150A3" w:rsidRDefault="00E150A3" w:rsidP="00CF276F">
      <w:pPr>
        <w:pStyle w:val="BodyText-nospacebelow"/>
        <w:jc w:val="both"/>
        <w:rPr>
          <w:lang w:eastAsia="en-AU"/>
        </w:rPr>
      </w:pPr>
    </w:p>
    <w:p w14:paraId="0F5C5F9D" w14:textId="77777777" w:rsidR="00E150A3" w:rsidRDefault="00E150A3" w:rsidP="00CF276F">
      <w:pPr>
        <w:pStyle w:val="BodyText-nospacebelow"/>
        <w:jc w:val="both"/>
        <w:rPr>
          <w:lang w:eastAsia="en-AU"/>
        </w:rPr>
      </w:pPr>
      <w:r w:rsidRPr="00E150A3">
        <w:rPr>
          <w:lang w:eastAsia="en-AU"/>
        </w:rPr>
        <w:t xml:space="preserve">There are clear benefits to preventing misconduct and raising the standard of public officer performance and conduct.  </w:t>
      </w:r>
      <w:r w:rsidR="005437C5">
        <w:rPr>
          <w:lang w:eastAsia="en-AU"/>
        </w:rPr>
        <w:t>The first step</w:t>
      </w:r>
      <w:r w:rsidRPr="00E150A3">
        <w:rPr>
          <w:lang w:eastAsia="en-AU"/>
        </w:rPr>
        <w:t xml:space="preserve"> is employing the right people.</w:t>
      </w:r>
    </w:p>
    <w:p w14:paraId="65CCD171" w14:textId="77777777" w:rsidR="00E150A3" w:rsidRPr="00E150A3" w:rsidRDefault="00E150A3" w:rsidP="00CF276F">
      <w:pPr>
        <w:pStyle w:val="BodyText-nospacebelow"/>
        <w:jc w:val="both"/>
        <w:rPr>
          <w:lang w:eastAsia="en-AU"/>
        </w:rPr>
      </w:pPr>
    </w:p>
    <w:p w14:paraId="7D8BB9DC" w14:textId="2B9F72AE" w:rsidR="00E150A3" w:rsidRDefault="00E150A3" w:rsidP="00CF276F">
      <w:pPr>
        <w:pStyle w:val="BodyText-nospacebelow"/>
        <w:jc w:val="both"/>
        <w:rPr>
          <w:lang w:eastAsia="en-AU"/>
        </w:rPr>
      </w:pPr>
      <w:r w:rsidRPr="00E150A3">
        <w:rPr>
          <w:lang w:eastAsia="en-AU"/>
        </w:rPr>
        <w:t>In respect to employment, the Act states that a person should not be employed unless the CEO believes that the person is suitably qualified for the position.  It further states that employment should be based on merit and equity without nepotism, patronage or discrimination.</w:t>
      </w:r>
    </w:p>
    <w:p w14:paraId="746616A5" w14:textId="77777777" w:rsidR="00E150A3" w:rsidRPr="00E150A3" w:rsidRDefault="00E150A3" w:rsidP="00CF276F">
      <w:pPr>
        <w:pStyle w:val="BodyText-nospacebelow"/>
        <w:jc w:val="both"/>
        <w:rPr>
          <w:lang w:eastAsia="en-AU"/>
        </w:rPr>
      </w:pPr>
    </w:p>
    <w:p w14:paraId="0B7F9D2C" w14:textId="427C951D" w:rsidR="00E150A3" w:rsidRPr="00E150A3" w:rsidRDefault="00C53ADC" w:rsidP="00CF276F">
      <w:pPr>
        <w:pStyle w:val="BodyText-nospacebelow"/>
        <w:jc w:val="both"/>
        <w:rPr>
          <w:lang w:eastAsia="en-AU"/>
        </w:rPr>
      </w:pPr>
      <w:r>
        <w:rPr>
          <w:lang w:eastAsia="en-AU"/>
        </w:rPr>
        <w:t xml:space="preserve">Local </w:t>
      </w:r>
      <w:r w:rsidR="00E150A3" w:rsidRPr="00E150A3">
        <w:rPr>
          <w:lang w:eastAsia="en-AU"/>
        </w:rPr>
        <w:t xml:space="preserve">governments have </w:t>
      </w:r>
      <w:r>
        <w:rPr>
          <w:lang w:eastAsia="en-AU"/>
        </w:rPr>
        <w:t xml:space="preserve">greater </w:t>
      </w:r>
      <w:r w:rsidR="00593A46">
        <w:rPr>
          <w:lang w:eastAsia="en-AU"/>
        </w:rPr>
        <w:t xml:space="preserve">autonomy </w:t>
      </w:r>
      <w:r>
        <w:rPr>
          <w:lang w:eastAsia="en-AU"/>
        </w:rPr>
        <w:t>than</w:t>
      </w:r>
      <w:r w:rsidR="00E150A3" w:rsidRPr="00E150A3">
        <w:rPr>
          <w:lang w:eastAsia="en-AU"/>
        </w:rPr>
        <w:t xml:space="preserve"> the </w:t>
      </w:r>
      <w:r w:rsidR="007469C3">
        <w:rPr>
          <w:lang w:eastAsia="en-AU"/>
        </w:rPr>
        <w:t>S</w:t>
      </w:r>
      <w:r w:rsidR="00E150A3" w:rsidRPr="00E150A3">
        <w:rPr>
          <w:lang w:eastAsia="en-AU"/>
        </w:rPr>
        <w:t xml:space="preserve">tate public service in determining the methods of selecting, renumerating and managing their workforce.  </w:t>
      </w:r>
    </w:p>
    <w:p w14:paraId="251BF1A1" w14:textId="77777777" w:rsidR="00CF276F" w:rsidRDefault="00CF276F" w:rsidP="00CF276F">
      <w:pPr>
        <w:pStyle w:val="BodyText-nospacebelow"/>
        <w:jc w:val="both"/>
        <w:rPr>
          <w:lang w:eastAsia="en-AU"/>
        </w:rPr>
      </w:pPr>
    </w:p>
    <w:p w14:paraId="39BD63BF" w14:textId="77777777" w:rsidR="00E150A3" w:rsidRDefault="00060A4C" w:rsidP="00CF276F">
      <w:pPr>
        <w:pStyle w:val="BodyText-nospacebelow"/>
        <w:jc w:val="both"/>
        <w:rPr>
          <w:lang w:eastAsia="en-AU"/>
        </w:rPr>
      </w:pPr>
      <w:r>
        <w:rPr>
          <w:lang w:eastAsia="en-AU"/>
        </w:rPr>
        <w:t>The Public Sector</w:t>
      </w:r>
      <w:r w:rsidR="00E150A3" w:rsidRPr="00E150A3">
        <w:rPr>
          <w:lang w:eastAsia="en-AU"/>
        </w:rPr>
        <w:t xml:space="preserve"> Commissioner’s Instruction No.2 Filling a Public Sector Vacancy </w:t>
      </w:r>
      <w:r>
        <w:rPr>
          <w:lang w:eastAsia="en-AU"/>
        </w:rPr>
        <w:t xml:space="preserve">applies to State government agencies but not </w:t>
      </w:r>
      <w:r w:rsidR="00E150A3" w:rsidRPr="00E150A3">
        <w:rPr>
          <w:lang w:eastAsia="en-AU"/>
        </w:rPr>
        <w:t>local government.</w:t>
      </w:r>
      <w:r w:rsidR="004F1789">
        <w:rPr>
          <w:lang w:eastAsia="en-AU"/>
        </w:rPr>
        <w:t xml:space="preserve">  This means </w:t>
      </w:r>
      <w:r w:rsidR="007469C3">
        <w:rPr>
          <w:lang w:eastAsia="en-AU"/>
        </w:rPr>
        <w:t xml:space="preserve">there are </w:t>
      </w:r>
      <w:r w:rsidR="00E150A3" w:rsidRPr="00E150A3">
        <w:rPr>
          <w:lang w:eastAsia="en-AU"/>
        </w:rPr>
        <w:t xml:space="preserve">no uniform requirements that local governments </w:t>
      </w:r>
      <w:r w:rsidR="007469C3">
        <w:rPr>
          <w:lang w:eastAsia="en-AU"/>
        </w:rPr>
        <w:t>must</w:t>
      </w:r>
      <w:r w:rsidR="00E150A3" w:rsidRPr="00E150A3">
        <w:rPr>
          <w:lang w:eastAsia="en-AU"/>
        </w:rPr>
        <w:t xml:space="preserve"> advertise positions other than the CEO or</w:t>
      </w:r>
      <w:r w:rsidR="004F1789">
        <w:rPr>
          <w:lang w:eastAsia="en-AU"/>
        </w:rPr>
        <w:t xml:space="preserve"> senior employee.  Officers are not</w:t>
      </w:r>
      <w:r w:rsidR="00E150A3" w:rsidRPr="00E150A3">
        <w:rPr>
          <w:lang w:eastAsia="en-AU"/>
        </w:rPr>
        <w:t xml:space="preserve"> </w:t>
      </w:r>
      <w:r w:rsidR="004F1789">
        <w:rPr>
          <w:lang w:eastAsia="en-AU"/>
        </w:rPr>
        <w:t xml:space="preserve">required to </w:t>
      </w:r>
      <w:r w:rsidR="00E150A3" w:rsidRPr="00E150A3">
        <w:rPr>
          <w:lang w:eastAsia="en-AU"/>
        </w:rPr>
        <w:t>complete a probationary period or meet other criteria such as being an Australian citizen or permanent resident.</w:t>
      </w:r>
    </w:p>
    <w:p w14:paraId="31A86A28" w14:textId="77777777" w:rsidR="00E150A3" w:rsidRPr="00E150A3" w:rsidRDefault="00E150A3" w:rsidP="00CF276F">
      <w:pPr>
        <w:pStyle w:val="BodyText-nospacebelow"/>
        <w:jc w:val="both"/>
        <w:rPr>
          <w:lang w:eastAsia="en-AU"/>
        </w:rPr>
      </w:pPr>
    </w:p>
    <w:p w14:paraId="24FD5D38" w14:textId="77777777" w:rsidR="00E150A3" w:rsidRDefault="00E150A3" w:rsidP="00CF276F">
      <w:pPr>
        <w:pStyle w:val="BodyText-nospacebelow"/>
        <w:jc w:val="both"/>
        <w:rPr>
          <w:lang w:eastAsia="en-AU"/>
        </w:rPr>
      </w:pPr>
      <w:r w:rsidRPr="00E150A3">
        <w:rPr>
          <w:lang w:eastAsia="en-AU"/>
        </w:rPr>
        <w:t xml:space="preserve">Likewise, unless specified by an individual local government recruitment process, applicants are not required to provide evidence of a criminal record check, working with children check, health clearance or information regarding outstanding or completed disciplinary processes. </w:t>
      </w:r>
    </w:p>
    <w:p w14:paraId="26EDFB45" w14:textId="77777777" w:rsidR="00E150A3" w:rsidRPr="00E150A3" w:rsidRDefault="00E150A3" w:rsidP="00CF276F">
      <w:pPr>
        <w:pStyle w:val="BodyText-nospacebelow"/>
        <w:jc w:val="both"/>
        <w:rPr>
          <w:lang w:eastAsia="en-AU"/>
        </w:rPr>
      </w:pPr>
    </w:p>
    <w:p w14:paraId="12CD5C50" w14:textId="77777777" w:rsidR="00E150A3" w:rsidRDefault="005437C5" w:rsidP="00CF276F">
      <w:pPr>
        <w:pStyle w:val="BodyText-nospacebelow"/>
        <w:jc w:val="both"/>
        <w:rPr>
          <w:lang w:eastAsia="en-AU"/>
        </w:rPr>
      </w:pPr>
      <w:r>
        <w:rPr>
          <w:lang w:eastAsia="en-AU"/>
        </w:rPr>
        <w:t>This gives</w:t>
      </w:r>
      <w:r w:rsidR="00E150A3" w:rsidRPr="00E150A3">
        <w:rPr>
          <w:lang w:eastAsia="en-AU"/>
        </w:rPr>
        <w:t xml:space="preserve"> local governments freedom to manage their operations more efficiently</w:t>
      </w:r>
      <w:r>
        <w:rPr>
          <w:lang w:eastAsia="en-AU"/>
        </w:rPr>
        <w:t>,</w:t>
      </w:r>
      <w:r w:rsidR="00E150A3" w:rsidRPr="00E150A3">
        <w:rPr>
          <w:lang w:eastAsia="en-AU"/>
        </w:rPr>
        <w:t xml:space="preserve"> but relies heavily on the diligence of CEOs.</w:t>
      </w:r>
    </w:p>
    <w:p w14:paraId="6B5B1F29" w14:textId="77777777" w:rsidR="00E150A3" w:rsidRPr="00E150A3" w:rsidRDefault="00E150A3" w:rsidP="00CF276F">
      <w:pPr>
        <w:pStyle w:val="BodyText-nospacebelow"/>
        <w:jc w:val="both"/>
        <w:rPr>
          <w:lang w:eastAsia="en-AU"/>
        </w:rPr>
      </w:pPr>
    </w:p>
    <w:p w14:paraId="21C74748" w14:textId="77777777" w:rsidR="00E150A3" w:rsidRDefault="00E150A3" w:rsidP="00CF276F">
      <w:pPr>
        <w:pStyle w:val="BodyText-nospacebelow"/>
        <w:jc w:val="both"/>
        <w:rPr>
          <w:lang w:eastAsia="en-AU"/>
        </w:rPr>
      </w:pPr>
      <w:r w:rsidRPr="00E150A3">
        <w:rPr>
          <w:lang w:eastAsia="en-AU"/>
        </w:rPr>
        <w:t xml:space="preserve">Where oversight is not sufficient, poor workforce management decisions can be costly.  Lack of diligence in </w:t>
      </w:r>
      <w:r w:rsidR="007469C3">
        <w:rPr>
          <w:lang w:eastAsia="en-AU"/>
        </w:rPr>
        <w:t xml:space="preserve">the </w:t>
      </w:r>
      <w:r w:rsidRPr="00E150A3">
        <w:rPr>
          <w:lang w:eastAsia="en-AU"/>
        </w:rPr>
        <w:t xml:space="preserve">selection of staff can be particularly damaging in small local governments </w:t>
      </w:r>
      <w:r w:rsidR="007469C3">
        <w:rPr>
          <w:lang w:eastAsia="en-AU"/>
        </w:rPr>
        <w:t>which</w:t>
      </w:r>
      <w:r w:rsidRPr="00E150A3">
        <w:rPr>
          <w:lang w:eastAsia="en-AU"/>
        </w:rPr>
        <w:t xml:space="preserve"> have fewer staff.  </w:t>
      </w:r>
      <w:r w:rsidR="004F1789">
        <w:rPr>
          <w:lang w:eastAsia="en-AU"/>
        </w:rPr>
        <w:t>R</w:t>
      </w:r>
      <w:r w:rsidRPr="00E150A3">
        <w:rPr>
          <w:lang w:eastAsia="en-AU"/>
        </w:rPr>
        <w:t>emote local governments with small workforces are at greatest risk because they have fewer resources and may have difficulty attracting high quality applicants.</w:t>
      </w:r>
    </w:p>
    <w:p w14:paraId="75065178" w14:textId="77777777" w:rsidR="00E150A3" w:rsidRPr="00E150A3" w:rsidRDefault="00E150A3" w:rsidP="00CF276F">
      <w:pPr>
        <w:pStyle w:val="BodyText-nospacebelow"/>
        <w:jc w:val="both"/>
        <w:rPr>
          <w:lang w:eastAsia="en-AU"/>
        </w:rPr>
      </w:pPr>
    </w:p>
    <w:p w14:paraId="0E707144" w14:textId="77777777" w:rsidR="00E150A3" w:rsidRPr="00E150A3" w:rsidRDefault="00E150A3" w:rsidP="00CF276F">
      <w:pPr>
        <w:pStyle w:val="BodyText-nospacebelow"/>
        <w:jc w:val="both"/>
        <w:rPr>
          <w:lang w:eastAsia="en-AU"/>
        </w:rPr>
      </w:pPr>
      <w:r w:rsidRPr="00E150A3">
        <w:rPr>
          <w:lang w:eastAsia="en-AU"/>
        </w:rPr>
        <w:t xml:space="preserve">Many roles within local government involve significant levels of public trust.  Some roles involve collecting and using private information, advising on important regulatory matters, procuring goods </w:t>
      </w:r>
      <w:r w:rsidRPr="00E150A3">
        <w:rPr>
          <w:lang w:eastAsia="en-AU"/>
        </w:rPr>
        <w:lastRenderedPageBreak/>
        <w:t>and services and enforcing local laws.  Given the sensitivity and high public expectations of accountability, diligence and personal conduct in many local government roles, it could be argued that people found to have committed certain offences should</w:t>
      </w:r>
      <w:r w:rsidR="004F1789">
        <w:rPr>
          <w:lang w:eastAsia="en-AU"/>
        </w:rPr>
        <w:t xml:space="preserve"> be</w:t>
      </w:r>
      <w:r w:rsidRPr="00E150A3">
        <w:rPr>
          <w:lang w:eastAsia="en-AU"/>
        </w:rPr>
        <w:t xml:space="preserve"> excluded from hold</w:t>
      </w:r>
      <w:r w:rsidR="007469C3">
        <w:rPr>
          <w:lang w:eastAsia="en-AU"/>
        </w:rPr>
        <w:t>ing</w:t>
      </w:r>
      <w:r w:rsidRPr="00E150A3">
        <w:rPr>
          <w:lang w:eastAsia="en-AU"/>
        </w:rPr>
        <w:t xml:space="preserve"> local government roles.  Such exclusions would need to conform with discrimination laws.</w:t>
      </w:r>
    </w:p>
    <w:p w14:paraId="0AB5FD2C" w14:textId="77777777" w:rsidR="000D639D" w:rsidRDefault="000D639D" w:rsidP="000D639D">
      <w:pPr>
        <w:pStyle w:val="BodyText2-nospacebelow"/>
      </w:pPr>
    </w:p>
    <w:p w14:paraId="02BE2EB2" w14:textId="069D2AB5" w:rsidR="004F1789" w:rsidRDefault="001F7083" w:rsidP="004F1789">
      <w:pPr>
        <w:pStyle w:val="IntenseQuote"/>
        <w:rPr>
          <w:b/>
          <w:sz w:val="28"/>
        </w:rPr>
      </w:pPr>
      <w:r>
        <w:rPr>
          <w:b/>
          <w:sz w:val="28"/>
        </w:rPr>
        <w:t>P</w:t>
      </w:r>
      <w:r w:rsidR="00540847">
        <w:rPr>
          <w:b/>
          <w:sz w:val="28"/>
        </w:rPr>
        <w:t>ublic expectations of s</w:t>
      </w:r>
      <w:r w:rsidR="004F1789">
        <w:rPr>
          <w:b/>
          <w:sz w:val="28"/>
        </w:rPr>
        <w:t>taff performance: Guidance questions</w:t>
      </w:r>
    </w:p>
    <w:p w14:paraId="55120E7F" w14:textId="77777777" w:rsidR="00E150A3" w:rsidRDefault="004F1789" w:rsidP="00DB759E">
      <w:pPr>
        <w:pStyle w:val="BodyText2-nospacebelow"/>
        <w:numPr>
          <w:ilvl w:val="0"/>
          <w:numId w:val="19"/>
        </w:numPr>
        <w:spacing w:after="120"/>
      </w:pPr>
      <w:r>
        <w:t xml:space="preserve"> </w:t>
      </w:r>
      <w:r w:rsidR="00E150A3">
        <w:t xml:space="preserve">Is greater oversight required </w:t>
      </w:r>
      <w:r>
        <w:t>over</w:t>
      </w:r>
      <w:r w:rsidR="00E150A3">
        <w:t xml:space="preserve"> local government selection and recruitment of staff?</w:t>
      </w:r>
    </w:p>
    <w:p w14:paraId="30C301F2" w14:textId="77777777" w:rsidR="00E150A3" w:rsidRDefault="00E150A3" w:rsidP="00DB759E">
      <w:pPr>
        <w:pStyle w:val="BodyText2-nospacebelow"/>
        <w:numPr>
          <w:ilvl w:val="0"/>
          <w:numId w:val="19"/>
        </w:numPr>
        <w:spacing w:after="120"/>
      </w:pPr>
      <w:r>
        <w:t>Should certain offences or other criteria exclude a person from being employed in a local government?</w:t>
      </w:r>
      <w:r w:rsidR="004F1789">
        <w:t xml:space="preserve">  If so, what?</w:t>
      </w:r>
    </w:p>
    <w:p w14:paraId="361A1A70" w14:textId="56D3B427" w:rsidR="001C052D" w:rsidRDefault="001C052D" w:rsidP="001C052D">
      <w:pPr>
        <w:pStyle w:val="BodyText2-nospacebelow"/>
        <w:spacing w:after="120"/>
      </w:pPr>
    </w:p>
    <w:p w14:paraId="145DE881" w14:textId="4C40DE47" w:rsidR="001C052D" w:rsidRDefault="001C052D" w:rsidP="001C052D">
      <w:pPr>
        <w:pStyle w:val="IntenseQuote"/>
        <w:rPr>
          <w:b/>
          <w:sz w:val="28"/>
        </w:rPr>
      </w:pPr>
      <w:r>
        <w:rPr>
          <w:b/>
          <w:sz w:val="28"/>
        </w:rPr>
        <w:t>Strengthening local government administration: Guidance question</w:t>
      </w:r>
    </w:p>
    <w:p w14:paraId="5B61ED26" w14:textId="71AD4B2B" w:rsidR="001C052D" w:rsidRDefault="001C052D" w:rsidP="00DB759E">
      <w:pPr>
        <w:pStyle w:val="BodyText2-nospacebelow"/>
        <w:numPr>
          <w:ilvl w:val="0"/>
          <w:numId w:val="19"/>
        </w:numPr>
        <w:spacing w:after="120"/>
      </w:pPr>
      <w:r>
        <w:rPr>
          <w:lang w:eastAsia="en-AU"/>
        </w:rPr>
        <w:t>Do you have any other suggestions or comments on this topic?</w:t>
      </w:r>
    </w:p>
    <w:p w14:paraId="442E694B" w14:textId="77777777" w:rsidR="004F1789" w:rsidRDefault="004F1789">
      <w:pPr>
        <w:rPr>
          <w:color w:val="005F86"/>
        </w:rPr>
      </w:pPr>
      <w:r>
        <w:br w:type="page"/>
      </w:r>
    </w:p>
    <w:p w14:paraId="438A4DEB" w14:textId="567C2065" w:rsidR="002472E4" w:rsidRDefault="00C25BDE" w:rsidP="00124F78">
      <w:pPr>
        <w:pStyle w:val="Heading1"/>
        <w:numPr>
          <w:ilvl w:val="0"/>
          <w:numId w:val="5"/>
        </w:numPr>
      </w:pPr>
      <w:r>
        <w:lastRenderedPageBreak/>
        <w:t xml:space="preserve"> </w:t>
      </w:r>
      <w:bookmarkStart w:id="878" w:name="_Toc495671476"/>
      <w:bookmarkStart w:id="879" w:name="_Toc495676077"/>
      <w:bookmarkStart w:id="880" w:name="_Toc495678372"/>
      <w:bookmarkStart w:id="881" w:name="_Toc495998370"/>
      <w:bookmarkStart w:id="882" w:name="_Toc497741840"/>
      <w:r w:rsidR="00544DCC">
        <w:t xml:space="preserve">Supporting local governments </w:t>
      </w:r>
      <w:r w:rsidR="001F7083">
        <w:t xml:space="preserve">in </w:t>
      </w:r>
      <w:r w:rsidR="00544DCC">
        <w:t>challenging times</w:t>
      </w:r>
      <w:bookmarkEnd w:id="878"/>
      <w:bookmarkEnd w:id="879"/>
      <w:bookmarkEnd w:id="880"/>
      <w:bookmarkEnd w:id="881"/>
      <w:bookmarkEnd w:id="882"/>
    </w:p>
    <w:p w14:paraId="2BDC0AE3" w14:textId="6C9B4A64" w:rsidR="00BE49EC" w:rsidRDefault="00BE49EC" w:rsidP="00CF276F">
      <w:pPr>
        <w:pStyle w:val="BodyText-nospacebelow"/>
        <w:jc w:val="both"/>
        <w:rPr>
          <w:lang w:eastAsia="en-AU"/>
        </w:rPr>
      </w:pPr>
      <w:r w:rsidRPr="00BE49EC">
        <w:rPr>
          <w:lang w:eastAsia="en-AU"/>
        </w:rPr>
        <w:t xml:space="preserve">The power of general competence means that the circumstances </w:t>
      </w:r>
      <w:r w:rsidR="00A52E34">
        <w:rPr>
          <w:lang w:eastAsia="en-AU"/>
        </w:rPr>
        <w:t>in which</w:t>
      </w:r>
      <w:r w:rsidR="00A52E34" w:rsidRPr="00BE49EC">
        <w:rPr>
          <w:lang w:eastAsia="en-AU"/>
        </w:rPr>
        <w:t xml:space="preserve"> </w:t>
      </w:r>
      <w:r w:rsidRPr="00BE49EC">
        <w:rPr>
          <w:lang w:eastAsia="en-AU"/>
        </w:rPr>
        <w:t xml:space="preserve">the </w:t>
      </w:r>
      <w:r w:rsidR="001F7083">
        <w:rPr>
          <w:lang w:eastAsia="en-AU"/>
        </w:rPr>
        <w:t>State Government</w:t>
      </w:r>
      <w:r w:rsidR="001F7083" w:rsidRPr="00BE49EC">
        <w:rPr>
          <w:lang w:eastAsia="en-AU"/>
        </w:rPr>
        <w:t xml:space="preserve"> </w:t>
      </w:r>
      <w:r w:rsidRPr="00BE49EC">
        <w:rPr>
          <w:lang w:eastAsia="en-AU"/>
        </w:rPr>
        <w:t xml:space="preserve">can reasonably intervene </w:t>
      </w:r>
      <w:r w:rsidR="00A52E34">
        <w:rPr>
          <w:lang w:eastAsia="en-AU"/>
        </w:rPr>
        <w:t xml:space="preserve">in local government affairs </w:t>
      </w:r>
      <w:r w:rsidRPr="00BE49EC">
        <w:rPr>
          <w:lang w:eastAsia="en-AU"/>
        </w:rPr>
        <w:t xml:space="preserve">are limited. For instance, the </w:t>
      </w:r>
      <w:r w:rsidR="001F7083">
        <w:rPr>
          <w:lang w:eastAsia="en-AU"/>
        </w:rPr>
        <w:t>State Government</w:t>
      </w:r>
      <w:r w:rsidR="001F7083" w:rsidRPr="00BE49EC">
        <w:rPr>
          <w:lang w:eastAsia="en-AU"/>
        </w:rPr>
        <w:t xml:space="preserve"> </w:t>
      </w:r>
      <w:r w:rsidRPr="00BE49EC">
        <w:rPr>
          <w:lang w:eastAsia="en-AU"/>
        </w:rPr>
        <w:t>cannot intervene in lawful decisions made by a local government, even when these lawful decisions are inconsistent with broader community views.</w:t>
      </w:r>
    </w:p>
    <w:p w14:paraId="339A6A20" w14:textId="77777777" w:rsidR="00BE49EC" w:rsidRPr="00BE49EC" w:rsidRDefault="00BE49EC" w:rsidP="00CF276F">
      <w:pPr>
        <w:pStyle w:val="BodyText-nospacebelow"/>
        <w:jc w:val="both"/>
        <w:rPr>
          <w:lang w:eastAsia="en-AU"/>
        </w:rPr>
      </w:pPr>
    </w:p>
    <w:p w14:paraId="45E6284A" w14:textId="3B15323E" w:rsidR="00BE49EC" w:rsidRPr="00BE49EC" w:rsidRDefault="00BE49EC" w:rsidP="00CF276F">
      <w:pPr>
        <w:pStyle w:val="BodyText-nospacebelow"/>
        <w:jc w:val="both"/>
        <w:rPr>
          <w:lang w:eastAsia="en-AU"/>
        </w:rPr>
      </w:pPr>
      <w:r w:rsidRPr="00BE49EC">
        <w:rPr>
          <w:lang w:eastAsia="en-AU"/>
        </w:rPr>
        <w:t xml:space="preserve">Under the current Act, there are limited options for the </w:t>
      </w:r>
      <w:r w:rsidR="001F7083">
        <w:rPr>
          <w:lang w:eastAsia="en-AU"/>
        </w:rPr>
        <w:t>State Government</w:t>
      </w:r>
      <w:r w:rsidR="001F7083" w:rsidRPr="00BE49EC">
        <w:rPr>
          <w:lang w:eastAsia="en-AU"/>
        </w:rPr>
        <w:t xml:space="preserve"> </w:t>
      </w:r>
      <w:r w:rsidRPr="00BE49EC">
        <w:rPr>
          <w:lang w:eastAsia="en-AU"/>
        </w:rPr>
        <w:t xml:space="preserve">to implement remedial actions to ensure </w:t>
      </w:r>
      <w:r w:rsidR="00A52E34">
        <w:rPr>
          <w:lang w:eastAsia="en-AU"/>
        </w:rPr>
        <w:t>the</w:t>
      </w:r>
      <w:r w:rsidRPr="00BE49EC">
        <w:rPr>
          <w:lang w:eastAsia="en-AU"/>
        </w:rPr>
        <w:t xml:space="preserve"> good governance</w:t>
      </w:r>
      <w:r w:rsidR="00A52E34">
        <w:rPr>
          <w:lang w:eastAsia="en-AU"/>
        </w:rPr>
        <w:t xml:space="preserve"> of </w:t>
      </w:r>
      <w:r w:rsidR="00A52E34" w:rsidRPr="00BE49EC">
        <w:rPr>
          <w:lang w:eastAsia="en-AU"/>
        </w:rPr>
        <w:t>a local government</w:t>
      </w:r>
      <w:r w:rsidRPr="00BE49EC">
        <w:rPr>
          <w:lang w:eastAsia="en-AU"/>
        </w:rPr>
        <w:t xml:space="preserve">.  This includes situations where a local government, a member of council, a CEO or employee has failed or is failing to comply with provisions under the Act or </w:t>
      </w:r>
      <w:r w:rsidR="006A154A">
        <w:rPr>
          <w:lang w:eastAsia="en-AU"/>
        </w:rPr>
        <w:t>r</w:t>
      </w:r>
      <w:r w:rsidRPr="00BE49EC">
        <w:rPr>
          <w:lang w:eastAsia="en-AU"/>
        </w:rPr>
        <w:t xml:space="preserve">egulations. </w:t>
      </w:r>
    </w:p>
    <w:p w14:paraId="29A4707B" w14:textId="77777777" w:rsidR="00A52E34" w:rsidRPr="00BE49EC" w:rsidRDefault="00A52E34" w:rsidP="00CF276F">
      <w:pPr>
        <w:pStyle w:val="BodyText-nospacebelow"/>
        <w:jc w:val="both"/>
        <w:rPr>
          <w:lang w:eastAsia="en-AU"/>
        </w:rPr>
      </w:pPr>
    </w:p>
    <w:p w14:paraId="247BF11B" w14:textId="77777777" w:rsidR="00BE49EC" w:rsidRDefault="007469C3" w:rsidP="00CF276F">
      <w:pPr>
        <w:pStyle w:val="BodyText-nospacebelow"/>
        <w:jc w:val="both"/>
        <w:rPr>
          <w:lang w:eastAsia="en-AU"/>
        </w:rPr>
      </w:pPr>
      <w:r>
        <w:rPr>
          <w:lang w:eastAsia="en-AU"/>
        </w:rPr>
        <w:t>There are also l</w:t>
      </w:r>
      <w:r w:rsidR="00BE49EC" w:rsidRPr="00BE49EC">
        <w:rPr>
          <w:lang w:eastAsia="en-AU"/>
        </w:rPr>
        <w:t xml:space="preserve">imited </w:t>
      </w:r>
      <w:r>
        <w:rPr>
          <w:lang w:eastAsia="en-AU"/>
        </w:rPr>
        <w:t>intervention</w:t>
      </w:r>
      <w:r w:rsidR="00BE49EC" w:rsidRPr="00BE49EC">
        <w:rPr>
          <w:lang w:eastAsia="en-AU"/>
        </w:rPr>
        <w:t xml:space="preserve"> options when there is reason to believe that a person or persons within a local government </w:t>
      </w:r>
      <w:r>
        <w:rPr>
          <w:lang w:eastAsia="en-AU"/>
        </w:rPr>
        <w:t xml:space="preserve">are </w:t>
      </w:r>
      <w:r w:rsidR="00BE49EC" w:rsidRPr="00BE49EC">
        <w:rPr>
          <w:lang w:eastAsia="en-AU"/>
        </w:rPr>
        <w:t>engaging in behaviour adversely affecting the ability of council, its members or employees</w:t>
      </w:r>
      <w:r>
        <w:rPr>
          <w:lang w:eastAsia="en-AU"/>
        </w:rPr>
        <w:t>,</w:t>
      </w:r>
      <w:r w:rsidR="00BE49EC" w:rsidRPr="00BE49EC">
        <w:rPr>
          <w:lang w:eastAsia="en-AU"/>
        </w:rPr>
        <w:t xml:space="preserve"> or the local government to properly perform its functions.</w:t>
      </w:r>
    </w:p>
    <w:p w14:paraId="41DD6B28" w14:textId="77777777" w:rsidR="00BE49EC" w:rsidRPr="00BE49EC" w:rsidRDefault="00BE49EC" w:rsidP="00CF276F">
      <w:pPr>
        <w:pStyle w:val="BodyText-nospacebelow"/>
        <w:jc w:val="both"/>
        <w:rPr>
          <w:lang w:eastAsia="en-AU"/>
        </w:rPr>
      </w:pPr>
    </w:p>
    <w:p w14:paraId="6664A8E8" w14:textId="77777777" w:rsidR="00BE49EC" w:rsidRPr="00BE49EC" w:rsidRDefault="00BE49EC" w:rsidP="00CF276F">
      <w:pPr>
        <w:pStyle w:val="BodyText-nospacebelow"/>
        <w:jc w:val="both"/>
        <w:rPr>
          <w:lang w:eastAsia="en-AU"/>
        </w:rPr>
      </w:pPr>
      <w:r w:rsidRPr="00BE49EC">
        <w:rPr>
          <w:lang w:eastAsia="en-AU"/>
        </w:rPr>
        <w:t xml:space="preserve">In most cases, the need for remedial action is due to </w:t>
      </w:r>
      <w:r w:rsidR="006A154A">
        <w:rPr>
          <w:lang w:eastAsia="en-AU"/>
        </w:rPr>
        <w:t xml:space="preserve">relatively </w:t>
      </w:r>
      <w:r w:rsidRPr="00BE49EC">
        <w:rPr>
          <w:lang w:eastAsia="en-AU"/>
        </w:rPr>
        <w:t>minor issues in governance.  Typically, a remedial action may be required because a local government:</w:t>
      </w:r>
    </w:p>
    <w:p w14:paraId="3EB0C225" w14:textId="77777777" w:rsidR="00BE49EC" w:rsidRPr="00BE49EC" w:rsidRDefault="00BE49EC" w:rsidP="00CF276F">
      <w:pPr>
        <w:pStyle w:val="BodyText-nospacebelow"/>
        <w:numPr>
          <w:ilvl w:val="0"/>
          <w:numId w:val="60"/>
        </w:numPr>
        <w:jc w:val="both"/>
        <w:rPr>
          <w:lang w:eastAsia="en-AU"/>
        </w:rPr>
      </w:pPr>
      <w:r w:rsidRPr="00BE49EC">
        <w:rPr>
          <w:lang w:eastAsia="en-AU"/>
        </w:rPr>
        <w:t xml:space="preserve">fails to meet statutory compliance requirements including budgeting, annual reporting or rate setting;  </w:t>
      </w:r>
    </w:p>
    <w:p w14:paraId="1E14D491" w14:textId="77777777" w:rsidR="00BE49EC" w:rsidRPr="00BE49EC" w:rsidRDefault="00BE49EC" w:rsidP="00CF276F">
      <w:pPr>
        <w:pStyle w:val="BodyText-nospacebelow"/>
        <w:numPr>
          <w:ilvl w:val="0"/>
          <w:numId w:val="60"/>
        </w:numPr>
        <w:jc w:val="both"/>
        <w:rPr>
          <w:lang w:eastAsia="en-AU"/>
        </w:rPr>
      </w:pPr>
      <w:r w:rsidRPr="00BE49EC">
        <w:rPr>
          <w:lang w:eastAsia="en-AU"/>
        </w:rPr>
        <w:t xml:space="preserve">does not comply </w:t>
      </w:r>
      <w:r w:rsidR="007469C3">
        <w:rPr>
          <w:lang w:eastAsia="en-AU"/>
        </w:rPr>
        <w:t xml:space="preserve">with </w:t>
      </w:r>
      <w:r w:rsidRPr="00BE49EC">
        <w:rPr>
          <w:lang w:eastAsia="en-AU"/>
        </w:rPr>
        <w:t xml:space="preserve">responsibilities under the Act or </w:t>
      </w:r>
      <w:r w:rsidR="006A154A">
        <w:rPr>
          <w:lang w:eastAsia="en-AU"/>
        </w:rPr>
        <w:t>r</w:t>
      </w:r>
      <w:r w:rsidRPr="00BE49EC">
        <w:rPr>
          <w:lang w:eastAsia="en-AU"/>
        </w:rPr>
        <w:t xml:space="preserve">egulations including tender provision requirements or reviews of internal procedures; or </w:t>
      </w:r>
    </w:p>
    <w:p w14:paraId="202B9153" w14:textId="77777777" w:rsidR="00BE49EC" w:rsidRDefault="00BE49EC" w:rsidP="00CF276F">
      <w:pPr>
        <w:pStyle w:val="BodyText-nospacebelow"/>
        <w:numPr>
          <w:ilvl w:val="0"/>
          <w:numId w:val="60"/>
        </w:numPr>
        <w:jc w:val="both"/>
        <w:rPr>
          <w:lang w:eastAsia="en-AU"/>
        </w:rPr>
      </w:pPr>
      <w:r w:rsidRPr="00BE49EC">
        <w:rPr>
          <w:lang w:eastAsia="en-AU"/>
        </w:rPr>
        <w:t xml:space="preserve">poor relationships between the administration and the </w:t>
      </w:r>
      <w:r w:rsidR="00D41186">
        <w:rPr>
          <w:lang w:eastAsia="en-AU"/>
        </w:rPr>
        <w:t>c</w:t>
      </w:r>
      <w:r w:rsidRPr="00BE49EC">
        <w:rPr>
          <w:lang w:eastAsia="en-AU"/>
        </w:rPr>
        <w:t xml:space="preserve">ouncil impacting the performance of a local government’s functions. </w:t>
      </w:r>
    </w:p>
    <w:p w14:paraId="4272DE0A" w14:textId="77777777" w:rsidR="00BE49EC" w:rsidRPr="00BE49EC" w:rsidRDefault="00BE49EC" w:rsidP="00CF276F">
      <w:pPr>
        <w:pStyle w:val="BodyText-nospacebelow"/>
        <w:ind w:left="770"/>
        <w:jc w:val="both"/>
        <w:rPr>
          <w:lang w:eastAsia="en-AU"/>
        </w:rPr>
      </w:pPr>
    </w:p>
    <w:p w14:paraId="4BBD0B03" w14:textId="77777777" w:rsidR="00BE49EC" w:rsidRDefault="00BE49EC" w:rsidP="00CF276F">
      <w:pPr>
        <w:pStyle w:val="BodyText-nospacebelow"/>
        <w:jc w:val="both"/>
        <w:rPr>
          <w:lang w:eastAsia="en-AU"/>
        </w:rPr>
      </w:pPr>
      <w:r w:rsidRPr="00BE49EC">
        <w:rPr>
          <w:lang w:eastAsia="en-AU"/>
        </w:rPr>
        <w:t xml:space="preserve">Remedial actions currently take the form of direct interventions.  Suspending a council and installing a commissioner is an option of last resort and is neither an appropriate or effective approach to respond to the </w:t>
      </w:r>
      <w:r w:rsidR="006A154A">
        <w:rPr>
          <w:lang w:eastAsia="en-AU"/>
        </w:rPr>
        <w:t>smaller</w:t>
      </w:r>
      <w:r w:rsidRPr="00BE49EC">
        <w:rPr>
          <w:lang w:eastAsia="en-AU"/>
        </w:rPr>
        <w:t xml:space="preserve"> governance issues that impact local governments from time to time.</w:t>
      </w:r>
    </w:p>
    <w:p w14:paraId="2E5C42B7" w14:textId="77777777" w:rsidR="00BE49EC" w:rsidRPr="00BE49EC" w:rsidRDefault="00BE49EC" w:rsidP="00CF276F">
      <w:pPr>
        <w:pStyle w:val="BodyText-nospacebelow"/>
        <w:jc w:val="both"/>
        <w:rPr>
          <w:lang w:eastAsia="en-AU"/>
        </w:rPr>
      </w:pPr>
    </w:p>
    <w:p w14:paraId="24782B0B" w14:textId="442F95B5" w:rsidR="00BE49EC" w:rsidRDefault="00BE49EC" w:rsidP="00CF276F">
      <w:pPr>
        <w:pStyle w:val="BodyText-nospacebelow"/>
        <w:jc w:val="both"/>
        <w:rPr>
          <w:lang w:eastAsia="en-AU"/>
        </w:rPr>
      </w:pPr>
      <w:r w:rsidRPr="00BE49EC">
        <w:rPr>
          <w:lang w:eastAsia="en-AU"/>
        </w:rPr>
        <w:t>A</w:t>
      </w:r>
      <w:r w:rsidRPr="00BE49EC" w:rsidDel="00C63A7A">
        <w:rPr>
          <w:lang w:eastAsia="en-AU"/>
        </w:rPr>
        <w:t xml:space="preserve"> </w:t>
      </w:r>
      <w:r w:rsidRPr="00BE49EC">
        <w:rPr>
          <w:lang w:eastAsia="en-AU"/>
        </w:rPr>
        <w:t xml:space="preserve">range of options and approaches is needed that is geared towards improving governance for the public, while supporting local democracies.  These options ideally </w:t>
      </w:r>
      <w:r w:rsidR="007469C3">
        <w:rPr>
          <w:lang w:eastAsia="en-AU"/>
        </w:rPr>
        <w:t>should be</w:t>
      </w:r>
      <w:r w:rsidRPr="00BE49EC">
        <w:rPr>
          <w:lang w:eastAsia="en-AU"/>
        </w:rPr>
        <w:t xml:space="preserve"> </w:t>
      </w:r>
      <w:r w:rsidR="007469C3">
        <w:rPr>
          <w:lang w:eastAsia="en-AU"/>
        </w:rPr>
        <w:t>focused on</w:t>
      </w:r>
      <w:r w:rsidRPr="00BE49EC">
        <w:rPr>
          <w:lang w:eastAsia="en-AU"/>
        </w:rPr>
        <w:t xml:space="preserve"> </w:t>
      </w:r>
      <w:r w:rsidR="006A154A">
        <w:rPr>
          <w:lang w:eastAsia="en-AU"/>
        </w:rPr>
        <w:t xml:space="preserve">intervening early, </w:t>
      </w:r>
      <w:r w:rsidRPr="00BE49EC">
        <w:rPr>
          <w:lang w:eastAsia="en-AU"/>
        </w:rPr>
        <w:t xml:space="preserve">building capacity in local governments and working in partnership. </w:t>
      </w:r>
    </w:p>
    <w:p w14:paraId="0A825C9A" w14:textId="7AF6BD61" w:rsidR="004B20E0" w:rsidRDefault="004B20E0" w:rsidP="00BE49EC">
      <w:pPr>
        <w:pStyle w:val="BodyText-nospacebelow"/>
        <w:rPr>
          <w:lang w:eastAsia="en-AU"/>
        </w:rPr>
      </w:pPr>
    </w:p>
    <w:p w14:paraId="31180031" w14:textId="77777777" w:rsidR="00BE49EC" w:rsidRPr="00BE49EC" w:rsidRDefault="00BE49EC" w:rsidP="00BE49EC">
      <w:pPr>
        <w:pStyle w:val="Heading2"/>
      </w:pPr>
      <w:bookmarkStart w:id="883" w:name="_Toc493746770"/>
      <w:bookmarkStart w:id="884" w:name="_Toc493768902"/>
      <w:bookmarkStart w:id="885" w:name="_Toc493859972"/>
      <w:bookmarkStart w:id="886" w:name="_Toc495491850"/>
      <w:bookmarkStart w:id="887" w:name="_Toc495497630"/>
      <w:bookmarkStart w:id="888" w:name="_Toc495671477"/>
      <w:bookmarkStart w:id="889" w:name="_Toc495676078"/>
      <w:bookmarkStart w:id="890" w:name="_Toc495678374"/>
      <w:bookmarkStart w:id="891" w:name="_Toc495998371"/>
      <w:bookmarkStart w:id="892" w:name="_Toc497741841"/>
      <w:r>
        <w:lastRenderedPageBreak/>
        <w:t>Across Australia</w:t>
      </w:r>
      <w:bookmarkEnd w:id="883"/>
      <w:bookmarkEnd w:id="884"/>
      <w:bookmarkEnd w:id="885"/>
      <w:bookmarkEnd w:id="886"/>
      <w:bookmarkEnd w:id="887"/>
      <w:bookmarkEnd w:id="888"/>
      <w:bookmarkEnd w:id="889"/>
      <w:bookmarkEnd w:id="890"/>
      <w:bookmarkEnd w:id="891"/>
      <w:bookmarkEnd w:id="892"/>
    </w:p>
    <w:tbl>
      <w:tblPr>
        <w:tblStyle w:val="DLGCTable-Data"/>
        <w:tblW w:w="9129" w:type="dxa"/>
        <w:tblLook w:val="04A0" w:firstRow="1" w:lastRow="0" w:firstColumn="1" w:lastColumn="0" w:noHBand="0" w:noVBand="1"/>
      </w:tblPr>
      <w:tblGrid>
        <w:gridCol w:w="3755"/>
        <w:gridCol w:w="5374"/>
      </w:tblGrid>
      <w:tr w:rsidR="00BE49EC" w:rsidRPr="00BE49EC" w14:paraId="28358AFE" w14:textId="77777777" w:rsidTr="00B028E4">
        <w:trPr>
          <w:cnfStyle w:val="100000000000" w:firstRow="1" w:lastRow="0" w:firstColumn="0" w:lastColumn="0" w:oddVBand="0" w:evenVBand="0" w:oddHBand="0" w:evenHBand="0" w:firstRowFirstColumn="0" w:firstRowLastColumn="0" w:lastRowFirstColumn="0" w:lastRowLastColumn="0"/>
        </w:trPr>
        <w:tc>
          <w:tcPr>
            <w:tcW w:w="3755" w:type="dxa"/>
            <w:tcMar>
              <w:top w:w="113" w:type="dxa"/>
            </w:tcMar>
          </w:tcPr>
          <w:p w14:paraId="00CC1E50" w14:textId="77777777" w:rsidR="00BE49EC" w:rsidRPr="00BE49EC" w:rsidRDefault="00BE49EC" w:rsidP="00BE49EC">
            <w:pPr>
              <w:pStyle w:val="BodyText-nospacebelow"/>
              <w:spacing w:before="0" w:line="276" w:lineRule="auto"/>
              <w:ind w:left="0" w:right="0"/>
              <w:rPr>
                <w:lang w:eastAsia="en-AU"/>
              </w:rPr>
            </w:pPr>
            <w:r w:rsidRPr="00BE49EC">
              <w:rPr>
                <w:lang w:eastAsia="en-AU"/>
              </w:rPr>
              <w:t>Jurisdiction</w:t>
            </w:r>
          </w:p>
        </w:tc>
        <w:tc>
          <w:tcPr>
            <w:tcW w:w="5374" w:type="dxa"/>
            <w:tcMar>
              <w:top w:w="113" w:type="dxa"/>
            </w:tcMar>
          </w:tcPr>
          <w:p w14:paraId="5132E2D9" w14:textId="7ECF1B44" w:rsidR="00BE49EC" w:rsidRPr="00BE49EC" w:rsidRDefault="00BE49EC" w:rsidP="00A7265E">
            <w:pPr>
              <w:pStyle w:val="BodyText-nospacebelow"/>
              <w:spacing w:before="0" w:line="276" w:lineRule="auto"/>
              <w:ind w:right="0"/>
              <w:rPr>
                <w:lang w:eastAsia="en-AU"/>
              </w:rPr>
            </w:pPr>
            <w:r w:rsidRPr="00BE49EC">
              <w:rPr>
                <w:lang w:eastAsia="en-AU"/>
              </w:rPr>
              <w:t>Provisions</w:t>
            </w:r>
          </w:p>
        </w:tc>
      </w:tr>
      <w:tr w:rsidR="00BE49EC" w:rsidRPr="00BE49EC" w14:paraId="7F82B7FF" w14:textId="77777777" w:rsidTr="00B028E4">
        <w:tc>
          <w:tcPr>
            <w:tcW w:w="3755" w:type="dxa"/>
            <w:tcMar>
              <w:top w:w="113" w:type="dxa"/>
            </w:tcMar>
          </w:tcPr>
          <w:p w14:paraId="29220080" w14:textId="38293517" w:rsidR="00BE49EC" w:rsidRPr="00BE49EC" w:rsidRDefault="00540847" w:rsidP="00BE49EC">
            <w:pPr>
              <w:pStyle w:val="BodyText-nospacebelow"/>
              <w:spacing w:before="0" w:line="276" w:lineRule="auto"/>
              <w:ind w:left="0" w:right="0"/>
              <w:rPr>
                <w:lang w:eastAsia="en-AU"/>
              </w:rPr>
            </w:pPr>
            <w:r>
              <w:rPr>
                <w:lang w:eastAsia="en-AU"/>
              </w:rPr>
              <w:t>New South Wales</w:t>
            </w:r>
          </w:p>
        </w:tc>
        <w:tc>
          <w:tcPr>
            <w:tcW w:w="5374" w:type="dxa"/>
            <w:tcMar>
              <w:top w:w="113" w:type="dxa"/>
            </w:tcMar>
          </w:tcPr>
          <w:p w14:paraId="1879FA41" w14:textId="77777777" w:rsidR="00540847" w:rsidRPr="0061263B" w:rsidRDefault="00540847" w:rsidP="00540847">
            <w:pPr>
              <w:pStyle w:val="BodyText-nospacebelow"/>
              <w:spacing w:after="100" w:line="276" w:lineRule="auto"/>
              <w:ind w:left="0" w:right="0"/>
              <w:rPr>
                <w:lang w:eastAsia="en-AU"/>
              </w:rPr>
            </w:pPr>
            <w:r w:rsidRPr="0061263B">
              <w:rPr>
                <w:lang w:eastAsia="en-AU"/>
              </w:rPr>
              <w:t xml:space="preserve">In </w:t>
            </w:r>
            <w:r>
              <w:rPr>
                <w:lang w:eastAsia="en-AU"/>
              </w:rPr>
              <w:t>New South Wales</w:t>
            </w:r>
            <w:r w:rsidRPr="0061263B">
              <w:rPr>
                <w:lang w:eastAsia="en-AU"/>
              </w:rPr>
              <w:t xml:space="preserve"> there are early intervention powers which are intended to provide the Minister with power to intervene early in a council that is experiencing difficulties. This may include the performance of a general manager (CEO). </w:t>
            </w:r>
          </w:p>
          <w:p w14:paraId="1A825B98" w14:textId="77777777" w:rsidR="00540847" w:rsidRPr="0061263B" w:rsidRDefault="00540847" w:rsidP="00540847">
            <w:pPr>
              <w:pStyle w:val="BodyText-nospacebelow"/>
              <w:spacing w:after="100" w:line="276" w:lineRule="auto"/>
              <w:ind w:left="0" w:right="0"/>
              <w:rPr>
                <w:lang w:eastAsia="en-AU"/>
              </w:rPr>
            </w:pPr>
            <w:r w:rsidRPr="0061263B">
              <w:rPr>
                <w:lang w:eastAsia="en-AU"/>
              </w:rPr>
              <w:t>The Minister can issue performance improvement orders (PIO), and</w:t>
            </w:r>
            <w:r>
              <w:rPr>
                <w:lang w:eastAsia="en-AU"/>
              </w:rPr>
              <w:t>,</w:t>
            </w:r>
            <w:r w:rsidRPr="0061263B">
              <w:rPr>
                <w:lang w:eastAsia="en-AU"/>
              </w:rPr>
              <w:t xml:space="preserve"> in more serious circumstances, can suspend the governing body for up to 3 months (which can be extended for a further 3 months). A PIO can be aimed at addressing administrative deficiencies in the council. </w:t>
            </w:r>
          </w:p>
          <w:p w14:paraId="160090BE" w14:textId="77777777" w:rsidR="00540847" w:rsidRPr="00BE49EC" w:rsidRDefault="00540847" w:rsidP="00540847">
            <w:pPr>
              <w:pStyle w:val="BodyText-nospacebelow"/>
              <w:spacing w:after="100" w:line="276" w:lineRule="auto"/>
              <w:ind w:left="0" w:right="0"/>
              <w:rPr>
                <w:lang w:eastAsia="en-AU"/>
              </w:rPr>
            </w:pPr>
            <w:r w:rsidRPr="0061263B">
              <w:rPr>
                <w:lang w:eastAsia="en-AU"/>
              </w:rPr>
              <w:t>The Minister can appoint a temporary adviser to assist the council in implementing a PIO. Generally this is to assist the administrative body of council, but in some circumstances it is to assist the governing body.</w:t>
            </w:r>
          </w:p>
          <w:p w14:paraId="2EBD772E" w14:textId="77777777" w:rsidR="00540847" w:rsidRPr="0061263B" w:rsidRDefault="00540847" w:rsidP="00540847">
            <w:pPr>
              <w:pStyle w:val="BodyText-nospacebelow"/>
              <w:spacing w:after="100" w:line="276" w:lineRule="auto"/>
              <w:ind w:left="0" w:right="0"/>
              <w:rPr>
                <w:lang w:eastAsia="en-AU"/>
              </w:rPr>
            </w:pPr>
            <w:r w:rsidRPr="0061263B">
              <w:rPr>
                <w:lang w:eastAsia="en-AU"/>
              </w:rPr>
              <w:t>A financial controller can also be appointed to implement financial controls, and other functions relating to council finances, as specified by a PIO or a subsequent order appointing the financial controller.</w:t>
            </w:r>
          </w:p>
          <w:p w14:paraId="7C7A6BB3" w14:textId="43201D9E" w:rsidR="00BE49EC" w:rsidRPr="00BE49EC" w:rsidRDefault="00540847" w:rsidP="000B1797">
            <w:pPr>
              <w:pStyle w:val="BodyText-nospacebelow"/>
              <w:spacing w:after="100" w:line="276" w:lineRule="auto"/>
              <w:ind w:left="0" w:right="0"/>
              <w:rPr>
                <w:lang w:eastAsia="en-AU"/>
              </w:rPr>
            </w:pPr>
            <w:r w:rsidRPr="0061263B">
              <w:rPr>
                <w:lang w:eastAsia="en-AU"/>
              </w:rPr>
              <w:t>The cost is met by the Council.</w:t>
            </w:r>
          </w:p>
        </w:tc>
      </w:tr>
      <w:tr w:rsidR="00B028E4" w:rsidRPr="00BE49EC" w14:paraId="204BE04C" w14:textId="77777777" w:rsidTr="00B028E4">
        <w:tc>
          <w:tcPr>
            <w:tcW w:w="3755" w:type="dxa"/>
            <w:tcMar>
              <w:top w:w="113" w:type="dxa"/>
            </w:tcMar>
          </w:tcPr>
          <w:p w14:paraId="68985F83" w14:textId="77777777" w:rsidR="00B028E4" w:rsidRPr="0061263B" w:rsidRDefault="00B028E4" w:rsidP="00CD184D">
            <w:pPr>
              <w:pStyle w:val="BodyText-nospacebelow"/>
              <w:spacing w:before="0" w:line="276" w:lineRule="auto"/>
              <w:ind w:left="0" w:right="0"/>
              <w:rPr>
                <w:lang w:eastAsia="en-AU"/>
              </w:rPr>
            </w:pPr>
            <w:r>
              <w:rPr>
                <w:lang w:eastAsia="en-AU"/>
              </w:rPr>
              <w:t>Victoria</w:t>
            </w:r>
          </w:p>
        </w:tc>
        <w:tc>
          <w:tcPr>
            <w:tcW w:w="5374" w:type="dxa"/>
            <w:tcMar>
              <w:top w:w="113" w:type="dxa"/>
            </w:tcMar>
          </w:tcPr>
          <w:p w14:paraId="38951A01" w14:textId="77777777" w:rsidR="00B028E4" w:rsidRPr="00BE49EC" w:rsidRDefault="00B028E4" w:rsidP="00CD184D">
            <w:pPr>
              <w:pStyle w:val="BodyText-nospacebelow"/>
              <w:spacing w:after="100" w:line="276" w:lineRule="auto"/>
              <w:ind w:left="0" w:right="0"/>
              <w:rPr>
                <w:lang w:eastAsia="en-AU"/>
              </w:rPr>
            </w:pPr>
            <w:r w:rsidRPr="00BE49EC">
              <w:rPr>
                <w:lang w:eastAsia="en-AU"/>
              </w:rPr>
              <w:t xml:space="preserve">The Minister </w:t>
            </w:r>
            <w:r>
              <w:rPr>
                <w:lang w:eastAsia="en-AU"/>
              </w:rPr>
              <w:t>can</w:t>
            </w:r>
            <w:r w:rsidRPr="00BE49EC">
              <w:rPr>
                <w:lang w:eastAsia="en-AU"/>
              </w:rPr>
              <w:t xml:space="preserve"> appoint a municipal monitor at a local government to investigate complaints. </w:t>
            </w:r>
          </w:p>
          <w:p w14:paraId="4B13640A" w14:textId="77777777" w:rsidR="00B028E4" w:rsidRPr="00BE49EC" w:rsidRDefault="00B028E4" w:rsidP="00CD184D">
            <w:pPr>
              <w:pStyle w:val="BodyText-nospacebelow"/>
              <w:spacing w:after="100" w:line="276" w:lineRule="auto"/>
              <w:ind w:left="0" w:right="0"/>
              <w:rPr>
                <w:lang w:eastAsia="en-AU"/>
              </w:rPr>
            </w:pPr>
            <w:r w:rsidRPr="00BE49EC">
              <w:rPr>
                <w:lang w:eastAsia="en-AU"/>
              </w:rPr>
              <w:t xml:space="preserve">The municipal monitor’s function is to monitor council governance processes and practices, advise the council on governance improvements they should make, report to the Minister on any steps or actions taken by the council to improve its governance and </w:t>
            </w:r>
            <w:r>
              <w:rPr>
                <w:lang w:eastAsia="en-AU"/>
              </w:rPr>
              <w:t xml:space="preserve">the </w:t>
            </w:r>
            <w:r w:rsidRPr="00BE49EC">
              <w:rPr>
                <w:lang w:eastAsia="en-AU"/>
              </w:rPr>
              <w:t xml:space="preserve">effectiveness of those steps, investigate any referred complaint received by the </w:t>
            </w:r>
            <w:r>
              <w:rPr>
                <w:lang w:eastAsia="en-AU"/>
              </w:rPr>
              <w:t>M</w:t>
            </w:r>
            <w:r w:rsidRPr="00BE49EC">
              <w:rPr>
                <w:lang w:eastAsia="en-AU"/>
              </w:rPr>
              <w:t xml:space="preserve">inister, provide advice to and prepare a report for the </w:t>
            </w:r>
            <w:r w:rsidRPr="00BE49EC">
              <w:rPr>
                <w:lang w:eastAsia="en-AU"/>
              </w:rPr>
              <w:lastRenderedPageBreak/>
              <w:t>Minister in relation to a complaint</w:t>
            </w:r>
            <w:r>
              <w:rPr>
                <w:lang w:eastAsia="en-AU"/>
              </w:rPr>
              <w:t>,</w:t>
            </w:r>
            <w:r w:rsidRPr="00BE49EC">
              <w:rPr>
                <w:lang w:eastAsia="en-AU"/>
              </w:rPr>
              <w:t xml:space="preserve"> and monitor and report to the Minister on any other matters determined by the Minister. </w:t>
            </w:r>
          </w:p>
          <w:p w14:paraId="41F1BF01" w14:textId="77777777" w:rsidR="00B028E4" w:rsidRDefault="00B028E4" w:rsidP="00CD184D">
            <w:pPr>
              <w:ind w:left="0"/>
            </w:pPr>
            <w:r w:rsidRPr="00BE49EC">
              <w:rPr>
                <w:lang w:eastAsia="en-AU"/>
              </w:rPr>
              <w:t>The cost is met by the Council</w:t>
            </w:r>
            <w:r>
              <w:rPr>
                <w:lang w:eastAsia="en-AU"/>
              </w:rPr>
              <w:t>.</w:t>
            </w:r>
          </w:p>
          <w:p w14:paraId="72396E5D" w14:textId="77777777" w:rsidR="00B028E4" w:rsidRPr="0061263B" w:rsidRDefault="00B028E4" w:rsidP="00CD184D">
            <w:pPr>
              <w:pStyle w:val="BodyText-nospacebelow"/>
              <w:spacing w:after="100" w:line="276" w:lineRule="auto"/>
              <w:ind w:left="0" w:right="0"/>
              <w:rPr>
                <w:lang w:eastAsia="en-AU"/>
              </w:rPr>
            </w:pPr>
          </w:p>
        </w:tc>
      </w:tr>
      <w:tr w:rsidR="00BE49EC" w:rsidRPr="00BE49EC" w14:paraId="6383F74F" w14:textId="77777777" w:rsidTr="00B028E4">
        <w:tc>
          <w:tcPr>
            <w:tcW w:w="3755" w:type="dxa"/>
            <w:tcMar>
              <w:top w:w="113" w:type="dxa"/>
            </w:tcMar>
          </w:tcPr>
          <w:p w14:paraId="54D9A925" w14:textId="421D1DCD" w:rsidR="00BE49EC" w:rsidRPr="0061263B" w:rsidRDefault="00540847" w:rsidP="00BE49EC">
            <w:pPr>
              <w:pStyle w:val="BodyText-nospacebelow"/>
              <w:spacing w:before="0" w:line="276" w:lineRule="auto"/>
              <w:ind w:left="0" w:right="0"/>
              <w:rPr>
                <w:lang w:eastAsia="en-AU"/>
              </w:rPr>
            </w:pPr>
            <w:r>
              <w:rPr>
                <w:lang w:eastAsia="en-AU"/>
              </w:rPr>
              <w:lastRenderedPageBreak/>
              <w:t>Queensland</w:t>
            </w:r>
          </w:p>
        </w:tc>
        <w:tc>
          <w:tcPr>
            <w:tcW w:w="5374" w:type="dxa"/>
            <w:tcMar>
              <w:top w:w="113" w:type="dxa"/>
            </w:tcMar>
          </w:tcPr>
          <w:p w14:paraId="3D3AE5DB" w14:textId="77777777" w:rsidR="00540847" w:rsidRPr="0061263B" w:rsidRDefault="00540847" w:rsidP="00540847">
            <w:pPr>
              <w:pStyle w:val="BodyText-nospacebelow"/>
              <w:spacing w:after="100" w:line="276" w:lineRule="auto"/>
              <w:ind w:left="0" w:right="0"/>
              <w:rPr>
                <w:lang w:eastAsia="en-AU"/>
              </w:rPr>
            </w:pPr>
            <w:r w:rsidRPr="0061263B">
              <w:rPr>
                <w:lang w:eastAsia="en-AU"/>
              </w:rPr>
              <w:t xml:space="preserve">If information gathered by the </w:t>
            </w:r>
            <w:r>
              <w:rPr>
                <w:lang w:eastAsia="en-AU"/>
              </w:rPr>
              <w:t>department</w:t>
            </w:r>
            <w:r w:rsidRPr="0061263B">
              <w:rPr>
                <w:lang w:eastAsia="en-AU"/>
              </w:rPr>
              <w:t xml:space="preserve"> CEO shows a local government or councillor is not performing their responsibility properly or complying with the </w:t>
            </w:r>
            <w:r w:rsidRPr="0061263B">
              <w:rPr>
                <w:i/>
                <w:lang w:eastAsia="en-AU"/>
              </w:rPr>
              <w:t>Local Government Act 2009</w:t>
            </w:r>
            <w:r w:rsidRPr="0061263B">
              <w:rPr>
                <w:lang w:eastAsia="en-AU"/>
              </w:rPr>
              <w:t>, the information may be provided to the Minister along with recommendations about what remedial action to take.</w:t>
            </w:r>
            <w:r w:rsidRPr="00BE49EC">
              <w:rPr>
                <w:lang w:eastAsia="en-AU"/>
              </w:rPr>
              <w:t xml:space="preserve"> </w:t>
            </w:r>
            <w:r w:rsidRPr="0061263B">
              <w:rPr>
                <w:lang w:eastAsia="en-AU"/>
              </w:rPr>
              <w:t xml:space="preserve">Remedial action is </w:t>
            </w:r>
            <w:r>
              <w:rPr>
                <w:lang w:eastAsia="en-AU"/>
              </w:rPr>
              <w:t>an</w:t>
            </w:r>
            <w:r w:rsidRPr="0061263B">
              <w:rPr>
                <w:lang w:eastAsia="en-AU"/>
              </w:rPr>
              <w:t xml:space="preserve"> action to improve the performance or compliance of a local government or councillor. The Minister may take remedial action that the Minister considers appropriate.</w:t>
            </w:r>
          </w:p>
          <w:p w14:paraId="1790CE3D" w14:textId="77777777" w:rsidR="00540847" w:rsidRPr="0061263B" w:rsidRDefault="00540847" w:rsidP="00540847">
            <w:pPr>
              <w:pStyle w:val="BodyText-nospacebelow"/>
              <w:spacing w:after="100" w:line="276" w:lineRule="auto"/>
              <w:ind w:left="0" w:right="0"/>
              <w:rPr>
                <w:lang w:eastAsia="en-AU"/>
              </w:rPr>
            </w:pPr>
            <w:r w:rsidRPr="0061263B">
              <w:rPr>
                <w:lang w:eastAsia="en-AU"/>
              </w:rPr>
              <w:t>Remedial action may include, for example, directing—</w:t>
            </w:r>
          </w:p>
          <w:p w14:paraId="2944BF2C" w14:textId="77777777" w:rsidR="00540847" w:rsidRPr="0061263B" w:rsidRDefault="00540847" w:rsidP="00540847">
            <w:pPr>
              <w:pStyle w:val="BodyText-nospacebelow"/>
              <w:spacing w:after="100" w:line="276" w:lineRule="auto"/>
              <w:ind w:left="720" w:right="0"/>
              <w:rPr>
                <w:lang w:eastAsia="en-AU"/>
              </w:rPr>
            </w:pPr>
            <w:r w:rsidRPr="0061263B">
              <w:rPr>
                <w:lang w:eastAsia="en-AU"/>
              </w:rPr>
              <w:t xml:space="preserve">(a) the local government or councillor to take the action that is necessary to comply with </w:t>
            </w:r>
            <w:r>
              <w:rPr>
                <w:lang w:eastAsia="en-AU"/>
              </w:rPr>
              <w:t>the</w:t>
            </w:r>
            <w:r w:rsidRPr="0061263B">
              <w:rPr>
                <w:lang w:eastAsia="en-AU"/>
              </w:rPr>
              <w:t xml:space="preserve"> </w:t>
            </w:r>
            <w:r w:rsidRPr="0061263B">
              <w:rPr>
                <w:i/>
                <w:lang w:eastAsia="en-AU"/>
              </w:rPr>
              <w:t>Local Government Act 2009</w:t>
            </w:r>
            <w:r w:rsidRPr="0061263B">
              <w:rPr>
                <w:lang w:eastAsia="en-AU"/>
              </w:rPr>
              <w:t>; or</w:t>
            </w:r>
          </w:p>
          <w:p w14:paraId="4D66B9A0" w14:textId="77777777" w:rsidR="00540847" w:rsidRPr="0061263B" w:rsidRDefault="00540847" w:rsidP="00540847">
            <w:pPr>
              <w:pStyle w:val="BodyText-nospacebelow"/>
              <w:spacing w:after="100" w:line="276" w:lineRule="auto"/>
              <w:ind w:left="720" w:right="0"/>
              <w:rPr>
                <w:lang w:eastAsia="en-AU"/>
              </w:rPr>
            </w:pPr>
            <w:r w:rsidRPr="0061263B">
              <w:rPr>
                <w:lang w:eastAsia="en-AU"/>
              </w:rPr>
              <w:t xml:space="preserve">(b) the local government to replace a resolution that is contrary to a </w:t>
            </w:r>
            <w:r w:rsidRPr="0061263B">
              <w:rPr>
                <w:i/>
                <w:lang w:eastAsia="en-AU"/>
              </w:rPr>
              <w:t>Local Government Act 2009</w:t>
            </w:r>
            <w:r w:rsidRPr="0061263B">
              <w:rPr>
                <w:lang w:eastAsia="en-AU"/>
              </w:rPr>
              <w:t xml:space="preserve"> with a resolution that complies; or</w:t>
            </w:r>
          </w:p>
          <w:p w14:paraId="78EC0344" w14:textId="77777777" w:rsidR="00540847" w:rsidRPr="0061263B" w:rsidRDefault="00540847" w:rsidP="00540847">
            <w:pPr>
              <w:pStyle w:val="BodyText-nospacebelow"/>
              <w:spacing w:after="100" w:line="276" w:lineRule="auto"/>
              <w:ind w:left="720" w:right="0"/>
              <w:rPr>
                <w:lang w:eastAsia="en-AU"/>
              </w:rPr>
            </w:pPr>
            <w:r w:rsidRPr="0061263B">
              <w:rPr>
                <w:lang w:eastAsia="en-AU"/>
              </w:rPr>
              <w:t xml:space="preserve">(c) the local government to amend a local law by removing a provision that is contrary to </w:t>
            </w:r>
            <w:r>
              <w:rPr>
                <w:lang w:eastAsia="en-AU"/>
              </w:rPr>
              <w:t>the</w:t>
            </w:r>
            <w:r w:rsidRPr="0061263B">
              <w:rPr>
                <w:lang w:eastAsia="en-AU"/>
              </w:rPr>
              <w:t xml:space="preserve"> </w:t>
            </w:r>
            <w:r w:rsidRPr="0061263B">
              <w:rPr>
                <w:i/>
                <w:lang w:eastAsia="en-AU"/>
              </w:rPr>
              <w:t>Local Government Act 2009</w:t>
            </w:r>
          </w:p>
          <w:p w14:paraId="1146473C" w14:textId="77777777" w:rsidR="00540847" w:rsidRPr="0061263B" w:rsidRDefault="00540847" w:rsidP="00540847">
            <w:pPr>
              <w:pStyle w:val="BodyText-nospacebelow"/>
              <w:spacing w:after="100" w:line="276" w:lineRule="auto"/>
              <w:ind w:left="0" w:right="0"/>
              <w:rPr>
                <w:lang w:eastAsia="en-AU"/>
              </w:rPr>
            </w:pPr>
            <w:r w:rsidRPr="0061263B">
              <w:rPr>
                <w:lang w:eastAsia="en-AU"/>
              </w:rPr>
              <w:t>If the local government is not performing appropriately, an advisor can be appointed. The advisor</w:t>
            </w:r>
            <w:r>
              <w:rPr>
                <w:lang w:eastAsia="en-AU"/>
              </w:rPr>
              <w:t>’</w:t>
            </w:r>
            <w:r w:rsidRPr="0061263B">
              <w:rPr>
                <w:lang w:eastAsia="en-AU"/>
              </w:rPr>
              <w:t xml:space="preserve">s role is to help the local government build its capacity to perform its responsibilities properly or comply with the </w:t>
            </w:r>
            <w:r w:rsidRPr="0061263B">
              <w:rPr>
                <w:i/>
                <w:lang w:eastAsia="en-AU"/>
              </w:rPr>
              <w:t>Local Government Act 2009</w:t>
            </w:r>
            <w:r>
              <w:rPr>
                <w:lang w:eastAsia="en-AU"/>
              </w:rPr>
              <w:t xml:space="preserve"> and perform </w:t>
            </w:r>
            <w:r w:rsidRPr="0061263B">
              <w:rPr>
                <w:lang w:eastAsia="en-AU"/>
              </w:rPr>
              <w:t>other related duties as directed by the department CEO</w:t>
            </w:r>
            <w:r>
              <w:rPr>
                <w:lang w:eastAsia="en-AU"/>
              </w:rPr>
              <w:t>.</w:t>
            </w:r>
          </w:p>
          <w:p w14:paraId="50278244" w14:textId="77777777" w:rsidR="00540847" w:rsidRPr="0061263B" w:rsidRDefault="00540847" w:rsidP="00540847">
            <w:pPr>
              <w:pStyle w:val="BodyText-nospacebelow"/>
              <w:spacing w:after="100" w:line="276" w:lineRule="auto"/>
              <w:ind w:left="0" w:right="0"/>
              <w:rPr>
                <w:lang w:eastAsia="en-AU"/>
              </w:rPr>
            </w:pPr>
            <w:r w:rsidRPr="0061263B">
              <w:rPr>
                <w:lang w:eastAsia="en-AU"/>
              </w:rPr>
              <w:lastRenderedPageBreak/>
              <w:t>If the local government is not performing appropriately, a financial controller can be appointed to implement financial controls as directed by the department CEO; and perform other related duties as directed by the department CEO. Payments from an account kept by the local government require the financial controller’s approval.</w:t>
            </w:r>
          </w:p>
          <w:p w14:paraId="6EB65266" w14:textId="61AF5D1D" w:rsidR="00BE49EC" w:rsidRPr="0061263B" w:rsidRDefault="00540847" w:rsidP="000B1797">
            <w:pPr>
              <w:pStyle w:val="BodyText-nospacebelow"/>
              <w:spacing w:after="100" w:line="276" w:lineRule="auto"/>
              <w:ind w:left="0" w:right="0"/>
              <w:rPr>
                <w:lang w:eastAsia="en-AU"/>
              </w:rPr>
            </w:pPr>
            <w:r w:rsidRPr="0061263B">
              <w:rPr>
                <w:lang w:eastAsia="en-AU"/>
              </w:rPr>
              <w:t>The costs are paid to the State by the local government</w:t>
            </w:r>
            <w:r w:rsidR="00342486">
              <w:rPr>
                <w:lang w:eastAsia="en-AU"/>
              </w:rPr>
              <w:t>.</w:t>
            </w:r>
          </w:p>
        </w:tc>
      </w:tr>
      <w:tr w:rsidR="00BE49EC" w:rsidRPr="00BE49EC" w14:paraId="2BF0D23C" w14:textId="77777777" w:rsidTr="00B028E4">
        <w:tc>
          <w:tcPr>
            <w:tcW w:w="3755" w:type="dxa"/>
            <w:tcMar>
              <w:top w:w="113" w:type="dxa"/>
            </w:tcMar>
          </w:tcPr>
          <w:p w14:paraId="3666190C" w14:textId="76B01FBA" w:rsidR="00BE49EC" w:rsidRPr="0061263B" w:rsidRDefault="00540847" w:rsidP="00BE49EC">
            <w:pPr>
              <w:pStyle w:val="BodyText-nospacebelow"/>
              <w:spacing w:before="0" w:line="276" w:lineRule="auto"/>
              <w:ind w:left="0" w:right="0"/>
              <w:rPr>
                <w:lang w:eastAsia="en-AU"/>
              </w:rPr>
            </w:pPr>
            <w:r>
              <w:rPr>
                <w:lang w:eastAsia="en-AU"/>
              </w:rPr>
              <w:lastRenderedPageBreak/>
              <w:t>South Australia</w:t>
            </w:r>
          </w:p>
        </w:tc>
        <w:tc>
          <w:tcPr>
            <w:tcW w:w="5374" w:type="dxa"/>
            <w:tcMar>
              <w:top w:w="113" w:type="dxa"/>
            </w:tcMar>
          </w:tcPr>
          <w:p w14:paraId="05DBABEB" w14:textId="77777777" w:rsidR="00540847" w:rsidRPr="0061263B" w:rsidRDefault="00540847" w:rsidP="00540847">
            <w:pPr>
              <w:pStyle w:val="BodyText-nospacebelow"/>
              <w:spacing w:after="100" w:line="276" w:lineRule="auto"/>
              <w:ind w:left="0" w:right="0"/>
              <w:rPr>
                <w:lang w:eastAsia="en-AU"/>
              </w:rPr>
            </w:pPr>
            <w:r w:rsidRPr="0061263B">
              <w:rPr>
                <w:lang w:eastAsia="en-AU"/>
              </w:rPr>
              <w:t>Can appoint an administrator to undertake the affairs of the council if a council is dismissed for not undertaking its duties.</w:t>
            </w:r>
          </w:p>
          <w:p w14:paraId="727FCD38" w14:textId="23FAECE1" w:rsidR="00BE49EC" w:rsidRPr="0061263B" w:rsidRDefault="00540847" w:rsidP="000B1797">
            <w:pPr>
              <w:pStyle w:val="BodyText-nospacebelow"/>
              <w:spacing w:after="100" w:line="276" w:lineRule="auto"/>
              <w:ind w:left="0" w:right="0"/>
              <w:rPr>
                <w:lang w:eastAsia="en-AU"/>
              </w:rPr>
            </w:pPr>
            <w:r w:rsidRPr="0061263B">
              <w:rPr>
                <w:lang w:eastAsia="en-AU"/>
              </w:rPr>
              <w:t>The remuneration of an administrator is paid out of the funds of the defaulting council</w:t>
            </w:r>
            <w:r w:rsidR="00342486">
              <w:rPr>
                <w:lang w:eastAsia="en-AU"/>
              </w:rPr>
              <w:t>.</w:t>
            </w:r>
          </w:p>
        </w:tc>
      </w:tr>
      <w:tr w:rsidR="00BE49EC" w:rsidRPr="00BE49EC" w14:paraId="5AE268BD" w14:textId="77777777" w:rsidTr="00B028E4">
        <w:tc>
          <w:tcPr>
            <w:tcW w:w="3755" w:type="dxa"/>
            <w:tcMar>
              <w:top w:w="113" w:type="dxa"/>
            </w:tcMar>
          </w:tcPr>
          <w:p w14:paraId="50BE090F" w14:textId="040CFBDF" w:rsidR="00BE49EC" w:rsidRPr="0061263B" w:rsidRDefault="00540847" w:rsidP="00BE49EC">
            <w:pPr>
              <w:pStyle w:val="BodyText-nospacebelow"/>
              <w:spacing w:before="0" w:line="276" w:lineRule="auto"/>
              <w:ind w:left="0" w:right="0"/>
              <w:rPr>
                <w:lang w:eastAsia="en-AU"/>
              </w:rPr>
            </w:pPr>
            <w:r>
              <w:rPr>
                <w:lang w:eastAsia="en-AU"/>
              </w:rPr>
              <w:t>Tasmania</w:t>
            </w:r>
          </w:p>
        </w:tc>
        <w:tc>
          <w:tcPr>
            <w:tcW w:w="5374" w:type="dxa"/>
            <w:tcMar>
              <w:top w:w="113" w:type="dxa"/>
            </w:tcMar>
          </w:tcPr>
          <w:p w14:paraId="256E664F" w14:textId="3548BF21" w:rsidR="00856070" w:rsidRDefault="00540847">
            <w:pPr>
              <w:pStyle w:val="BodyText-nospacebelow"/>
              <w:spacing w:after="100" w:line="276" w:lineRule="auto"/>
              <w:ind w:left="0" w:right="0"/>
              <w:rPr>
                <w:lang w:eastAsia="en-AU"/>
              </w:rPr>
            </w:pPr>
            <w:r>
              <w:rPr>
                <w:lang w:eastAsia="en-AU"/>
              </w:rPr>
              <w:t>Can appoint a Commissioner to assist the Council, but no powers exist to</w:t>
            </w:r>
            <w:r w:rsidR="00856070">
              <w:rPr>
                <w:lang w:eastAsia="en-AU"/>
              </w:rPr>
              <w:t xml:space="preserve"> </w:t>
            </w:r>
            <w:r w:rsidR="00342486">
              <w:rPr>
                <w:lang w:eastAsia="en-AU"/>
              </w:rPr>
              <w:t xml:space="preserve">assist </w:t>
            </w:r>
            <w:r w:rsidR="00856070">
              <w:rPr>
                <w:lang w:eastAsia="en-AU"/>
              </w:rPr>
              <w:t>with the administrative functions of the Council.</w:t>
            </w:r>
          </w:p>
          <w:p w14:paraId="17BD7947" w14:textId="58390DA7" w:rsidR="00BE49EC" w:rsidRPr="0061263B" w:rsidRDefault="00856070">
            <w:pPr>
              <w:pStyle w:val="BodyText-nospacebelow"/>
              <w:spacing w:after="100" w:line="276" w:lineRule="auto"/>
              <w:ind w:left="0" w:right="0"/>
              <w:rPr>
                <w:lang w:eastAsia="en-AU"/>
              </w:rPr>
            </w:pPr>
            <w:r>
              <w:rPr>
                <w:lang w:eastAsia="en-AU"/>
              </w:rPr>
              <w:t>The defaulting council is to pay the Commissioner.</w:t>
            </w:r>
          </w:p>
        </w:tc>
      </w:tr>
      <w:tr w:rsidR="00BE49EC" w:rsidRPr="00BE49EC" w14:paraId="59A4063F" w14:textId="77777777" w:rsidTr="00B028E4">
        <w:trPr>
          <w:trHeight w:val="416"/>
        </w:trPr>
        <w:tc>
          <w:tcPr>
            <w:tcW w:w="3755" w:type="dxa"/>
            <w:tcMar>
              <w:top w:w="113" w:type="dxa"/>
            </w:tcMar>
          </w:tcPr>
          <w:p w14:paraId="3AD91398" w14:textId="77777777" w:rsidR="00BE49EC" w:rsidRPr="0061263B" w:rsidRDefault="00332EB0" w:rsidP="00BE49EC">
            <w:pPr>
              <w:pStyle w:val="BodyText-nospacebelow"/>
              <w:spacing w:before="0" w:line="276" w:lineRule="auto"/>
              <w:ind w:left="0" w:right="0"/>
              <w:rPr>
                <w:lang w:eastAsia="en-AU"/>
              </w:rPr>
            </w:pPr>
            <w:r>
              <w:rPr>
                <w:lang w:eastAsia="en-AU"/>
              </w:rPr>
              <w:t>Northern Territory</w:t>
            </w:r>
          </w:p>
        </w:tc>
        <w:tc>
          <w:tcPr>
            <w:tcW w:w="5374" w:type="dxa"/>
            <w:tcMar>
              <w:top w:w="113" w:type="dxa"/>
            </w:tcMar>
          </w:tcPr>
          <w:p w14:paraId="34D18E81" w14:textId="77777777" w:rsidR="00BE49EC" w:rsidRPr="0061263B" w:rsidRDefault="00BE49EC" w:rsidP="000B1797">
            <w:pPr>
              <w:pStyle w:val="BodyText-nospacebelow"/>
              <w:spacing w:after="100" w:line="276" w:lineRule="auto"/>
              <w:ind w:left="0" w:right="0"/>
              <w:rPr>
                <w:lang w:eastAsia="en-AU"/>
              </w:rPr>
            </w:pPr>
            <w:r w:rsidRPr="0061263B">
              <w:rPr>
                <w:lang w:eastAsia="en-AU"/>
              </w:rPr>
              <w:t xml:space="preserve">The Minister may establish a Commission of Inquiry to consider the affairs of a particular council. If deficiencies are identified, the Minister can recommend to the council specified remedial action to ensure </w:t>
            </w:r>
            <w:r w:rsidR="006A154A">
              <w:rPr>
                <w:lang w:eastAsia="en-AU"/>
              </w:rPr>
              <w:t xml:space="preserve">the </w:t>
            </w:r>
            <w:r w:rsidRPr="0061263B">
              <w:rPr>
                <w:lang w:eastAsia="en-AU"/>
              </w:rPr>
              <w:t xml:space="preserve">deficiencies are addressed. The Minister may place the council under official management if the deficiencies are serious enough or if the council has not remedied the situation. This applies to the council and not to </w:t>
            </w:r>
            <w:r w:rsidR="006A154A">
              <w:rPr>
                <w:lang w:eastAsia="en-AU"/>
              </w:rPr>
              <w:t xml:space="preserve">the </w:t>
            </w:r>
            <w:r w:rsidRPr="0061263B">
              <w:rPr>
                <w:lang w:eastAsia="en-AU"/>
              </w:rPr>
              <w:t xml:space="preserve">administration. </w:t>
            </w:r>
          </w:p>
          <w:p w14:paraId="6654ADFF" w14:textId="77777777" w:rsidR="00BE49EC" w:rsidRPr="00BE49EC" w:rsidRDefault="00BE49EC" w:rsidP="000B1797">
            <w:pPr>
              <w:pStyle w:val="BodyText-nospacebelow"/>
              <w:spacing w:after="100" w:line="276" w:lineRule="auto"/>
              <w:ind w:left="0" w:right="0"/>
              <w:rPr>
                <w:lang w:eastAsia="en-AU"/>
              </w:rPr>
            </w:pPr>
            <w:r w:rsidRPr="0061263B">
              <w:rPr>
                <w:lang w:eastAsia="en-AU"/>
              </w:rPr>
              <w:t xml:space="preserve">Council pays for </w:t>
            </w:r>
            <w:r w:rsidRPr="00BE49EC">
              <w:rPr>
                <w:lang w:eastAsia="en-AU"/>
              </w:rPr>
              <w:t xml:space="preserve">the </w:t>
            </w:r>
            <w:r w:rsidRPr="0061263B">
              <w:rPr>
                <w:lang w:eastAsia="en-AU"/>
              </w:rPr>
              <w:t>official manager.</w:t>
            </w:r>
            <w:r w:rsidRPr="00BE49EC">
              <w:rPr>
                <w:lang w:eastAsia="en-AU"/>
              </w:rPr>
              <w:t xml:space="preserve"> The official manager has full power to transact any business of the council and </w:t>
            </w:r>
            <w:r w:rsidR="00690CA8">
              <w:rPr>
                <w:lang w:eastAsia="en-AU"/>
              </w:rPr>
              <w:t>perform any of its normal functions</w:t>
            </w:r>
            <w:r w:rsidRPr="00BE49EC">
              <w:rPr>
                <w:lang w:eastAsia="en-AU"/>
              </w:rPr>
              <w:t>.</w:t>
            </w:r>
          </w:p>
        </w:tc>
      </w:tr>
    </w:tbl>
    <w:p w14:paraId="04908D56" w14:textId="77777777" w:rsidR="00BE49EC" w:rsidRPr="00BE49EC" w:rsidRDefault="00BE49EC" w:rsidP="00CF276F">
      <w:pPr>
        <w:pStyle w:val="Heading3"/>
        <w:jc w:val="both"/>
        <w:rPr>
          <w:lang w:eastAsia="en-AU"/>
        </w:rPr>
      </w:pPr>
      <w:bookmarkStart w:id="893" w:name="_Toc492368904"/>
      <w:bookmarkStart w:id="894" w:name="_Toc492386631"/>
      <w:bookmarkStart w:id="895" w:name="_Toc492468872"/>
      <w:bookmarkStart w:id="896" w:name="_Toc492470547"/>
      <w:bookmarkStart w:id="897" w:name="_Toc492471227"/>
      <w:bookmarkStart w:id="898" w:name="_Toc492471352"/>
      <w:bookmarkStart w:id="899" w:name="_Toc493746771"/>
      <w:bookmarkStart w:id="900" w:name="_Toc493768903"/>
      <w:bookmarkStart w:id="901" w:name="_Toc493859973"/>
      <w:bookmarkStart w:id="902" w:name="_Toc495491851"/>
      <w:bookmarkStart w:id="903" w:name="_Toc495497631"/>
      <w:bookmarkStart w:id="904" w:name="_Toc495671478"/>
      <w:bookmarkStart w:id="905" w:name="_Toc495676079"/>
      <w:bookmarkStart w:id="906" w:name="_Toc495678375"/>
      <w:bookmarkStart w:id="907" w:name="_Toc495998372"/>
      <w:bookmarkStart w:id="908" w:name="_Toc497741842"/>
      <w:r w:rsidRPr="00BE49EC">
        <w:rPr>
          <w:lang w:eastAsia="en-AU"/>
        </w:rPr>
        <w:lastRenderedPageBreak/>
        <w:t>Proposed Remedial Action Process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388AC5AE" w14:textId="77777777" w:rsidR="00BE49EC" w:rsidRDefault="00BE49EC" w:rsidP="00CF276F">
      <w:pPr>
        <w:pStyle w:val="BodyText-nospacebelow"/>
        <w:jc w:val="both"/>
        <w:rPr>
          <w:lang w:eastAsia="en-AU"/>
        </w:rPr>
      </w:pPr>
      <w:r w:rsidRPr="00BE49EC">
        <w:rPr>
          <w:lang w:eastAsia="en-AU"/>
        </w:rPr>
        <w:t xml:space="preserve">The introduction of more sophisticated ways to work with local governments to improve financial management, governance and performance has the potential to prevent large-scale issues and </w:t>
      </w:r>
      <w:r w:rsidR="00DF3025">
        <w:rPr>
          <w:lang w:eastAsia="en-AU"/>
        </w:rPr>
        <w:t xml:space="preserve">to </w:t>
      </w:r>
      <w:r w:rsidRPr="00BE49EC">
        <w:rPr>
          <w:lang w:eastAsia="en-AU"/>
        </w:rPr>
        <w:t>strengthen local government capacity.</w:t>
      </w:r>
    </w:p>
    <w:p w14:paraId="3ECE68D8" w14:textId="77777777" w:rsidR="00BE49EC" w:rsidRPr="00BE49EC" w:rsidRDefault="00BE49EC" w:rsidP="00CF276F">
      <w:pPr>
        <w:pStyle w:val="BodyText-nospacebelow"/>
        <w:jc w:val="both"/>
        <w:rPr>
          <w:lang w:eastAsia="en-AU"/>
        </w:rPr>
      </w:pPr>
    </w:p>
    <w:p w14:paraId="0F990EFF" w14:textId="1C02EEA1" w:rsidR="00BE49EC" w:rsidRPr="00BE49EC" w:rsidRDefault="00412331" w:rsidP="00CF276F">
      <w:pPr>
        <w:pStyle w:val="BodyText-nospacebelow"/>
        <w:jc w:val="both"/>
        <w:rPr>
          <w:lang w:eastAsia="en-AU"/>
        </w:rPr>
      </w:pPr>
      <w:r>
        <w:rPr>
          <w:lang w:eastAsia="en-AU"/>
        </w:rPr>
        <w:t>C</w:t>
      </w:r>
      <w:r w:rsidR="00BE49EC" w:rsidRPr="00BE49EC">
        <w:rPr>
          <w:lang w:eastAsia="en-AU"/>
        </w:rPr>
        <w:t>urrently</w:t>
      </w:r>
      <w:r>
        <w:rPr>
          <w:lang w:eastAsia="en-AU"/>
        </w:rPr>
        <w:t>,</w:t>
      </w:r>
      <w:r w:rsidR="00BE49EC" w:rsidRPr="00BE49EC">
        <w:rPr>
          <w:lang w:eastAsia="en-AU"/>
        </w:rPr>
        <w:t xml:space="preserve"> capacity building strategies</w:t>
      </w:r>
      <w:r>
        <w:rPr>
          <w:lang w:eastAsia="en-AU"/>
        </w:rPr>
        <w:t>, such as</w:t>
      </w:r>
      <w:r w:rsidR="00BE49EC" w:rsidRPr="00BE49EC">
        <w:rPr>
          <w:lang w:eastAsia="en-AU"/>
        </w:rPr>
        <w:t xml:space="preserve"> </w:t>
      </w:r>
      <w:r w:rsidR="007469C3">
        <w:rPr>
          <w:lang w:eastAsia="en-AU"/>
        </w:rPr>
        <w:t>B</w:t>
      </w:r>
      <w:r w:rsidR="00BE49EC" w:rsidRPr="00BE49EC">
        <w:rPr>
          <w:lang w:eastAsia="en-AU"/>
        </w:rPr>
        <w:t xml:space="preserve">etter </w:t>
      </w:r>
      <w:r w:rsidR="007469C3">
        <w:rPr>
          <w:lang w:eastAsia="en-AU"/>
        </w:rPr>
        <w:t>Practice R</w:t>
      </w:r>
      <w:r w:rsidR="00BE49EC" w:rsidRPr="00BE49EC">
        <w:rPr>
          <w:lang w:eastAsia="en-AU"/>
        </w:rPr>
        <w:t>eviews, governance programs, service delivery reviews, asset management programs and tailored one</w:t>
      </w:r>
      <w:r w:rsidR="00CF276F">
        <w:rPr>
          <w:lang w:eastAsia="en-AU"/>
        </w:rPr>
        <w:noBreakHyphen/>
      </w:r>
      <w:r w:rsidR="00BE49EC" w:rsidRPr="00BE49EC">
        <w:rPr>
          <w:lang w:eastAsia="en-AU"/>
        </w:rPr>
        <w:t>on</w:t>
      </w:r>
      <w:r w:rsidR="00CF276F">
        <w:rPr>
          <w:lang w:eastAsia="en-AU"/>
        </w:rPr>
        <w:noBreakHyphen/>
      </w:r>
      <w:r w:rsidR="00BE49EC" w:rsidRPr="00BE49EC">
        <w:rPr>
          <w:lang w:eastAsia="en-AU"/>
        </w:rPr>
        <w:t>one support</w:t>
      </w:r>
      <w:r>
        <w:rPr>
          <w:lang w:eastAsia="en-AU"/>
        </w:rPr>
        <w:t xml:space="preserve"> are employed</w:t>
      </w:r>
      <w:r w:rsidR="00BE49EC" w:rsidRPr="00BE49EC">
        <w:rPr>
          <w:lang w:eastAsia="en-AU"/>
        </w:rPr>
        <w:t xml:space="preserve">.  While these programs have strengthened local government capacity significantly, they are voluntary.  As voluntary programs, their reach is limited to local governments that wish to participate and participation varies considerably across the sector.   </w:t>
      </w:r>
    </w:p>
    <w:p w14:paraId="7DE10F05" w14:textId="77777777" w:rsidR="007469C3" w:rsidRDefault="007469C3" w:rsidP="00CF276F">
      <w:pPr>
        <w:pStyle w:val="BodyText-nospacebelow"/>
        <w:jc w:val="both"/>
        <w:rPr>
          <w:lang w:eastAsia="en-AU"/>
        </w:rPr>
      </w:pPr>
    </w:p>
    <w:p w14:paraId="4373A61F" w14:textId="6227E1F4" w:rsidR="00412331" w:rsidRDefault="00412331" w:rsidP="00CF276F">
      <w:pPr>
        <w:pStyle w:val="BodyText-nospacebelow"/>
        <w:jc w:val="both"/>
        <w:rPr>
          <w:lang w:eastAsia="en-AU"/>
        </w:rPr>
      </w:pPr>
      <w:r>
        <w:rPr>
          <w:lang w:eastAsia="en-AU"/>
        </w:rPr>
        <w:t>The other tool available is a Directions Notice, which requires the local government to provide certain information.</w:t>
      </w:r>
    </w:p>
    <w:p w14:paraId="629751BE" w14:textId="77777777" w:rsidR="00412331" w:rsidRDefault="00412331" w:rsidP="00CF276F">
      <w:pPr>
        <w:pStyle w:val="BodyText-nospacebelow"/>
        <w:jc w:val="both"/>
        <w:rPr>
          <w:lang w:eastAsia="en-AU"/>
        </w:rPr>
      </w:pPr>
    </w:p>
    <w:p w14:paraId="3E0A3079" w14:textId="07B269FF" w:rsidR="00BE49EC" w:rsidRPr="00BE49EC" w:rsidRDefault="00BE49EC" w:rsidP="00CF276F">
      <w:pPr>
        <w:pStyle w:val="BodyText-nospacebelow"/>
        <w:jc w:val="both"/>
        <w:rPr>
          <w:lang w:eastAsia="en-AU"/>
        </w:rPr>
      </w:pPr>
      <w:r w:rsidRPr="00BE49EC">
        <w:rPr>
          <w:lang w:eastAsia="en-AU"/>
        </w:rPr>
        <w:t xml:space="preserve">Providing the </w:t>
      </w:r>
      <w:r w:rsidR="00412331">
        <w:rPr>
          <w:lang w:eastAsia="en-AU"/>
        </w:rPr>
        <w:t>State Government</w:t>
      </w:r>
      <w:r w:rsidR="00412331" w:rsidRPr="00BE49EC">
        <w:rPr>
          <w:lang w:eastAsia="en-AU"/>
        </w:rPr>
        <w:t xml:space="preserve"> </w:t>
      </w:r>
      <w:r w:rsidRPr="00BE49EC">
        <w:rPr>
          <w:lang w:eastAsia="en-AU"/>
        </w:rPr>
        <w:t xml:space="preserve">with the legislative power to formally implement a process to ensure local governments are providing good governance to their communities </w:t>
      </w:r>
      <w:r w:rsidR="00575A4B">
        <w:rPr>
          <w:lang w:eastAsia="en-AU"/>
        </w:rPr>
        <w:t>could</w:t>
      </w:r>
      <w:r w:rsidR="00575A4B" w:rsidRPr="00BE49EC">
        <w:rPr>
          <w:lang w:eastAsia="en-AU"/>
        </w:rPr>
        <w:t xml:space="preserve"> </w:t>
      </w:r>
      <w:r w:rsidRPr="00BE49EC">
        <w:rPr>
          <w:lang w:eastAsia="en-AU"/>
        </w:rPr>
        <w:t>take many forms including:</w:t>
      </w:r>
    </w:p>
    <w:p w14:paraId="27F25CF6" w14:textId="1B070009" w:rsidR="00BE49EC" w:rsidRPr="00BE49EC" w:rsidRDefault="00BE49EC" w:rsidP="00CF276F">
      <w:pPr>
        <w:pStyle w:val="BodyText-nospacebelow"/>
        <w:numPr>
          <w:ilvl w:val="0"/>
          <w:numId w:val="61"/>
        </w:numPr>
        <w:jc w:val="both"/>
        <w:rPr>
          <w:lang w:eastAsia="en-AU"/>
        </w:rPr>
      </w:pPr>
      <w:r w:rsidRPr="00BE49EC">
        <w:rPr>
          <w:lang w:eastAsia="en-AU"/>
        </w:rPr>
        <w:t>issuing a remedial notice requiring the performance of an action or activity</w:t>
      </w:r>
      <w:r w:rsidR="00856070">
        <w:rPr>
          <w:lang w:eastAsia="en-AU"/>
        </w:rPr>
        <w:t>.</w:t>
      </w:r>
    </w:p>
    <w:p w14:paraId="17E51C64" w14:textId="14888BF8" w:rsidR="00BE49EC" w:rsidRPr="00BE49EC" w:rsidRDefault="00BE49EC" w:rsidP="00CF276F">
      <w:pPr>
        <w:pStyle w:val="BodyText-nospacebelow"/>
        <w:numPr>
          <w:ilvl w:val="0"/>
          <w:numId w:val="61"/>
        </w:numPr>
        <w:jc w:val="both"/>
        <w:rPr>
          <w:lang w:eastAsia="en-AU"/>
        </w:rPr>
      </w:pPr>
      <w:r w:rsidRPr="00BE49EC">
        <w:rPr>
          <w:lang w:eastAsia="en-AU"/>
        </w:rPr>
        <w:t>the appointment of a person to the local government to assist local governments with a part of their operations</w:t>
      </w:r>
      <w:r w:rsidR="00856070">
        <w:rPr>
          <w:lang w:eastAsia="en-AU"/>
        </w:rPr>
        <w:t>.</w:t>
      </w:r>
    </w:p>
    <w:p w14:paraId="4B7EE5B2" w14:textId="77777777" w:rsidR="00BE49EC" w:rsidRDefault="00BE49EC" w:rsidP="00CF276F">
      <w:pPr>
        <w:pStyle w:val="BodyText-nospacebelow"/>
        <w:numPr>
          <w:ilvl w:val="0"/>
          <w:numId w:val="61"/>
        </w:numPr>
        <w:jc w:val="both"/>
        <w:rPr>
          <w:lang w:eastAsia="en-AU"/>
        </w:rPr>
      </w:pPr>
      <w:r w:rsidRPr="00BE49EC">
        <w:rPr>
          <w:lang w:eastAsia="en-AU"/>
        </w:rPr>
        <w:t>requiring the local government to participate in a capacity building program.</w:t>
      </w:r>
    </w:p>
    <w:p w14:paraId="5E3EAE6F" w14:textId="77777777" w:rsidR="00BE49EC" w:rsidRPr="00BE49EC" w:rsidRDefault="00BE49EC" w:rsidP="00CF276F">
      <w:pPr>
        <w:pStyle w:val="BodyText-nospacebelow"/>
        <w:ind w:left="720"/>
        <w:jc w:val="both"/>
        <w:rPr>
          <w:lang w:eastAsia="en-AU"/>
        </w:rPr>
      </w:pPr>
    </w:p>
    <w:p w14:paraId="25B6D12F" w14:textId="2275D946" w:rsidR="00BE49EC" w:rsidRDefault="00BE49EC" w:rsidP="00CF276F">
      <w:pPr>
        <w:pStyle w:val="BodyText-nospacebelow"/>
        <w:jc w:val="both"/>
        <w:rPr>
          <w:lang w:eastAsia="en-AU"/>
        </w:rPr>
      </w:pPr>
      <w:r w:rsidRPr="00BE49EC">
        <w:rPr>
          <w:lang w:eastAsia="en-AU"/>
        </w:rPr>
        <w:t>Through a remedial action process</w:t>
      </w:r>
      <w:r w:rsidR="000305AA">
        <w:rPr>
          <w:lang w:eastAsia="en-AU"/>
        </w:rPr>
        <w:t>,</w:t>
      </w:r>
      <w:r w:rsidRPr="00BE49EC">
        <w:rPr>
          <w:lang w:eastAsia="en-AU"/>
        </w:rPr>
        <w:t xml:space="preserve"> matters </w:t>
      </w:r>
      <w:r w:rsidR="00575A4B">
        <w:rPr>
          <w:lang w:eastAsia="en-AU"/>
        </w:rPr>
        <w:t>could</w:t>
      </w:r>
      <w:r w:rsidR="00575A4B" w:rsidRPr="00BE49EC">
        <w:rPr>
          <w:lang w:eastAsia="en-AU"/>
        </w:rPr>
        <w:t xml:space="preserve"> </w:t>
      </w:r>
      <w:r w:rsidRPr="00BE49EC">
        <w:rPr>
          <w:lang w:eastAsia="en-AU"/>
        </w:rPr>
        <w:t xml:space="preserve">be addressed </w:t>
      </w:r>
      <w:r w:rsidR="00575A4B">
        <w:rPr>
          <w:lang w:eastAsia="en-AU"/>
        </w:rPr>
        <w:t>more</w:t>
      </w:r>
      <w:r w:rsidRPr="00BE49EC">
        <w:rPr>
          <w:lang w:eastAsia="en-AU"/>
        </w:rPr>
        <w:t xml:space="preserve"> </w:t>
      </w:r>
      <w:r w:rsidR="00575A4B" w:rsidRPr="00BE49EC">
        <w:rPr>
          <w:lang w:eastAsia="en-AU"/>
        </w:rPr>
        <w:t>quick</w:t>
      </w:r>
      <w:r w:rsidR="00575A4B">
        <w:rPr>
          <w:lang w:eastAsia="en-AU"/>
        </w:rPr>
        <w:t>ly</w:t>
      </w:r>
      <w:r w:rsidR="00575A4B" w:rsidRPr="00BE49EC">
        <w:rPr>
          <w:lang w:eastAsia="en-AU"/>
        </w:rPr>
        <w:t xml:space="preserve"> </w:t>
      </w:r>
      <w:r w:rsidRPr="00BE49EC">
        <w:rPr>
          <w:lang w:eastAsia="en-AU"/>
        </w:rPr>
        <w:t>and efficient</w:t>
      </w:r>
      <w:r w:rsidR="00575A4B">
        <w:rPr>
          <w:lang w:eastAsia="en-AU"/>
        </w:rPr>
        <w:t>ly</w:t>
      </w:r>
      <w:r w:rsidRPr="00BE49EC">
        <w:rPr>
          <w:lang w:eastAsia="en-AU"/>
        </w:rPr>
        <w:t xml:space="preserve">. </w:t>
      </w:r>
      <w:r w:rsidR="00575A4B">
        <w:rPr>
          <w:lang w:eastAsia="en-AU"/>
        </w:rPr>
        <w:t>The proposed process</w:t>
      </w:r>
      <w:r w:rsidRPr="00BE49EC">
        <w:rPr>
          <w:lang w:eastAsia="en-AU"/>
        </w:rPr>
        <w:t xml:space="preserve"> would allow the </w:t>
      </w:r>
      <w:r w:rsidR="00412331">
        <w:rPr>
          <w:lang w:eastAsia="en-AU"/>
        </w:rPr>
        <w:t>State Government</w:t>
      </w:r>
      <w:r w:rsidR="00412331" w:rsidRPr="00BE49EC">
        <w:rPr>
          <w:lang w:eastAsia="en-AU"/>
        </w:rPr>
        <w:t xml:space="preserve"> </w:t>
      </w:r>
      <w:r w:rsidRPr="00BE49EC">
        <w:rPr>
          <w:lang w:eastAsia="en-AU"/>
        </w:rPr>
        <w:t xml:space="preserve">to direct local governments to address concerns where the capacity to do so exists, </w:t>
      </w:r>
      <w:r w:rsidR="00575A4B">
        <w:rPr>
          <w:lang w:eastAsia="en-AU"/>
        </w:rPr>
        <w:t>or in more serious cases,</w:t>
      </w:r>
      <w:r w:rsidR="00575A4B" w:rsidRPr="00BE49EC">
        <w:rPr>
          <w:lang w:eastAsia="en-AU"/>
        </w:rPr>
        <w:t xml:space="preserve"> </w:t>
      </w:r>
      <w:r w:rsidRPr="00BE49EC">
        <w:rPr>
          <w:lang w:eastAsia="en-AU"/>
        </w:rPr>
        <w:t xml:space="preserve">to appoint a person to the local government where specific expertise is required. </w:t>
      </w:r>
    </w:p>
    <w:p w14:paraId="7183D163" w14:textId="77777777" w:rsidR="00BE49EC" w:rsidRPr="00BE49EC" w:rsidRDefault="00BE49EC" w:rsidP="00CF276F">
      <w:pPr>
        <w:pStyle w:val="BodyText-nospacebelow"/>
        <w:jc w:val="both"/>
        <w:rPr>
          <w:lang w:eastAsia="en-AU"/>
        </w:rPr>
      </w:pPr>
    </w:p>
    <w:p w14:paraId="6904B095" w14:textId="77777777" w:rsidR="00BE49EC" w:rsidRDefault="00BE49EC" w:rsidP="00CF276F">
      <w:pPr>
        <w:pStyle w:val="BodyText-nospacebelow"/>
        <w:jc w:val="both"/>
        <w:rPr>
          <w:lang w:eastAsia="en-AU"/>
        </w:rPr>
      </w:pPr>
      <w:r w:rsidRPr="00BE49EC">
        <w:rPr>
          <w:lang w:eastAsia="en-AU"/>
        </w:rPr>
        <w:t xml:space="preserve">In contrast to the current approach, the process described below presents </w:t>
      </w:r>
      <w:r w:rsidR="00575A4B">
        <w:rPr>
          <w:lang w:eastAsia="en-AU"/>
        </w:rPr>
        <w:t>a range of</w:t>
      </w:r>
      <w:r w:rsidR="00575A4B" w:rsidRPr="00BE49EC">
        <w:rPr>
          <w:lang w:eastAsia="en-AU"/>
        </w:rPr>
        <w:t xml:space="preserve"> </w:t>
      </w:r>
      <w:r w:rsidRPr="00BE49EC">
        <w:rPr>
          <w:lang w:eastAsia="en-AU"/>
        </w:rPr>
        <w:t xml:space="preserve">options for working in partnership with </w:t>
      </w:r>
      <w:r w:rsidR="000305AA">
        <w:rPr>
          <w:lang w:eastAsia="en-AU"/>
        </w:rPr>
        <w:t>a</w:t>
      </w:r>
      <w:r w:rsidRPr="00BE49EC">
        <w:rPr>
          <w:lang w:eastAsia="en-AU"/>
        </w:rPr>
        <w:t xml:space="preserve"> local government to deal with issues commensurate </w:t>
      </w:r>
      <w:r w:rsidR="00DF3025">
        <w:rPr>
          <w:lang w:eastAsia="en-AU"/>
        </w:rPr>
        <w:t>with</w:t>
      </w:r>
      <w:r w:rsidRPr="00BE49EC">
        <w:rPr>
          <w:lang w:eastAsia="en-AU"/>
        </w:rPr>
        <w:t xml:space="preserve"> the risk and, if </w:t>
      </w:r>
      <w:r w:rsidR="00575A4B">
        <w:rPr>
          <w:lang w:eastAsia="en-AU"/>
        </w:rPr>
        <w:t>necessary</w:t>
      </w:r>
      <w:r w:rsidRPr="00BE49EC">
        <w:rPr>
          <w:lang w:eastAsia="en-AU"/>
        </w:rPr>
        <w:t xml:space="preserve">, </w:t>
      </w:r>
      <w:r w:rsidR="00DF3025">
        <w:rPr>
          <w:lang w:eastAsia="en-AU"/>
        </w:rPr>
        <w:t xml:space="preserve">provides </w:t>
      </w:r>
      <w:r w:rsidR="00575A4B">
        <w:rPr>
          <w:lang w:eastAsia="en-AU"/>
        </w:rPr>
        <w:t>ways to</w:t>
      </w:r>
      <w:r w:rsidRPr="00BE49EC">
        <w:rPr>
          <w:lang w:eastAsia="en-AU"/>
        </w:rPr>
        <w:t xml:space="preserve"> </w:t>
      </w:r>
      <w:r w:rsidR="003270EA">
        <w:rPr>
          <w:lang w:eastAsia="en-AU"/>
        </w:rPr>
        <w:t>escalat</w:t>
      </w:r>
      <w:r w:rsidR="00575A4B">
        <w:rPr>
          <w:lang w:eastAsia="en-AU"/>
        </w:rPr>
        <w:t>e</w:t>
      </w:r>
      <w:r w:rsidRPr="00BE49EC">
        <w:rPr>
          <w:lang w:eastAsia="en-AU"/>
        </w:rPr>
        <w:t xml:space="preserve"> the matter.</w:t>
      </w:r>
      <w:r w:rsidR="00DF3025">
        <w:rPr>
          <w:lang w:eastAsia="en-AU"/>
        </w:rPr>
        <w:t xml:space="preserve">  </w:t>
      </w:r>
      <w:r w:rsidRPr="00BE49EC">
        <w:rPr>
          <w:lang w:eastAsia="en-AU"/>
        </w:rPr>
        <w:t>Regardless of the severity, the proposed approach follows a repeatable sequence that allows a consistent, transparent but scalable approach to ensure good governance.</w:t>
      </w:r>
    </w:p>
    <w:p w14:paraId="73F73A70" w14:textId="77777777" w:rsidR="00BE49EC" w:rsidRPr="00BE49EC" w:rsidRDefault="00BE49EC" w:rsidP="00CF276F">
      <w:pPr>
        <w:pStyle w:val="BodyText-nospacebelow"/>
        <w:jc w:val="both"/>
        <w:rPr>
          <w:lang w:eastAsia="en-AU"/>
        </w:rPr>
      </w:pPr>
    </w:p>
    <w:p w14:paraId="765F2E57" w14:textId="789C3815" w:rsidR="00BE49EC" w:rsidRDefault="00BE49EC" w:rsidP="00CF276F">
      <w:pPr>
        <w:pStyle w:val="BodyText-nospacebelow"/>
        <w:jc w:val="both"/>
        <w:rPr>
          <w:lang w:eastAsia="en-AU"/>
        </w:rPr>
      </w:pPr>
      <w:r w:rsidRPr="00BE49EC">
        <w:rPr>
          <w:lang w:eastAsia="en-AU"/>
        </w:rPr>
        <w:lastRenderedPageBreak/>
        <w:t xml:space="preserve">Under the proposed approach, </w:t>
      </w:r>
      <w:r w:rsidR="00575A4B">
        <w:rPr>
          <w:lang w:eastAsia="en-AU"/>
        </w:rPr>
        <w:t>if</w:t>
      </w:r>
      <w:r w:rsidRPr="00BE49EC">
        <w:rPr>
          <w:lang w:eastAsia="en-AU"/>
        </w:rPr>
        <w:t xml:space="preserve"> a local government fails to comply with the Act or </w:t>
      </w:r>
      <w:r w:rsidR="00DF3025">
        <w:rPr>
          <w:lang w:eastAsia="en-AU"/>
        </w:rPr>
        <w:t>r</w:t>
      </w:r>
      <w:r w:rsidRPr="00BE49EC">
        <w:rPr>
          <w:lang w:eastAsia="en-AU"/>
        </w:rPr>
        <w:t>egulations, behaves in a manner that affects the ability of the local government to perform its functions, or other factors consider</w:t>
      </w:r>
      <w:r w:rsidR="00412331">
        <w:rPr>
          <w:lang w:eastAsia="en-AU"/>
        </w:rPr>
        <w:t>ed</w:t>
      </w:r>
      <w:r w:rsidRPr="00BE49EC">
        <w:rPr>
          <w:lang w:eastAsia="en-AU"/>
        </w:rPr>
        <w:t xml:space="preserve"> relevant, a remedial notice </w:t>
      </w:r>
      <w:r w:rsidR="00412331">
        <w:rPr>
          <w:lang w:eastAsia="en-AU"/>
        </w:rPr>
        <w:t xml:space="preserve">may be issued </w:t>
      </w:r>
      <w:r w:rsidRPr="00BE49EC">
        <w:rPr>
          <w:lang w:eastAsia="en-AU"/>
        </w:rPr>
        <w:t>to the local government.</w:t>
      </w:r>
    </w:p>
    <w:p w14:paraId="3C81AF19" w14:textId="77777777" w:rsidR="002A7641" w:rsidRPr="00BE49EC" w:rsidRDefault="002A7641" w:rsidP="00CF276F">
      <w:pPr>
        <w:pStyle w:val="BodyText-nospacebelow"/>
        <w:jc w:val="both"/>
        <w:rPr>
          <w:lang w:eastAsia="en-AU"/>
        </w:rPr>
      </w:pPr>
    </w:p>
    <w:p w14:paraId="562736B6" w14:textId="2B5FA8C9" w:rsidR="00BE49EC" w:rsidRDefault="00BE49EC" w:rsidP="00CF276F">
      <w:pPr>
        <w:pStyle w:val="BodyText-nospacebelow"/>
        <w:jc w:val="both"/>
        <w:rPr>
          <w:lang w:eastAsia="en-AU"/>
        </w:rPr>
      </w:pPr>
      <w:r w:rsidRPr="00BE49EC">
        <w:rPr>
          <w:lang w:eastAsia="en-AU"/>
        </w:rPr>
        <w:t xml:space="preserve">The remedial notice would describe the matter of concern and the actions that the </w:t>
      </w:r>
      <w:r w:rsidR="00412331">
        <w:rPr>
          <w:lang w:eastAsia="en-AU"/>
        </w:rPr>
        <w:t>State Government</w:t>
      </w:r>
      <w:r w:rsidR="00412331" w:rsidRPr="00BE49EC">
        <w:rPr>
          <w:lang w:eastAsia="en-AU"/>
        </w:rPr>
        <w:t xml:space="preserve"> </w:t>
      </w:r>
      <w:r w:rsidRPr="00BE49EC">
        <w:rPr>
          <w:lang w:eastAsia="en-AU"/>
        </w:rPr>
        <w:t xml:space="preserve">has determined are required to resolve the matter.  The remedial notice would be backed by the Act with legislative </w:t>
      </w:r>
      <w:r w:rsidR="007469C3">
        <w:rPr>
          <w:lang w:eastAsia="en-AU"/>
        </w:rPr>
        <w:t>power</w:t>
      </w:r>
      <w:r w:rsidRPr="00BE49EC">
        <w:rPr>
          <w:lang w:eastAsia="en-AU"/>
        </w:rPr>
        <w:t xml:space="preserve"> as a written statutory direction that </w:t>
      </w:r>
      <w:r w:rsidR="00575A4B">
        <w:rPr>
          <w:lang w:eastAsia="en-AU"/>
        </w:rPr>
        <w:t xml:space="preserve">would </w:t>
      </w:r>
      <w:r w:rsidRPr="00BE49EC">
        <w:rPr>
          <w:lang w:eastAsia="en-AU"/>
        </w:rPr>
        <w:t>require, by law, that the notified recipient undertake works or activities detailed in the notice.</w:t>
      </w:r>
    </w:p>
    <w:p w14:paraId="396ABBC9" w14:textId="77777777" w:rsidR="002A7641" w:rsidRPr="00BE49EC" w:rsidRDefault="002A7641" w:rsidP="00CF276F">
      <w:pPr>
        <w:pStyle w:val="BodyText-nospacebelow"/>
        <w:jc w:val="both"/>
        <w:rPr>
          <w:lang w:eastAsia="en-AU"/>
        </w:rPr>
      </w:pPr>
    </w:p>
    <w:p w14:paraId="4EB2D56D" w14:textId="77777777" w:rsidR="00BE49EC" w:rsidRDefault="00BE49EC" w:rsidP="00CF276F">
      <w:pPr>
        <w:pStyle w:val="BodyText-nospacebelow"/>
        <w:jc w:val="both"/>
        <w:rPr>
          <w:lang w:eastAsia="en-AU"/>
        </w:rPr>
      </w:pPr>
      <w:r w:rsidRPr="00BE49EC">
        <w:rPr>
          <w:lang w:eastAsia="en-AU"/>
        </w:rPr>
        <w:t xml:space="preserve">If the matter detailed in </w:t>
      </w:r>
      <w:r w:rsidR="00A920AA">
        <w:rPr>
          <w:lang w:eastAsia="en-AU"/>
        </w:rPr>
        <w:t xml:space="preserve">the </w:t>
      </w:r>
      <w:r w:rsidRPr="00BE49EC">
        <w:rPr>
          <w:lang w:eastAsia="en-AU"/>
        </w:rPr>
        <w:t xml:space="preserve">remedial notice is addressed then the remedial action process would be completed.  This would be typical in breaches of the Act for minor matters. </w:t>
      </w:r>
    </w:p>
    <w:p w14:paraId="3DB29469" w14:textId="77777777" w:rsidR="002A7641" w:rsidRPr="00BE49EC" w:rsidRDefault="002A7641" w:rsidP="00CF276F">
      <w:pPr>
        <w:pStyle w:val="BodyText-nospacebelow"/>
        <w:jc w:val="both"/>
        <w:rPr>
          <w:lang w:eastAsia="en-AU"/>
        </w:rPr>
      </w:pPr>
    </w:p>
    <w:p w14:paraId="06F44382" w14:textId="5B58DC29" w:rsidR="00BE49EC" w:rsidRDefault="00BE49EC" w:rsidP="00CF276F">
      <w:pPr>
        <w:pStyle w:val="BodyText-nospacebelow"/>
        <w:jc w:val="both"/>
        <w:rPr>
          <w:lang w:eastAsia="en-AU"/>
        </w:rPr>
      </w:pPr>
      <w:r w:rsidRPr="00BE49EC">
        <w:rPr>
          <w:lang w:eastAsia="en-AU"/>
        </w:rPr>
        <w:t xml:space="preserve">However, if the matter is not resolved </w:t>
      </w:r>
      <w:r w:rsidR="00412331">
        <w:rPr>
          <w:lang w:eastAsia="en-AU"/>
        </w:rPr>
        <w:t>satisfactorily</w:t>
      </w:r>
      <w:r w:rsidRPr="00BE49EC">
        <w:rPr>
          <w:lang w:eastAsia="en-AU"/>
        </w:rPr>
        <w:t xml:space="preserve">, the revised approach presents options for scaled, proportional responses.  One option that has been identified previously is appointing a person to assist the local government </w:t>
      </w:r>
      <w:r w:rsidR="007469C3">
        <w:rPr>
          <w:lang w:eastAsia="en-AU"/>
        </w:rPr>
        <w:t xml:space="preserve">to </w:t>
      </w:r>
      <w:r w:rsidRPr="00BE49EC">
        <w:rPr>
          <w:lang w:eastAsia="en-AU"/>
        </w:rPr>
        <w:t>implement strategies to resolve the matter.</w:t>
      </w:r>
    </w:p>
    <w:p w14:paraId="63CE9104" w14:textId="77777777" w:rsidR="002A7641" w:rsidRPr="00BE49EC" w:rsidRDefault="002A7641" w:rsidP="00CF276F">
      <w:pPr>
        <w:pStyle w:val="BodyText-nospacebelow"/>
        <w:jc w:val="both"/>
        <w:rPr>
          <w:lang w:eastAsia="en-AU"/>
        </w:rPr>
      </w:pPr>
    </w:p>
    <w:p w14:paraId="069E288A" w14:textId="39E5A09E" w:rsidR="00BE49EC" w:rsidRDefault="00BE49EC" w:rsidP="00CF276F">
      <w:pPr>
        <w:pStyle w:val="BodyText-nospacebelow"/>
        <w:jc w:val="both"/>
        <w:rPr>
          <w:lang w:eastAsia="en-AU"/>
        </w:rPr>
      </w:pPr>
      <w:r w:rsidRPr="00BE49EC">
        <w:rPr>
          <w:lang w:eastAsia="en-AU"/>
        </w:rPr>
        <w:t xml:space="preserve">In 2016, this approach was used on a voluntary basis to assist </w:t>
      </w:r>
      <w:r w:rsidR="00412331">
        <w:rPr>
          <w:lang w:eastAsia="en-AU"/>
        </w:rPr>
        <w:t>a shire</w:t>
      </w:r>
      <w:r w:rsidRPr="00BE49EC">
        <w:rPr>
          <w:lang w:eastAsia="en-AU"/>
        </w:rPr>
        <w:t xml:space="preserve"> </w:t>
      </w:r>
      <w:r w:rsidR="007469C3">
        <w:rPr>
          <w:lang w:eastAsia="en-AU"/>
        </w:rPr>
        <w:t xml:space="preserve">to </w:t>
      </w:r>
      <w:r w:rsidRPr="00BE49EC">
        <w:rPr>
          <w:lang w:eastAsia="en-AU"/>
        </w:rPr>
        <w:t xml:space="preserve">strengthen its financial management.  This arrangement has been successful and presents an option for improving performance of local governments in areas beyond governance.  Unlike the voluntary approach used in </w:t>
      </w:r>
      <w:r w:rsidR="00412331">
        <w:rPr>
          <w:lang w:eastAsia="en-AU"/>
        </w:rPr>
        <w:t>this case</w:t>
      </w:r>
      <w:r w:rsidRPr="00BE49EC">
        <w:rPr>
          <w:lang w:eastAsia="en-AU"/>
        </w:rPr>
        <w:t xml:space="preserve">, the proposed approach would be formally incorporated within the </w:t>
      </w:r>
      <w:r w:rsidR="007817C6">
        <w:rPr>
          <w:lang w:eastAsia="en-AU"/>
        </w:rPr>
        <w:t>Department</w:t>
      </w:r>
      <w:r w:rsidRPr="00BE49EC">
        <w:rPr>
          <w:lang w:eastAsia="en-AU"/>
        </w:rPr>
        <w:t>’s risk and compliance approach.</w:t>
      </w:r>
    </w:p>
    <w:p w14:paraId="7C85E0B0" w14:textId="77777777" w:rsidR="00C25BDE" w:rsidRPr="00BE49EC" w:rsidRDefault="00C25BDE" w:rsidP="00CF276F">
      <w:pPr>
        <w:pStyle w:val="BodyText-nospacebelow"/>
        <w:jc w:val="both"/>
        <w:rPr>
          <w:lang w:eastAsia="en-AU"/>
        </w:rPr>
      </w:pPr>
    </w:p>
    <w:p w14:paraId="3709C6BC" w14:textId="77777777" w:rsidR="00BE49EC" w:rsidRPr="00BE49EC" w:rsidRDefault="00BE49EC" w:rsidP="00CF276F">
      <w:pPr>
        <w:pStyle w:val="BodyText-nospacebelow"/>
        <w:jc w:val="both"/>
        <w:rPr>
          <w:lang w:eastAsia="en-AU"/>
        </w:rPr>
      </w:pPr>
      <w:r w:rsidRPr="00BE49EC">
        <w:rPr>
          <w:lang w:eastAsia="en-AU"/>
        </w:rPr>
        <w:t xml:space="preserve">An appointed person would need to be </w:t>
      </w:r>
      <w:r w:rsidR="007469C3">
        <w:rPr>
          <w:lang w:eastAsia="en-AU"/>
        </w:rPr>
        <w:t>a</w:t>
      </w:r>
      <w:r w:rsidRPr="00BE49EC">
        <w:rPr>
          <w:lang w:eastAsia="en-AU"/>
        </w:rPr>
        <w:t xml:space="preserve"> suitably qualified person with relevant expertise.  The appointed person would work with the local government for a </w:t>
      </w:r>
      <w:r w:rsidR="00DF3025">
        <w:rPr>
          <w:lang w:eastAsia="en-AU"/>
        </w:rPr>
        <w:t>set</w:t>
      </w:r>
      <w:r w:rsidRPr="00BE49EC">
        <w:rPr>
          <w:lang w:eastAsia="en-AU"/>
        </w:rPr>
        <w:t xml:space="preserve"> period and report on progress regularly to the </w:t>
      </w:r>
      <w:r w:rsidR="007817C6">
        <w:rPr>
          <w:lang w:eastAsia="en-AU"/>
        </w:rPr>
        <w:t>Department</w:t>
      </w:r>
      <w:r w:rsidRPr="00BE49EC">
        <w:rPr>
          <w:lang w:eastAsia="en-AU"/>
        </w:rPr>
        <w:t>.  Depending on the nature of the matters of concern</w:t>
      </w:r>
      <w:r w:rsidR="007469C3">
        <w:rPr>
          <w:lang w:eastAsia="en-AU"/>
        </w:rPr>
        <w:t>,</w:t>
      </w:r>
      <w:r w:rsidRPr="00BE49EC">
        <w:rPr>
          <w:lang w:eastAsia="en-AU"/>
        </w:rPr>
        <w:t xml:space="preserve"> the appointed person may assist the CEO or relevant staff, or the appointed person may oversee the administration. </w:t>
      </w:r>
    </w:p>
    <w:p w14:paraId="0D19EB73" w14:textId="77777777" w:rsidR="00C71B0C" w:rsidRPr="002472E4" w:rsidRDefault="00C71B0C" w:rsidP="00F0563B">
      <w:pPr>
        <w:pStyle w:val="BodyText-nospacebelow"/>
        <w:rPr>
          <w:lang w:eastAsia="en-AU"/>
        </w:rPr>
      </w:pPr>
    </w:p>
    <w:p w14:paraId="366A4364" w14:textId="77777777" w:rsidR="00DF3025" w:rsidRDefault="00DF3025" w:rsidP="00DF3025">
      <w:pPr>
        <w:pStyle w:val="IntenseQuote"/>
        <w:rPr>
          <w:b/>
          <w:sz w:val="28"/>
        </w:rPr>
      </w:pPr>
      <w:r>
        <w:rPr>
          <w:b/>
          <w:sz w:val="28"/>
        </w:rPr>
        <w:t>Remedial intervention: Guidance questions</w:t>
      </w:r>
    </w:p>
    <w:p w14:paraId="25A8180A" w14:textId="77777777" w:rsidR="002A7641" w:rsidRDefault="002A7641" w:rsidP="00DB759E">
      <w:pPr>
        <w:pStyle w:val="BodyText2-nospacebelow"/>
        <w:numPr>
          <w:ilvl w:val="0"/>
          <w:numId w:val="19"/>
        </w:numPr>
        <w:spacing w:after="120"/>
      </w:pPr>
      <w:r>
        <w:t>Should the appointed person be a departmental employee</w:t>
      </w:r>
      <w:r w:rsidR="00CB5100">
        <w:t>, a local government officer or an external party</w:t>
      </w:r>
      <w:r>
        <w:t>?</w:t>
      </w:r>
      <w:r w:rsidR="00CB5100">
        <w:t xml:space="preserve">  Why?</w:t>
      </w:r>
    </w:p>
    <w:p w14:paraId="3CAF00C3" w14:textId="77777777" w:rsidR="002A7641" w:rsidRDefault="002A7641" w:rsidP="00DB759E">
      <w:pPr>
        <w:pStyle w:val="BodyText2-nospacebelow"/>
        <w:numPr>
          <w:ilvl w:val="0"/>
          <w:numId w:val="19"/>
        </w:numPr>
        <w:spacing w:after="120"/>
      </w:pPr>
      <w:r>
        <w:t xml:space="preserve">Should the appointed person be able to direct the local government or would their role be restricted to </w:t>
      </w:r>
      <w:r w:rsidR="00602546">
        <w:t>advice and support</w:t>
      </w:r>
      <w:r>
        <w:t>?</w:t>
      </w:r>
      <w:r w:rsidR="00CB5100">
        <w:t xml:space="preserve">  Please explain.</w:t>
      </w:r>
    </w:p>
    <w:p w14:paraId="20BD1D79" w14:textId="77777777" w:rsidR="002A7641" w:rsidRDefault="002A7641" w:rsidP="00DB759E">
      <w:pPr>
        <w:pStyle w:val="BodyText2-nospacebelow"/>
        <w:numPr>
          <w:ilvl w:val="0"/>
          <w:numId w:val="19"/>
        </w:numPr>
        <w:spacing w:after="120"/>
      </w:pPr>
      <w:r>
        <w:t>Who should pay for the appointed person?</w:t>
      </w:r>
      <w:r w:rsidR="00CB5100">
        <w:t xml:space="preserve">  Why?</w:t>
      </w:r>
    </w:p>
    <w:p w14:paraId="12205C43" w14:textId="77777777" w:rsidR="002A7641" w:rsidRDefault="002A7641" w:rsidP="002A7641">
      <w:pPr>
        <w:pStyle w:val="BodyText-nospacebelow"/>
      </w:pPr>
    </w:p>
    <w:p w14:paraId="7E803DBE" w14:textId="77777777" w:rsidR="002A7641" w:rsidRPr="00052624" w:rsidRDefault="002A7641" w:rsidP="00CF276F">
      <w:pPr>
        <w:pStyle w:val="BodyText-nospacebelow"/>
        <w:jc w:val="both"/>
      </w:pPr>
      <w:r w:rsidRPr="00052624">
        <w:t xml:space="preserve">To perform their duties, the appointed person would require wide-ranging powers and have the ability to employ </w:t>
      </w:r>
      <w:r w:rsidR="00CB5100">
        <w:t>a variety of</w:t>
      </w:r>
      <w:r w:rsidRPr="00052624">
        <w:t xml:space="preserve"> strategies.  This role could include:</w:t>
      </w:r>
    </w:p>
    <w:p w14:paraId="18CDA633" w14:textId="59960C7F" w:rsidR="002A7641" w:rsidRPr="00052624" w:rsidRDefault="002A7641" w:rsidP="00CF276F">
      <w:pPr>
        <w:pStyle w:val="BodyText-nospacebelow"/>
        <w:numPr>
          <w:ilvl w:val="0"/>
          <w:numId w:val="62"/>
        </w:numPr>
        <w:jc w:val="both"/>
      </w:pPr>
      <w:r w:rsidRPr="00052624">
        <w:t xml:space="preserve">making recommendations to the council, CEO and </w:t>
      </w:r>
      <w:r w:rsidR="007817C6">
        <w:t>the D</w:t>
      </w:r>
      <w:r w:rsidRPr="00052624">
        <w:t>epartment;</w:t>
      </w:r>
    </w:p>
    <w:p w14:paraId="246DB5E4" w14:textId="1D7E9736" w:rsidR="002A7641" w:rsidRPr="00052624" w:rsidRDefault="002A7641" w:rsidP="00CF276F">
      <w:pPr>
        <w:pStyle w:val="BodyText-nospacebelow"/>
        <w:numPr>
          <w:ilvl w:val="0"/>
          <w:numId w:val="62"/>
        </w:numPr>
        <w:jc w:val="both"/>
      </w:pPr>
      <w:r w:rsidRPr="00052624">
        <w:t>mediating between parties;</w:t>
      </w:r>
    </w:p>
    <w:p w14:paraId="1FE7AA9F" w14:textId="722B43D3" w:rsidR="002A7641" w:rsidRPr="00052624" w:rsidRDefault="002A7641" w:rsidP="00CF276F">
      <w:pPr>
        <w:pStyle w:val="BodyText-nospacebelow"/>
        <w:numPr>
          <w:ilvl w:val="0"/>
          <w:numId w:val="62"/>
        </w:numPr>
        <w:jc w:val="both"/>
      </w:pPr>
      <w:r w:rsidRPr="00052624">
        <w:t xml:space="preserve">arranging for training; and </w:t>
      </w:r>
    </w:p>
    <w:p w14:paraId="1589517C" w14:textId="77777777" w:rsidR="002A7641" w:rsidRPr="00052624" w:rsidRDefault="002A7641" w:rsidP="00CF276F">
      <w:pPr>
        <w:pStyle w:val="BodyText-nospacebelow"/>
        <w:numPr>
          <w:ilvl w:val="0"/>
          <w:numId w:val="62"/>
        </w:numPr>
        <w:jc w:val="both"/>
      </w:pPr>
      <w:r w:rsidRPr="00052624">
        <w:t>reviewing</w:t>
      </w:r>
      <w:r w:rsidR="00602546">
        <w:t>,</w:t>
      </w:r>
      <w:r w:rsidRPr="00052624">
        <w:t xml:space="preserve"> and making recommendations </w:t>
      </w:r>
      <w:r w:rsidR="00602546">
        <w:t>on,</w:t>
      </w:r>
      <w:r w:rsidR="00602546" w:rsidRPr="00052624">
        <w:t xml:space="preserve"> </w:t>
      </w:r>
      <w:r w:rsidRPr="00052624">
        <w:t>practices and procedures.</w:t>
      </w:r>
    </w:p>
    <w:p w14:paraId="5007AC9B" w14:textId="77777777" w:rsidR="00CB5100" w:rsidRDefault="00CB5100" w:rsidP="00CB5100">
      <w:pPr>
        <w:pStyle w:val="IntenseQuote"/>
        <w:rPr>
          <w:b/>
          <w:sz w:val="28"/>
        </w:rPr>
      </w:pPr>
      <w:r>
        <w:rPr>
          <w:b/>
          <w:sz w:val="28"/>
        </w:rPr>
        <w:t>Powers of appointed person: Guidance question</w:t>
      </w:r>
    </w:p>
    <w:p w14:paraId="517596BE" w14:textId="77777777" w:rsidR="002A7641" w:rsidRDefault="00CB5100" w:rsidP="00DB759E">
      <w:pPr>
        <w:pStyle w:val="BodyText2-nospacebelow"/>
        <w:numPr>
          <w:ilvl w:val="0"/>
          <w:numId w:val="19"/>
        </w:numPr>
        <w:spacing w:after="120"/>
      </w:pPr>
      <w:r>
        <w:t xml:space="preserve"> </w:t>
      </w:r>
      <w:r w:rsidR="002A7641">
        <w:t>What powers should an appointed person have?</w:t>
      </w:r>
    </w:p>
    <w:p w14:paraId="491D2F17" w14:textId="77777777" w:rsidR="00EC75DA" w:rsidRPr="00EC75DA" w:rsidRDefault="00EC75DA" w:rsidP="00CF276F">
      <w:pPr>
        <w:pStyle w:val="BodyText-nospacebelow"/>
        <w:jc w:val="both"/>
      </w:pPr>
      <w:r w:rsidRPr="00EC75DA">
        <w:t xml:space="preserve">A key role for the appointed person would be making recommendations to the </w:t>
      </w:r>
      <w:r w:rsidR="007817C6">
        <w:t>Department</w:t>
      </w:r>
      <w:r w:rsidRPr="00EC75DA">
        <w:t xml:space="preserve"> about the success of the remedial action and whether escalation is required.  In line with the current approach, in the rare event that a local government is failing to provide good governance for their district, the Minister will retain the ability to suspend a council and install a commissioner.</w:t>
      </w:r>
    </w:p>
    <w:p w14:paraId="7FA44E2F" w14:textId="77777777" w:rsidR="00EC75DA" w:rsidRDefault="00EC75DA" w:rsidP="00CF276F">
      <w:pPr>
        <w:pStyle w:val="Heading3"/>
        <w:jc w:val="both"/>
      </w:pPr>
      <w:bookmarkStart w:id="909" w:name="_Toc493746772"/>
      <w:bookmarkStart w:id="910" w:name="_Toc493768904"/>
      <w:bookmarkStart w:id="911" w:name="_Toc493859974"/>
      <w:bookmarkStart w:id="912" w:name="_Toc495491852"/>
      <w:bookmarkStart w:id="913" w:name="_Toc495497632"/>
      <w:bookmarkStart w:id="914" w:name="_Toc495671479"/>
      <w:bookmarkStart w:id="915" w:name="_Toc495676080"/>
      <w:bookmarkStart w:id="916" w:name="_Toc495678376"/>
      <w:bookmarkStart w:id="917" w:name="_Toc495998373"/>
      <w:bookmarkStart w:id="918" w:name="_Toc497741843"/>
      <w:r>
        <w:t>Discussion</w:t>
      </w:r>
      <w:bookmarkEnd w:id="909"/>
      <w:bookmarkEnd w:id="910"/>
      <w:bookmarkEnd w:id="911"/>
      <w:bookmarkEnd w:id="912"/>
      <w:bookmarkEnd w:id="913"/>
      <w:bookmarkEnd w:id="914"/>
      <w:bookmarkEnd w:id="915"/>
      <w:bookmarkEnd w:id="916"/>
      <w:bookmarkEnd w:id="917"/>
      <w:bookmarkEnd w:id="918"/>
    </w:p>
    <w:p w14:paraId="5D585031" w14:textId="77777777" w:rsidR="00EC75DA" w:rsidRDefault="00EC75DA" w:rsidP="00CF276F">
      <w:pPr>
        <w:pStyle w:val="BodyText-nospacebelow"/>
        <w:jc w:val="both"/>
      </w:pPr>
      <w:r w:rsidRPr="00EC75DA">
        <w:t xml:space="preserve">The </w:t>
      </w:r>
      <w:r w:rsidR="00602546">
        <w:t>proposed</w:t>
      </w:r>
      <w:r w:rsidR="00602546" w:rsidRPr="00EC75DA">
        <w:t xml:space="preserve"> </w:t>
      </w:r>
      <w:r w:rsidRPr="00EC75DA">
        <w:t xml:space="preserve">remedial approach presents considerable benefits over the existing approach.  It expands the narrow power of the existing directions notice to enable the </w:t>
      </w:r>
      <w:r w:rsidR="007817C6">
        <w:t>Department</w:t>
      </w:r>
      <w:r w:rsidRPr="00EC75DA">
        <w:t xml:space="preserve"> to ensure that local governments are performing to </w:t>
      </w:r>
      <w:r w:rsidR="00602546">
        <w:t xml:space="preserve">the </w:t>
      </w:r>
      <w:r w:rsidRPr="00EC75DA">
        <w:t xml:space="preserve">high standard expected by the community. </w:t>
      </w:r>
    </w:p>
    <w:p w14:paraId="20095007" w14:textId="77777777" w:rsidR="00EC75DA" w:rsidRPr="00EC75DA" w:rsidRDefault="00EC75DA" w:rsidP="00CF276F">
      <w:pPr>
        <w:pStyle w:val="BodyText-nospacebelow"/>
        <w:jc w:val="both"/>
      </w:pPr>
    </w:p>
    <w:p w14:paraId="204FE96C" w14:textId="77777777" w:rsidR="00EC75DA" w:rsidRPr="00EC75DA" w:rsidRDefault="00EC75DA" w:rsidP="00CF276F">
      <w:pPr>
        <w:pStyle w:val="BodyText-nospacebelow"/>
        <w:jc w:val="both"/>
      </w:pPr>
      <w:r w:rsidRPr="00EC75DA">
        <w:t xml:space="preserve">In situations where local governments are not meeting their obligations, the approach provides a scalable, repeatable and transparent approach that focuses on resolving the issue to the </w:t>
      </w:r>
      <w:r w:rsidR="00770834">
        <w:t>benefit</w:t>
      </w:r>
      <w:r w:rsidRPr="00EC75DA">
        <w:t xml:space="preserve"> of the community in a timely manner.  In doing so, the approach is not focused on punishing the local government and by extension the wider community</w:t>
      </w:r>
      <w:r w:rsidR="00770834">
        <w:t xml:space="preserve"> but on providing support</w:t>
      </w:r>
      <w:r w:rsidRPr="00EC75DA">
        <w:t xml:space="preserve">.  </w:t>
      </w:r>
    </w:p>
    <w:p w14:paraId="34BA95A6" w14:textId="77777777" w:rsidR="00EA0DA8" w:rsidRPr="00EC75DA" w:rsidRDefault="00EA0DA8" w:rsidP="00CF276F">
      <w:pPr>
        <w:pStyle w:val="BodyText-nospacebelow"/>
        <w:jc w:val="both"/>
      </w:pPr>
    </w:p>
    <w:p w14:paraId="750BCABB" w14:textId="77777777" w:rsidR="00EC75DA" w:rsidRDefault="00EC75DA" w:rsidP="00CF276F">
      <w:pPr>
        <w:pStyle w:val="BodyText-nospacebelow"/>
        <w:jc w:val="both"/>
      </w:pPr>
      <w:r w:rsidRPr="00EC75DA">
        <w:t xml:space="preserve">The process may reduce costs in the long term by </w:t>
      </w:r>
      <w:r w:rsidR="00770834">
        <w:t>enabling</w:t>
      </w:r>
      <w:r w:rsidRPr="00EC75DA">
        <w:t xml:space="preserve"> intervention in local government</w:t>
      </w:r>
      <w:r w:rsidR="00C62C86">
        <w:t>s</w:t>
      </w:r>
      <w:r w:rsidRPr="00EC75DA">
        <w:t xml:space="preserve"> well before the need for formal inquiries. The process </w:t>
      </w:r>
      <w:r w:rsidR="00770834">
        <w:t>could provide</w:t>
      </w:r>
      <w:r w:rsidRPr="00EC75DA">
        <w:t xml:space="preserve"> councils and staff </w:t>
      </w:r>
      <w:r w:rsidR="00770834">
        <w:t xml:space="preserve">with </w:t>
      </w:r>
      <w:r w:rsidRPr="00EC75DA">
        <w:t xml:space="preserve">the confidence of an independent evaluation that is key to identifying the issues that may be limiting the provision of good governance.   </w:t>
      </w:r>
    </w:p>
    <w:p w14:paraId="606D686F" w14:textId="77777777" w:rsidR="00EC75DA" w:rsidRPr="00EC75DA" w:rsidRDefault="00EC75DA" w:rsidP="00CF276F">
      <w:pPr>
        <w:pStyle w:val="BodyText-nospacebelow"/>
        <w:jc w:val="both"/>
      </w:pPr>
    </w:p>
    <w:p w14:paraId="604C57F1" w14:textId="77777777" w:rsidR="00EC75DA" w:rsidRPr="00EC75DA" w:rsidRDefault="00EC75DA" w:rsidP="00CF276F">
      <w:pPr>
        <w:pStyle w:val="BodyText-nospacebelow"/>
        <w:jc w:val="both"/>
      </w:pPr>
      <w:r w:rsidRPr="00EC75DA">
        <w:t xml:space="preserve">Views from local government peak bodies have been sought in the development of this </w:t>
      </w:r>
      <w:r w:rsidR="00770834">
        <w:t>proposal</w:t>
      </w:r>
      <w:r w:rsidRPr="00EC75DA">
        <w:t xml:space="preserve">. While peak bodies have been broadly supportive, it </w:t>
      </w:r>
      <w:r w:rsidR="00770834">
        <w:t>is</w:t>
      </w:r>
      <w:r w:rsidRPr="00EC75DA">
        <w:t xml:space="preserve"> recognised that the suitability of the approach would be dependent on key, detailed aspects of its implementation.  These include the details and conditions of employment of an appointed person including the responsibility for payment of the </w:t>
      </w:r>
      <w:r w:rsidRPr="00EC75DA">
        <w:lastRenderedPageBreak/>
        <w:t xml:space="preserve">salary. </w:t>
      </w:r>
      <w:r w:rsidR="00770834">
        <w:t>C</w:t>
      </w:r>
      <w:r w:rsidRPr="00EC75DA">
        <w:t xml:space="preserve">oncerns </w:t>
      </w:r>
      <w:r w:rsidR="00770834">
        <w:t xml:space="preserve">were also expressed </w:t>
      </w:r>
      <w:r w:rsidRPr="00EC75DA">
        <w:t xml:space="preserve">about the capacity of some local governments to respond to the remediation action process. </w:t>
      </w:r>
    </w:p>
    <w:p w14:paraId="6BD6AEC9" w14:textId="77777777" w:rsidR="00EC75DA" w:rsidRDefault="00EC75DA" w:rsidP="00F0563B">
      <w:pPr>
        <w:pStyle w:val="BodyText-nospacebelow"/>
      </w:pPr>
    </w:p>
    <w:p w14:paraId="25FC46FD" w14:textId="77777777" w:rsidR="00770834" w:rsidRDefault="00303383" w:rsidP="00770834">
      <w:pPr>
        <w:pStyle w:val="IntenseQuote"/>
        <w:rPr>
          <w:b/>
          <w:sz w:val="28"/>
        </w:rPr>
      </w:pPr>
      <w:r>
        <w:rPr>
          <w:b/>
          <w:sz w:val="28"/>
        </w:rPr>
        <w:t>Remedial action process</w:t>
      </w:r>
      <w:r w:rsidR="00770834">
        <w:rPr>
          <w:b/>
          <w:sz w:val="28"/>
        </w:rPr>
        <w:t>: Guidance questions</w:t>
      </w:r>
    </w:p>
    <w:p w14:paraId="5A3C1606" w14:textId="77777777" w:rsidR="00EC75DA" w:rsidRDefault="00602546" w:rsidP="00DB759E">
      <w:pPr>
        <w:pStyle w:val="BodyText2-nospacebelow"/>
        <w:numPr>
          <w:ilvl w:val="0"/>
          <w:numId w:val="19"/>
        </w:numPr>
        <w:spacing w:after="120"/>
      </w:pPr>
      <w:r>
        <w:t xml:space="preserve">Do you think </w:t>
      </w:r>
      <w:r w:rsidR="00EC75DA">
        <w:t xml:space="preserve">the proposed approach </w:t>
      </w:r>
      <w:r>
        <w:t xml:space="preserve">would </w:t>
      </w:r>
      <w:r w:rsidR="00EC75DA">
        <w:t>improve the provision of good governance in Western Australia?</w:t>
      </w:r>
      <w:r w:rsidR="00303383">
        <w:t xml:space="preserve">  Please explain.</w:t>
      </w:r>
    </w:p>
    <w:p w14:paraId="4E25D446" w14:textId="77777777" w:rsidR="00EC75DA" w:rsidRDefault="00EC75DA" w:rsidP="00DB759E">
      <w:pPr>
        <w:pStyle w:val="BodyText2-nospacebelow"/>
        <w:numPr>
          <w:ilvl w:val="0"/>
          <w:numId w:val="19"/>
        </w:numPr>
        <w:spacing w:after="120"/>
      </w:pPr>
      <w:r>
        <w:t>What issues need to be considered in appointing a person?</w:t>
      </w:r>
    </w:p>
    <w:p w14:paraId="3FE2F3A6" w14:textId="394F951B" w:rsidR="00107333" w:rsidRDefault="00107333" w:rsidP="00107333">
      <w:pPr>
        <w:pStyle w:val="IntenseQuote"/>
        <w:rPr>
          <w:b/>
          <w:sz w:val="28"/>
        </w:rPr>
      </w:pPr>
      <w:r>
        <w:rPr>
          <w:b/>
          <w:sz w:val="28"/>
        </w:rPr>
        <w:t xml:space="preserve">Supporting local governments </w:t>
      </w:r>
      <w:r w:rsidR="00412331">
        <w:rPr>
          <w:b/>
          <w:sz w:val="28"/>
        </w:rPr>
        <w:t xml:space="preserve">in </w:t>
      </w:r>
      <w:r>
        <w:rPr>
          <w:b/>
          <w:sz w:val="28"/>
        </w:rPr>
        <w:t>challenging times: Guidance question</w:t>
      </w:r>
    </w:p>
    <w:p w14:paraId="1C4D5115" w14:textId="00A9EE31" w:rsidR="00770834" w:rsidRDefault="00107333" w:rsidP="00DB759E">
      <w:pPr>
        <w:pStyle w:val="BodyText2-nospacebelow"/>
        <w:numPr>
          <w:ilvl w:val="0"/>
          <w:numId w:val="19"/>
        </w:numPr>
        <w:spacing w:after="120"/>
      </w:pPr>
      <w:r>
        <w:t xml:space="preserve">Do you have any other suggestions or comments on this topic? </w:t>
      </w:r>
      <w:r w:rsidR="00770834">
        <w:br w:type="page"/>
      </w:r>
    </w:p>
    <w:p w14:paraId="5D2C4953" w14:textId="70CEEF18" w:rsidR="00CD385C" w:rsidRDefault="00C25BDE" w:rsidP="00124F78">
      <w:pPr>
        <w:pStyle w:val="Heading1"/>
        <w:numPr>
          <w:ilvl w:val="0"/>
          <w:numId w:val="5"/>
        </w:numPr>
      </w:pPr>
      <w:r>
        <w:lastRenderedPageBreak/>
        <w:t xml:space="preserve"> </w:t>
      </w:r>
      <w:bookmarkStart w:id="919" w:name="_Toc495671480"/>
      <w:bookmarkStart w:id="920" w:name="_Toc495676081"/>
      <w:bookmarkStart w:id="921" w:name="_Toc495678377"/>
      <w:bookmarkStart w:id="922" w:name="_Toc495998374"/>
      <w:bookmarkStart w:id="923" w:name="_Toc497741844"/>
      <w:r w:rsidR="006121F4">
        <w:t xml:space="preserve">Making it easier to move between </w:t>
      </w:r>
      <w:r w:rsidR="002079FB">
        <w:t>S</w:t>
      </w:r>
      <w:r w:rsidR="006121F4">
        <w:t>tate and local government employment</w:t>
      </w:r>
      <w:bookmarkEnd w:id="919"/>
      <w:bookmarkEnd w:id="920"/>
      <w:bookmarkEnd w:id="921"/>
      <w:bookmarkEnd w:id="922"/>
      <w:bookmarkEnd w:id="923"/>
      <w:r w:rsidR="006121F4">
        <w:t xml:space="preserve"> </w:t>
      </w:r>
    </w:p>
    <w:p w14:paraId="0705E5EC" w14:textId="3DBAF630" w:rsidR="00CD385C" w:rsidRDefault="00CD385C" w:rsidP="00CF276F">
      <w:pPr>
        <w:pStyle w:val="BodyText-nospacebelow"/>
        <w:jc w:val="both"/>
      </w:pPr>
      <w:r w:rsidRPr="00CD385C">
        <w:t xml:space="preserve">Local government employees are defined in Western Australia legislation as ‘public officers’ but have a unique status that complicates recognition of service and </w:t>
      </w:r>
      <w:r w:rsidR="00602546">
        <w:t xml:space="preserve">the ability </w:t>
      </w:r>
      <w:r w:rsidR="008C6002">
        <w:t xml:space="preserve">of </w:t>
      </w:r>
      <w:r w:rsidR="008C6002" w:rsidRPr="00CD385C">
        <w:t xml:space="preserve">employees </w:t>
      </w:r>
      <w:r w:rsidR="008C6002">
        <w:t xml:space="preserve">to </w:t>
      </w:r>
      <w:r w:rsidRPr="00CD385C">
        <w:t xml:space="preserve">transfer between local and </w:t>
      </w:r>
      <w:r w:rsidR="008C6002" w:rsidRPr="00CD385C">
        <w:t xml:space="preserve">State </w:t>
      </w:r>
      <w:r w:rsidRPr="00CD385C">
        <w:t>government.</w:t>
      </w:r>
    </w:p>
    <w:p w14:paraId="08525060" w14:textId="77777777" w:rsidR="00CD385C" w:rsidRPr="00CD385C" w:rsidRDefault="00CD385C" w:rsidP="00CF276F">
      <w:pPr>
        <w:pStyle w:val="BodyText-nospacebelow"/>
        <w:jc w:val="both"/>
      </w:pPr>
    </w:p>
    <w:p w14:paraId="58E22AD8" w14:textId="52458FF2" w:rsidR="00CD385C" w:rsidRDefault="00CD385C" w:rsidP="00CF276F">
      <w:pPr>
        <w:pStyle w:val="BodyText-nospacebelow"/>
        <w:jc w:val="both"/>
      </w:pPr>
      <w:r w:rsidRPr="00CD385C">
        <w:t xml:space="preserve">These complications can make movement between local and </w:t>
      </w:r>
      <w:r w:rsidR="008C6002" w:rsidRPr="00CD385C">
        <w:t xml:space="preserve">State </w:t>
      </w:r>
      <w:r w:rsidRPr="00CD385C">
        <w:t xml:space="preserve">government less appealing for employees and limit the opportunity for transfers and secondments that currently give greater flexibility for </w:t>
      </w:r>
      <w:r w:rsidR="009F05CC">
        <w:t xml:space="preserve">State </w:t>
      </w:r>
      <w:r w:rsidR="008C6002">
        <w:t>g</w:t>
      </w:r>
      <w:r w:rsidRPr="00CD385C">
        <w:t>overnment agencies.</w:t>
      </w:r>
    </w:p>
    <w:p w14:paraId="7792949B" w14:textId="77777777" w:rsidR="00CD385C" w:rsidRPr="00CD385C" w:rsidRDefault="00CD385C" w:rsidP="00CF276F">
      <w:pPr>
        <w:pStyle w:val="BodyText-nospacebelow"/>
        <w:jc w:val="both"/>
      </w:pPr>
    </w:p>
    <w:p w14:paraId="4D5BECFA" w14:textId="77777777" w:rsidR="00CD385C" w:rsidRDefault="00CD385C" w:rsidP="00CF276F">
      <w:pPr>
        <w:pStyle w:val="BodyText-nospacebelow"/>
        <w:jc w:val="both"/>
      </w:pPr>
      <w:r w:rsidRPr="00CD385C">
        <w:t>Removing the</w:t>
      </w:r>
      <w:r w:rsidR="00602546">
        <w:t>se</w:t>
      </w:r>
      <w:r w:rsidRPr="00CD385C">
        <w:t xml:space="preserve"> barriers has the potential to greatly increase the skills and capacity of both </w:t>
      </w:r>
      <w:r w:rsidR="008C6002" w:rsidRPr="00CD385C">
        <w:t xml:space="preserve">State </w:t>
      </w:r>
      <w:r w:rsidRPr="00CD385C">
        <w:t>and local government workforces.  Both can be viewed as ‘closed shops’, and increasing the cross-pollination between the</w:t>
      </w:r>
      <w:r w:rsidR="00602546">
        <w:t>se</w:t>
      </w:r>
      <w:r w:rsidRPr="00CD385C">
        <w:t xml:space="preserve"> two major employers could result in exchange of skills, experience and capability that will benefit both tiers of government and the community.  </w:t>
      </w:r>
    </w:p>
    <w:p w14:paraId="5A9F1799" w14:textId="77777777" w:rsidR="00CD385C" w:rsidRPr="00CD385C" w:rsidRDefault="00CD385C" w:rsidP="00CF276F">
      <w:pPr>
        <w:pStyle w:val="BodyText-nospacebelow"/>
        <w:jc w:val="both"/>
      </w:pPr>
    </w:p>
    <w:p w14:paraId="24592E30" w14:textId="77777777" w:rsidR="00CD385C" w:rsidRDefault="00CD385C" w:rsidP="00CF276F">
      <w:pPr>
        <w:pStyle w:val="BodyText-nospacebelow"/>
        <w:jc w:val="both"/>
      </w:pPr>
      <w:r w:rsidRPr="00CD385C">
        <w:t xml:space="preserve">While there are no specific prohibitions in place that would prevent individual State </w:t>
      </w:r>
      <w:r w:rsidR="008C6002">
        <w:t>g</w:t>
      </w:r>
      <w:r w:rsidRPr="00CD385C">
        <w:t>overnment agencies from recognising a new employee’s service with a local government employer (or vice versa) in respect to long service leave and personal leave, the practice is not common. This is in part</w:t>
      </w:r>
      <w:r w:rsidRPr="00CD385C" w:rsidDel="00B14186">
        <w:t xml:space="preserve"> </w:t>
      </w:r>
      <w:r w:rsidRPr="00CD385C">
        <w:t>because no avenue currently exists for employers to recover the costs of the employee</w:t>
      </w:r>
      <w:r w:rsidR="00602546">
        <w:t>’s</w:t>
      </w:r>
      <w:r w:rsidRPr="00CD385C">
        <w:t xml:space="preserve"> leave entitlements.  </w:t>
      </w:r>
    </w:p>
    <w:p w14:paraId="0C4DA69B" w14:textId="77777777" w:rsidR="00CD385C" w:rsidRPr="00CD385C" w:rsidRDefault="00CD385C" w:rsidP="00CF276F">
      <w:pPr>
        <w:pStyle w:val="BodyText-nospacebelow"/>
        <w:jc w:val="both"/>
      </w:pPr>
    </w:p>
    <w:p w14:paraId="19FD4082" w14:textId="77777777" w:rsidR="00CD385C" w:rsidRDefault="00CD385C" w:rsidP="00CF276F">
      <w:pPr>
        <w:pStyle w:val="BodyText-nospacebelow"/>
        <w:jc w:val="both"/>
      </w:pPr>
      <w:r w:rsidRPr="00CD385C">
        <w:t xml:space="preserve">Further legislative and industrial </w:t>
      </w:r>
      <w:r w:rsidR="00856070">
        <w:t xml:space="preserve">relations </w:t>
      </w:r>
      <w:r w:rsidRPr="00CD385C">
        <w:t xml:space="preserve">barriers exist to the seamless transition for employees between local and </w:t>
      </w:r>
      <w:r w:rsidR="008C6002" w:rsidRPr="00CD385C">
        <w:t xml:space="preserve">State </w:t>
      </w:r>
      <w:r w:rsidRPr="00CD385C">
        <w:t xml:space="preserve">government. </w:t>
      </w:r>
    </w:p>
    <w:p w14:paraId="23A0778C" w14:textId="77777777" w:rsidR="00CD385C" w:rsidRPr="00CD385C" w:rsidRDefault="00CD385C" w:rsidP="00CF276F">
      <w:pPr>
        <w:pStyle w:val="BodyText-nospacebelow"/>
        <w:jc w:val="both"/>
      </w:pPr>
    </w:p>
    <w:p w14:paraId="5E16F1CD" w14:textId="3F3EC4F1" w:rsidR="00CD385C" w:rsidRDefault="00CD385C" w:rsidP="00CF276F">
      <w:pPr>
        <w:pStyle w:val="BodyText-nospacebelow"/>
        <w:jc w:val="both"/>
      </w:pPr>
      <w:r w:rsidRPr="00CD385C">
        <w:t xml:space="preserve">Local governments are defined in the </w:t>
      </w:r>
      <w:r w:rsidRPr="00CD385C">
        <w:rPr>
          <w:i/>
        </w:rPr>
        <w:t>Public Sector Management Act 1994</w:t>
      </w:r>
      <w:r w:rsidRPr="00CD385C">
        <w:t xml:space="preserve"> as Schedule 1 entities. Other </w:t>
      </w:r>
      <w:r w:rsidR="00856070">
        <w:t>S</w:t>
      </w:r>
      <w:r w:rsidRPr="00CD385C">
        <w:t>chedule 1 entities include Western Australia’s public universities, electoral of</w:t>
      </w:r>
      <w:r w:rsidR="008C6002">
        <w:t>ficers of members of Parliament</w:t>
      </w:r>
      <w:r w:rsidRPr="00CD385C">
        <w:t xml:space="preserve"> and government corporations.</w:t>
      </w:r>
    </w:p>
    <w:p w14:paraId="31472B4D" w14:textId="77777777" w:rsidR="00CD385C" w:rsidRPr="00CD385C" w:rsidRDefault="00CD385C" w:rsidP="00CF276F">
      <w:pPr>
        <w:pStyle w:val="BodyText-nospacebelow"/>
        <w:jc w:val="both"/>
      </w:pPr>
    </w:p>
    <w:p w14:paraId="1254FD0C" w14:textId="77777777" w:rsidR="00CD385C" w:rsidRDefault="00CD385C" w:rsidP="00CF276F">
      <w:pPr>
        <w:pStyle w:val="BodyText-nospacebelow"/>
        <w:jc w:val="both"/>
      </w:pPr>
      <w:r w:rsidRPr="00CD385C">
        <w:t xml:space="preserve">Due to historic agreements, portability of leave (and recovery of the associated costs) to </w:t>
      </w:r>
      <w:r w:rsidR="008C6002" w:rsidRPr="00CD385C">
        <w:t xml:space="preserve">State </w:t>
      </w:r>
      <w:r w:rsidRPr="00CD385C">
        <w:t xml:space="preserve">government positions is possible for some schedule 1 entities but not all.  It does not </w:t>
      </w:r>
      <w:r w:rsidR="00417088">
        <w:t>currently</w:t>
      </w:r>
      <w:r w:rsidRPr="00CD385C">
        <w:t xml:space="preserve"> apply to local governments. </w:t>
      </w:r>
    </w:p>
    <w:p w14:paraId="617C6131" w14:textId="77777777" w:rsidR="00CD385C" w:rsidRPr="00CD385C" w:rsidRDefault="00CD385C" w:rsidP="00CF276F">
      <w:pPr>
        <w:pStyle w:val="BodyText-nospacebelow"/>
        <w:jc w:val="both"/>
      </w:pPr>
    </w:p>
    <w:p w14:paraId="7BA9789A" w14:textId="77777777" w:rsidR="00CD385C" w:rsidRDefault="00CD385C" w:rsidP="00CF276F">
      <w:pPr>
        <w:pStyle w:val="BodyText-nospacebelow"/>
        <w:jc w:val="both"/>
      </w:pPr>
      <w:r w:rsidRPr="00CD385C">
        <w:lastRenderedPageBreak/>
        <w:t xml:space="preserve">Reforms to </w:t>
      </w:r>
      <w:r w:rsidR="00417088">
        <w:t>simplify and encourage the transfer</w:t>
      </w:r>
      <w:r w:rsidRPr="00CD385C">
        <w:t xml:space="preserve"> of employees between local and state government </w:t>
      </w:r>
      <w:r w:rsidR="00417088">
        <w:t xml:space="preserve">would </w:t>
      </w:r>
      <w:r w:rsidRPr="00CD385C">
        <w:t xml:space="preserve">require a whole of government approach and amendments to the </w:t>
      </w:r>
      <w:r w:rsidRPr="00CD385C">
        <w:rPr>
          <w:i/>
        </w:rPr>
        <w:t>Public Sector Management Act 1994,</w:t>
      </w:r>
      <w:r w:rsidRPr="00CD385C">
        <w:t xml:space="preserve"> </w:t>
      </w:r>
      <w:r w:rsidRPr="00CD385C">
        <w:rPr>
          <w:i/>
        </w:rPr>
        <w:t>Financial Management Act 2006,</w:t>
      </w:r>
      <w:r w:rsidRPr="00CD385C">
        <w:t xml:space="preserve"> and </w:t>
      </w:r>
      <w:r w:rsidRPr="00CD385C">
        <w:rPr>
          <w:i/>
        </w:rPr>
        <w:t>Local Government Act 1995</w:t>
      </w:r>
      <w:r w:rsidRPr="00CD385C">
        <w:t>.</w:t>
      </w:r>
    </w:p>
    <w:p w14:paraId="2F84AA0D" w14:textId="77777777" w:rsidR="008C6002" w:rsidRDefault="008C6002" w:rsidP="00CD385C">
      <w:pPr>
        <w:pStyle w:val="BodyText-nospacebelow"/>
      </w:pPr>
    </w:p>
    <w:p w14:paraId="0F7C832D" w14:textId="77777777" w:rsidR="008C6002" w:rsidRPr="00CD385C" w:rsidRDefault="008C6002" w:rsidP="00CD385C">
      <w:pPr>
        <w:pStyle w:val="BodyText-nospacebelow"/>
      </w:pPr>
    </w:p>
    <w:p w14:paraId="38A76B7B" w14:textId="77777777" w:rsidR="00CF276F" w:rsidRDefault="00CF276F">
      <w:pPr>
        <w:rPr>
          <w:b/>
          <w:bCs/>
          <w:iCs/>
          <w:sz w:val="28"/>
        </w:rPr>
      </w:pPr>
      <w:r>
        <w:rPr>
          <w:b/>
          <w:sz w:val="28"/>
        </w:rPr>
        <w:br w:type="page"/>
      </w:r>
    </w:p>
    <w:p w14:paraId="36C10FA5" w14:textId="77777777" w:rsidR="008C6002" w:rsidRDefault="008C6002" w:rsidP="008C6002">
      <w:pPr>
        <w:pStyle w:val="IntenseQuote"/>
        <w:rPr>
          <w:b/>
          <w:sz w:val="28"/>
        </w:rPr>
      </w:pPr>
      <w:r>
        <w:rPr>
          <w:b/>
          <w:sz w:val="28"/>
        </w:rPr>
        <w:lastRenderedPageBreak/>
        <w:t>Transferability of employees: Guidance questions</w:t>
      </w:r>
    </w:p>
    <w:p w14:paraId="2781EC8F" w14:textId="77777777" w:rsidR="00CD385C" w:rsidRPr="00CD385C" w:rsidRDefault="00CD385C" w:rsidP="00DB759E">
      <w:pPr>
        <w:pStyle w:val="BodyText2-nospacebelow"/>
        <w:numPr>
          <w:ilvl w:val="0"/>
          <w:numId w:val="19"/>
        </w:numPr>
        <w:spacing w:after="120"/>
      </w:pPr>
      <w:r w:rsidRPr="00CD385C">
        <w:t xml:space="preserve">Should local and </w:t>
      </w:r>
      <w:r w:rsidR="008C6002" w:rsidRPr="00CD385C">
        <w:t xml:space="preserve">State </w:t>
      </w:r>
      <w:r w:rsidRPr="00CD385C">
        <w:t xml:space="preserve">government employees be able to carry over the recognition of service and leave if they move between </w:t>
      </w:r>
      <w:r w:rsidR="008C6002" w:rsidRPr="00CD385C">
        <w:t xml:space="preserve">State </w:t>
      </w:r>
      <w:r w:rsidRPr="00CD385C">
        <w:t>and local government?</w:t>
      </w:r>
      <w:r w:rsidR="008C6002">
        <w:t xml:space="preserve">  </w:t>
      </w:r>
    </w:p>
    <w:p w14:paraId="3E5CE598" w14:textId="21B983A1" w:rsidR="00CD385C" w:rsidRPr="00CD385C" w:rsidRDefault="00CD385C" w:rsidP="00DB759E">
      <w:pPr>
        <w:pStyle w:val="BodyText2-nospacebelow"/>
        <w:numPr>
          <w:ilvl w:val="0"/>
          <w:numId w:val="19"/>
        </w:numPr>
        <w:spacing w:after="120"/>
      </w:pPr>
      <w:r w:rsidRPr="00CD385C">
        <w:t xml:space="preserve">What would be the benefits if local and </w:t>
      </w:r>
      <w:r w:rsidR="008C6002" w:rsidRPr="00CD385C">
        <w:t xml:space="preserve">State </w:t>
      </w:r>
      <w:r w:rsidRPr="00CD385C">
        <w:t>government employees could move seamlessly via transfer and secondment?</w:t>
      </w:r>
    </w:p>
    <w:p w14:paraId="0AC3F928" w14:textId="02459DEE" w:rsidR="002079FB" w:rsidRDefault="002079FB" w:rsidP="002079FB">
      <w:pPr>
        <w:pStyle w:val="BodyText2-nospacebelow"/>
        <w:spacing w:after="120"/>
      </w:pPr>
    </w:p>
    <w:p w14:paraId="5F146CC5" w14:textId="0ADA5059" w:rsidR="002079FB" w:rsidRDefault="002079FB" w:rsidP="002079FB">
      <w:pPr>
        <w:pStyle w:val="IntenseQuote"/>
        <w:rPr>
          <w:b/>
          <w:sz w:val="28"/>
        </w:rPr>
      </w:pPr>
      <w:r>
        <w:rPr>
          <w:b/>
          <w:sz w:val="28"/>
        </w:rPr>
        <w:t>Making it easier to move between State and local government employment: Guidance question</w:t>
      </w:r>
    </w:p>
    <w:p w14:paraId="0CE0C22D" w14:textId="2D9DA346" w:rsidR="00DB4D37" w:rsidRDefault="002079FB" w:rsidP="00C97225">
      <w:pPr>
        <w:pStyle w:val="BodyText2-nospacebelow"/>
        <w:numPr>
          <w:ilvl w:val="0"/>
          <w:numId w:val="19"/>
        </w:numPr>
        <w:spacing w:after="120"/>
      </w:pPr>
      <w:r>
        <w:t xml:space="preserve">Do you have any other suggestions or comments on this topic? </w:t>
      </w:r>
      <w:r w:rsidR="00DB4D37">
        <w:br w:type="page"/>
      </w:r>
    </w:p>
    <w:p w14:paraId="2585F68A" w14:textId="3D180021" w:rsidR="00E82110" w:rsidRDefault="00412331" w:rsidP="00E82110">
      <w:pPr>
        <w:pStyle w:val="Heading1-Formblue"/>
      </w:pPr>
      <w:bookmarkStart w:id="924" w:name="_Toc493746734"/>
      <w:bookmarkStart w:id="925" w:name="_Toc493768866"/>
      <w:bookmarkStart w:id="926" w:name="_Toc493859936"/>
      <w:bookmarkStart w:id="927" w:name="_Toc495491854"/>
      <w:bookmarkStart w:id="928" w:name="_Toc495497634"/>
      <w:bookmarkStart w:id="929" w:name="_Toc495671481"/>
      <w:bookmarkStart w:id="930" w:name="_Toc495676082"/>
      <w:bookmarkStart w:id="931" w:name="_Toc495678378"/>
      <w:bookmarkStart w:id="932" w:name="_Toc495998375"/>
      <w:bookmarkStart w:id="933" w:name="_Toc497741845"/>
      <w:bookmarkStart w:id="934" w:name="_Toc493746774"/>
      <w:bookmarkStart w:id="935" w:name="_Toc493768906"/>
      <w:bookmarkStart w:id="936" w:name="_Toc493859976"/>
      <w:r>
        <w:lastRenderedPageBreak/>
        <w:t>P</w:t>
      </w:r>
      <w:r w:rsidR="00E82110">
        <w:t>ublic confidence</w:t>
      </w:r>
      <w:bookmarkEnd w:id="924"/>
      <w:bookmarkEnd w:id="925"/>
      <w:bookmarkEnd w:id="926"/>
      <w:bookmarkEnd w:id="927"/>
      <w:bookmarkEnd w:id="928"/>
      <w:bookmarkEnd w:id="929"/>
      <w:bookmarkEnd w:id="930"/>
      <w:bookmarkEnd w:id="931"/>
      <w:bookmarkEnd w:id="932"/>
      <w:r>
        <w:t xml:space="preserve"> in Local Government</w:t>
      </w:r>
      <w:bookmarkEnd w:id="933"/>
    </w:p>
    <w:p w14:paraId="55D7A2E8" w14:textId="5CC9CB3A" w:rsidR="00E82110" w:rsidRDefault="00246B9A" w:rsidP="00CF276F">
      <w:pPr>
        <w:jc w:val="both"/>
      </w:pPr>
      <w:r>
        <w:t>Elected member</w:t>
      </w:r>
      <w:r w:rsidR="00E82110">
        <w:t>s make decisions on how funding is raised by the local government and how that money is spent.  They decide development applications and give building approvals, determine what services will be provided and how these will be delivered.  These decisions fundamentally affect the nature, function and appearance of our towns and suburbs.</w:t>
      </w:r>
    </w:p>
    <w:p w14:paraId="4C917BB7" w14:textId="77777777" w:rsidR="00E82110" w:rsidRDefault="00E82110" w:rsidP="00CF276F">
      <w:pPr>
        <w:jc w:val="both"/>
      </w:pPr>
      <w:r>
        <w:t>Senior officers prepare reports and provide recommendations to council on a wide variety of matters.  Officers are also responsible for the implementation of council decisions.</w:t>
      </w:r>
    </w:p>
    <w:p w14:paraId="044408BB" w14:textId="218F47D3" w:rsidR="00E82110" w:rsidRDefault="00E82110" w:rsidP="00CF276F">
      <w:pPr>
        <w:jc w:val="both"/>
      </w:pPr>
      <w:r>
        <w:t xml:space="preserve">The community places their trust in their </w:t>
      </w:r>
      <w:r w:rsidR="00246B9A">
        <w:t>elected member</w:t>
      </w:r>
      <w:r>
        <w:t xml:space="preserve">s and the local government administration to make decisions that are in the best interests of the broader community and to act without bias or favour.  Occasionally </w:t>
      </w:r>
      <w:r w:rsidR="00412331">
        <w:t xml:space="preserve">local governments can </w:t>
      </w:r>
      <w:r>
        <w:t>mis</w:t>
      </w:r>
      <w:r w:rsidR="00412331">
        <w:t>use that trust</w:t>
      </w:r>
      <w:r>
        <w:t>.</w:t>
      </w:r>
    </w:p>
    <w:p w14:paraId="410F9AF7" w14:textId="77777777" w:rsidR="00E82110" w:rsidRDefault="00E82110" w:rsidP="00CF276F">
      <w:pPr>
        <w:jc w:val="both"/>
      </w:pPr>
      <w:r>
        <w:t>One area where the potential exists for this to occur is in the acceptance of gifts.</w:t>
      </w:r>
    </w:p>
    <w:p w14:paraId="0EB8D5F1" w14:textId="77777777" w:rsidR="00E82110" w:rsidRDefault="00E82110" w:rsidP="00E82110">
      <w:pPr>
        <w:rPr>
          <w:rFonts w:eastAsiaTheme="majorEastAsia" w:cs="Arial"/>
          <w:bCs/>
          <w:color w:val="2C5C86"/>
          <w:sz w:val="40"/>
          <w:szCs w:val="40"/>
        </w:rPr>
      </w:pPr>
      <w:r>
        <w:br w:type="page"/>
      </w:r>
    </w:p>
    <w:p w14:paraId="63F43AB7" w14:textId="77777777" w:rsidR="00E82110" w:rsidRDefault="00E82110" w:rsidP="00E82110">
      <w:pPr>
        <w:pStyle w:val="Heading1"/>
        <w:numPr>
          <w:ilvl w:val="0"/>
          <w:numId w:val="5"/>
        </w:numPr>
      </w:pPr>
      <w:r>
        <w:lastRenderedPageBreak/>
        <w:t xml:space="preserve">  </w:t>
      </w:r>
      <w:bookmarkStart w:id="937" w:name="_Toc495491855"/>
      <w:bookmarkStart w:id="938" w:name="_Toc495497635"/>
      <w:bookmarkStart w:id="939" w:name="_Toc495671482"/>
      <w:bookmarkStart w:id="940" w:name="_Toc495676083"/>
      <w:bookmarkStart w:id="941" w:name="_Toc495678379"/>
      <w:bookmarkStart w:id="942" w:name="_Toc495998376"/>
      <w:bookmarkStart w:id="943" w:name="_Toc497741846"/>
      <w:r>
        <w:t>Gifts</w:t>
      </w:r>
      <w:bookmarkEnd w:id="937"/>
      <w:bookmarkEnd w:id="938"/>
      <w:bookmarkEnd w:id="939"/>
      <w:bookmarkEnd w:id="940"/>
      <w:bookmarkEnd w:id="941"/>
      <w:bookmarkEnd w:id="942"/>
      <w:bookmarkEnd w:id="943"/>
    </w:p>
    <w:p w14:paraId="2B7D7937" w14:textId="77777777" w:rsidR="00E82110" w:rsidRPr="003F0EAC" w:rsidRDefault="00E82110" w:rsidP="003A1777">
      <w:pPr>
        <w:pStyle w:val="Heading2"/>
        <w:numPr>
          <w:ilvl w:val="1"/>
          <w:numId w:val="84"/>
        </w:numPr>
      </w:pPr>
      <w:bookmarkStart w:id="944" w:name="_Toc493746735"/>
      <w:bookmarkStart w:id="945" w:name="_Toc493768867"/>
      <w:bookmarkStart w:id="946" w:name="_Toc493859937"/>
      <w:bookmarkStart w:id="947" w:name="_Toc495491856"/>
      <w:bookmarkStart w:id="948" w:name="_Toc495497636"/>
      <w:bookmarkStart w:id="949" w:name="_Toc495671483"/>
      <w:bookmarkStart w:id="950" w:name="_Toc495676084"/>
      <w:bookmarkStart w:id="951" w:name="_Toc495678380"/>
      <w:bookmarkStart w:id="952" w:name="_Toc495998377"/>
      <w:bookmarkStart w:id="953" w:name="_Toc497741847"/>
      <w:r>
        <w:t>Simplifying the gift provisions</w:t>
      </w:r>
      <w:bookmarkEnd w:id="944"/>
      <w:bookmarkEnd w:id="945"/>
      <w:bookmarkEnd w:id="946"/>
      <w:bookmarkEnd w:id="947"/>
      <w:bookmarkEnd w:id="948"/>
      <w:bookmarkEnd w:id="949"/>
      <w:bookmarkEnd w:id="950"/>
      <w:bookmarkEnd w:id="951"/>
      <w:bookmarkEnd w:id="952"/>
      <w:bookmarkEnd w:id="953"/>
    </w:p>
    <w:p w14:paraId="079FFAB1" w14:textId="77777777" w:rsidR="00E82110" w:rsidRPr="003F0EAC" w:rsidRDefault="00E82110" w:rsidP="00CF276F">
      <w:pPr>
        <w:pStyle w:val="Heading3"/>
        <w:jc w:val="both"/>
      </w:pPr>
      <w:bookmarkStart w:id="954" w:name="_Toc485031796"/>
      <w:bookmarkStart w:id="955" w:name="_Toc485132593"/>
      <w:bookmarkStart w:id="956" w:name="_Toc485133465"/>
      <w:bookmarkStart w:id="957" w:name="_Toc485739916"/>
      <w:bookmarkStart w:id="958" w:name="_Toc485821412"/>
      <w:bookmarkStart w:id="959" w:name="_Toc486318122"/>
      <w:bookmarkStart w:id="960" w:name="_Toc486861283"/>
      <w:bookmarkStart w:id="961" w:name="_Toc486926723"/>
      <w:bookmarkStart w:id="962" w:name="_Toc487553389"/>
      <w:bookmarkStart w:id="963" w:name="_Toc487625916"/>
      <w:bookmarkStart w:id="964" w:name="_Toc487711052"/>
      <w:bookmarkStart w:id="965" w:name="_Toc487727844"/>
      <w:bookmarkStart w:id="966" w:name="_Toc487728215"/>
      <w:bookmarkStart w:id="967" w:name="_Toc491097282"/>
      <w:bookmarkStart w:id="968" w:name="_Toc491097672"/>
      <w:bookmarkStart w:id="969" w:name="_Toc491857130"/>
      <w:bookmarkStart w:id="970" w:name="_Toc491872750"/>
      <w:bookmarkStart w:id="971" w:name="_Toc491873684"/>
      <w:bookmarkStart w:id="972" w:name="_Toc491934312"/>
      <w:bookmarkStart w:id="973" w:name="_Toc492368941"/>
      <w:bookmarkStart w:id="974" w:name="_Toc492386668"/>
      <w:bookmarkStart w:id="975" w:name="_Toc492468910"/>
      <w:bookmarkStart w:id="976" w:name="_Toc492470586"/>
      <w:bookmarkStart w:id="977" w:name="_Toc492471266"/>
      <w:bookmarkStart w:id="978" w:name="_Toc492471388"/>
      <w:bookmarkStart w:id="979" w:name="_Toc495671484"/>
      <w:bookmarkStart w:id="980" w:name="_Toc495676085"/>
      <w:bookmarkStart w:id="981" w:name="_Toc495678381"/>
      <w:bookmarkStart w:id="982" w:name="_Toc495998378"/>
      <w:bookmarkStart w:id="983" w:name="_Toc497741848"/>
      <w:r w:rsidRPr="003F0EAC">
        <w:t>Background</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15BCD28D" w14:textId="10C34106" w:rsidR="00CB7E63" w:rsidRDefault="004334AA" w:rsidP="00CF276F">
      <w:pPr>
        <w:pStyle w:val="BodyText-nospacebelow"/>
        <w:jc w:val="both"/>
      </w:pPr>
      <w:r>
        <w:t>Councillors</w:t>
      </w:r>
      <w:r w:rsidR="00CB7E63">
        <w:t xml:space="preserve"> and local government employees</w:t>
      </w:r>
      <w:r>
        <w:t xml:space="preserve">, as everyone does, occasionally receive </w:t>
      </w:r>
      <w:r w:rsidR="00CB7E63">
        <w:t>gifts.  Given the important role of council</w:t>
      </w:r>
      <w:r w:rsidR="00F16B28">
        <w:t xml:space="preserve"> members</w:t>
      </w:r>
      <w:r w:rsidR="00CB7E63">
        <w:t xml:space="preserve"> and many local government employees as decision-makers in positions of power, the </w:t>
      </w:r>
      <w:r>
        <w:t xml:space="preserve">public has a reasonable expectation that the important decisions </w:t>
      </w:r>
      <w:r w:rsidR="00CB7E63">
        <w:t xml:space="preserve">that a local government </w:t>
      </w:r>
      <w:r w:rsidR="00875F4A">
        <w:t xml:space="preserve">makes </w:t>
      </w:r>
      <w:r w:rsidR="00CB7E63">
        <w:t xml:space="preserve">are free from improper </w:t>
      </w:r>
      <w:r>
        <w:t xml:space="preserve">influence.  </w:t>
      </w:r>
    </w:p>
    <w:p w14:paraId="262E7FFB" w14:textId="0CAFA6F7" w:rsidR="007E1940" w:rsidRDefault="007E1940" w:rsidP="00CF276F">
      <w:pPr>
        <w:pStyle w:val="BodyText-nospacebelow"/>
        <w:jc w:val="both"/>
      </w:pPr>
    </w:p>
    <w:p w14:paraId="282E20DE" w14:textId="03EA5764" w:rsidR="007E1940" w:rsidRDefault="007E1940" w:rsidP="00CF276F">
      <w:pPr>
        <w:pStyle w:val="BodyText-nospacebelow"/>
        <w:jc w:val="both"/>
      </w:pPr>
      <w:r>
        <w:t>T</w:t>
      </w:r>
      <w:r w:rsidRPr="003F0EAC">
        <w:t>here is nothing inherently wrong with accept</w:t>
      </w:r>
      <w:r>
        <w:t xml:space="preserve">ing gifts when they are offered.  </w:t>
      </w:r>
      <w:r w:rsidRPr="003F0EAC">
        <w:t>It is critical</w:t>
      </w:r>
      <w:r>
        <w:t>, however,</w:t>
      </w:r>
      <w:r w:rsidRPr="003F0EAC">
        <w:t xml:space="preserve"> that their receipt is openly and transparently acknowledged and recorded</w:t>
      </w:r>
      <w:r>
        <w:t>,</w:t>
      </w:r>
      <w:r w:rsidRPr="003F0EAC">
        <w:t xml:space="preserve"> and that those records are made freely available to the community.  Non</w:t>
      </w:r>
      <w:r w:rsidR="00F16B28">
        <w:noBreakHyphen/>
      </w:r>
      <w:r w:rsidRPr="003F0EAC">
        <w:t xml:space="preserve">disclosure of gifts that may have an effect on, or could be perceived as possibly having an effect on, the decision-making of </w:t>
      </w:r>
      <w:r w:rsidR="00246B9A">
        <w:t>elected member</w:t>
      </w:r>
      <w:r w:rsidRPr="003F0EAC">
        <w:t xml:space="preserve">s runs the risk of damaging the reputation of the local government sector and the trust placed in </w:t>
      </w:r>
      <w:r w:rsidR="00246B9A">
        <w:t>elected member</w:t>
      </w:r>
      <w:r w:rsidRPr="003F0EAC">
        <w:t xml:space="preserve">s by their communities.  In extreme cases this could leave councils unable to perform their primary function of providing for the good government of people in their districts.  </w:t>
      </w:r>
    </w:p>
    <w:p w14:paraId="757CDAEA" w14:textId="77777777" w:rsidR="00CB7E63" w:rsidRDefault="00CB7E63" w:rsidP="00CF276F">
      <w:pPr>
        <w:pStyle w:val="BodyText-nospacebelow"/>
        <w:jc w:val="both"/>
      </w:pPr>
    </w:p>
    <w:p w14:paraId="1F9D20CB" w14:textId="502758BD" w:rsidR="004334AA" w:rsidRDefault="004334AA" w:rsidP="00CF276F">
      <w:pPr>
        <w:pStyle w:val="BodyText-nospacebelow"/>
        <w:jc w:val="both"/>
      </w:pPr>
      <w:r>
        <w:t xml:space="preserve">The rules concerning the declaration of gifts must also be sensible and not create an unreasonable </w:t>
      </w:r>
      <w:r w:rsidR="00F30AF9">
        <w:t>burden or compromise the council</w:t>
      </w:r>
      <w:r w:rsidR="00F16B28">
        <w:t xml:space="preserve"> member’</w:t>
      </w:r>
      <w:r w:rsidR="00F30AF9">
        <w:t>s rights to maintain a private life beyond their service as a councillor.</w:t>
      </w:r>
    </w:p>
    <w:p w14:paraId="1887B07B" w14:textId="2A53DAE9" w:rsidR="0068687A" w:rsidRDefault="0068687A" w:rsidP="00CF276F">
      <w:pPr>
        <w:pStyle w:val="BodyText-nospacebelow"/>
        <w:jc w:val="both"/>
      </w:pPr>
    </w:p>
    <w:p w14:paraId="1EC82A5A" w14:textId="36721598" w:rsidR="0068687A" w:rsidRPr="006B6F40" w:rsidRDefault="0068687A" w:rsidP="00CF276F">
      <w:pPr>
        <w:pStyle w:val="BodyText-nospacebelow"/>
        <w:jc w:val="both"/>
      </w:pPr>
      <w:r w:rsidRPr="003F0EAC">
        <w:t xml:space="preserve">Gifts and contributions to travel are regulated under the Act and three sets of Regulations – the </w:t>
      </w:r>
      <w:r w:rsidRPr="00917337">
        <w:rPr>
          <w:i/>
        </w:rPr>
        <w:t>Local Government (Administration) Regulations 1996</w:t>
      </w:r>
      <w:r w:rsidRPr="00B32492">
        <w:rPr>
          <w:i/>
        </w:rPr>
        <w:t xml:space="preserve">, </w:t>
      </w:r>
      <w:r w:rsidRPr="00917337">
        <w:rPr>
          <w:i/>
        </w:rPr>
        <w:t>Local Government (Elections) Regulations 1997</w:t>
      </w:r>
      <w:r w:rsidRPr="00B32492">
        <w:rPr>
          <w:i/>
        </w:rPr>
        <w:t xml:space="preserve"> and </w:t>
      </w:r>
      <w:r w:rsidRPr="00917337">
        <w:rPr>
          <w:i/>
        </w:rPr>
        <w:t>Local Government (Rules of Conduct) Regulations 2007</w:t>
      </w:r>
      <w:r w:rsidRPr="006B6F40">
        <w:t>.</w:t>
      </w:r>
      <w:r>
        <w:t xml:space="preserve">  </w:t>
      </w:r>
      <w:r w:rsidR="00AF6298" w:rsidRPr="003F0EAC">
        <w:t>Each regulation has a different framework for declar</w:t>
      </w:r>
      <w:r w:rsidR="00AF6298">
        <w:t>ing gifts and contributions,</w:t>
      </w:r>
      <w:r w:rsidR="00AF6298" w:rsidRPr="003F0EAC">
        <w:t xml:space="preserve"> which has led to confusion in the sector</w:t>
      </w:r>
      <w:r w:rsidR="00AF6298">
        <w:t xml:space="preserve">.  </w:t>
      </w:r>
      <w:r>
        <w:t>Attachment 2 outlines the provisions currently applying in Western Australia.</w:t>
      </w:r>
      <w:r w:rsidR="00AF6298">
        <w:t xml:space="preserve"> </w:t>
      </w:r>
    </w:p>
    <w:p w14:paraId="20480C85" w14:textId="563EDDBE" w:rsidR="00F30AF9" w:rsidRDefault="00F30AF9" w:rsidP="00CF276F">
      <w:pPr>
        <w:pStyle w:val="BodyText-nospacebelow"/>
        <w:jc w:val="both"/>
      </w:pPr>
    </w:p>
    <w:p w14:paraId="139F21B0" w14:textId="0617055C" w:rsidR="00F30AF9" w:rsidRDefault="00F30AF9" w:rsidP="00CF276F">
      <w:pPr>
        <w:pStyle w:val="BodyText-nospacebelow"/>
        <w:jc w:val="both"/>
      </w:pPr>
      <w:r>
        <w:t>It is</w:t>
      </w:r>
      <w:r w:rsidDel="00875F4A">
        <w:t xml:space="preserve"> </w:t>
      </w:r>
      <w:r>
        <w:t>widely</w:t>
      </w:r>
      <w:r w:rsidR="00CB7E63">
        <w:t xml:space="preserve"> acknowledged that </w:t>
      </w:r>
      <w:r>
        <w:t xml:space="preserve">current approach to gifts </w:t>
      </w:r>
      <w:r w:rsidR="00CB7E63">
        <w:t xml:space="preserve">is overly complex and </w:t>
      </w:r>
      <w:r>
        <w:t>requires reform.  Acknowledging the need for change, in September 2016 a gift working group was established with representatives from the Department of Local Government, WALGA, L</w:t>
      </w:r>
      <w:r w:rsidR="008953B5">
        <w:t>G</w:t>
      </w:r>
      <w:r>
        <w:t xml:space="preserve"> Professionals WA, the Department of the Premier and Cabinet, the Mayor of Armadale, Shire President of Morawa and the CEOs of the Cities of Swan and Vincent.</w:t>
      </w:r>
    </w:p>
    <w:p w14:paraId="606B1FBD" w14:textId="67104FBE" w:rsidR="00760032" w:rsidRDefault="00760032" w:rsidP="00CF276F">
      <w:pPr>
        <w:pStyle w:val="BodyText-nospacebelow"/>
        <w:jc w:val="both"/>
      </w:pPr>
    </w:p>
    <w:p w14:paraId="77D01BAA" w14:textId="2C40949C" w:rsidR="00760032" w:rsidRDefault="00760032" w:rsidP="00CF276F">
      <w:pPr>
        <w:pStyle w:val="BodyText-nospacebelow"/>
        <w:jc w:val="both"/>
      </w:pPr>
      <w:r>
        <w:lastRenderedPageBreak/>
        <w:t>Prior to the</w:t>
      </w:r>
      <w:r w:rsidR="00972091">
        <w:t xml:space="preserve"> formation of the working group</w:t>
      </w:r>
      <w:r>
        <w:t xml:space="preserve"> WALGA</w:t>
      </w:r>
      <w:r w:rsidR="00972091">
        <w:t>,</w:t>
      </w:r>
      <w:r>
        <w:t xml:space="preserve"> as the peak body representing the sector</w:t>
      </w:r>
      <w:r w:rsidR="00860516">
        <w:t xml:space="preserve">, prepared a policy position based on consultation with its members.  While the working group did not accept all of these positions, the document formed the basis for the discussion and the working group’s </w:t>
      </w:r>
      <w:r w:rsidR="0017325D">
        <w:t xml:space="preserve">initial </w:t>
      </w:r>
      <w:r w:rsidR="00860516">
        <w:t>recommendations.</w:t>
      </w:r>
      <w:r w:rsidR="0017325D">
        <w:t xml:space="preserve">  Following consideration of the matter, the individual working group member’s positions have been refined.</w:t>
      </w:r>
    </w:p>
    <w:p w14:paraId="76885051" w14:textId="16F2DB8C" w:rsidR="00F30AF9" w:rsidRDefault="00F30AF9" w:rsidP="00CF276F">
      <w:pPr>
        <w:pStyle w:val="BodyText-nospacebelow"/>
        <w:jc w:val="both"/>
      </w:pPr>
    </w:p>
    <w:p w14:paraId="24EE27A2" w14:textId="613DC431" w:rsidR="00F84EE2" w:rsidRDefault="0068687A" w:rsidP="00CF276F">
      <w:pPr>
        <w:pStyle w:val="BodyText-nospacebelow"/>
        <w:jc w:val="both"/>
      </w:pPr>
      <w:r>
        <w:t xml:space="preserve">With the review of the Act it is timely to consider the </w:t>
      </w:r>
      <w:r w:rsidR="00CB7E63">
        <w:t>recommendations of the group</w:t>
      </w:r>
      <w:r w:rsidR="003D3A18">
        <w:t xml:space="preserve"> to ensure that the proposed way forward is aligned to public expectations of accountability and transparency.</w:t>
      </w:r>
      <w:r w:rsidR="00CB7E63">
        <w:t xml:space="preserve"> </w:t>
      </w:r>
      <w:r w:rsidR="003D3A18">
        <w:t xml:space="preserve"> </w:t>
      </w:r>
    </w:p>
    <w:p w14:paraId="06B3BABD" w14:textId="77777777" w:rsidR="00E82110" w:rsidRPr="003F0EAC" w:rsidRDefault="00E82110" w:rsidP="00CF276F">
      <w:pPr>
        <w:pStyle w:val="Heading2"/>
        <w:jc w:val="both"/>
      </w:pPr>
      <w:bookmarkStart w:id="984" w:name="_Toc491097289"/>
      <w:bookmarkStart w:id="985" w:name="_Toc491097679"/>
      <w:bookmarkStart w:id="986" w:name="_Toc491857137"/>
      <w:bookmarkStart w:id="987" w:name="_Toc491872757"/>
      <w:bookmarkStart w:id="988" w:name="_Toc491873691"/>
      <w:bookmarkStart w:id="989" w:name="_Toc491934319"/>
      <w:bookmarkStart w:id="990" w:name="_Toc492368948"/>
      <w:bookmarkStart w:id="991" w:name="_Toc492386675"/>
      <w:bookmarkStart w:id="992" w:name="_Toc492468917"/>
      <w:bookmarkStart w:id="993" w:name="_Toc492470593"/>
      <w:bookmarkStart w:id="994" w:name="_Toc492471273"/>
      <w:bookmarkStart w:id="995" w:name="_Toc492471395"/>
      <w:bookmarkStart w:id="996" w:name="_Toc493746736"/>
      <w:bookmarkStart w:id="997" w:name="_Toc493768868"/>
      <w:bookmarkStart w:id="998" w:name="_Toc493859938"/>
      <w:bookmarkStart w:id="999" w:name="_Toc495491857"/>
      <w:bookmarkStart w:id="1000" w:name="_Toc495497637"/>
      <w:bookmarkStart w:id="1001" w:name="_Toc495671485"/>
      <w:bookmarkStart w:id="1002" w:name="_Toc495676086"/>
      <w:bookmarkStart w:id="1003" w:name="_Toc495678382"/>
      <w:bookmarkStart w:id="1004" w:name="_Toc495998379"/>
      <w:bookmarkStart w:id="1005" w:name="_Toc497741849"/>
      <w:r>
        <w:t>A</w:t>
      </w:r>
      <w:r w:rsidRPr="003F0EAC">
        <w:t>cross Australia</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380FA4A6" w14:textId="77777777" w:rsidR="00E82110" w:rsidRDefault="00E82110" w:rsidP="00CF276F">
      <w:pPr>
        <w:pStyle w:val="BodyText-nospacebelow"/>
        <w:jc w:val="both"/>
      </w:pPr>
      <w:r w:rsidRPr="003F0EAC">
        <w:t xml:space="preserve">A summary of local government gift disclosure requirements </w:t>
      </w:r>
      <w:r>
        <w:t>across</w:t>
      </w:r>
      <w:r w:rsidRPr="003F0EAC">
        <w:t xml:space="preserve"> Australia </w:t>
      </w:r>
      <w:r>
        <w:t>is provided below:</w:t>
      </w:r>
      <w:r w:rsidRPr="003F0EAC">
        <w:t xml:space="preserve"> </w:t>
      </w:r>
    </w:p>
    <w:p w14:paraId="4B2C52CA" w14:textId="77777777" w:rsidR="00E82110" w:rsidRPr="003F0EAC" w:rsidRDefault="00E82110" w:rsidP="00E82110">
      <w:pPr>
        <w:pStyle w:val="BodyText-nospacebelow"/>
      </w:pPr>
    </w:p>
    <w:tbl>
      <w:tblPr>
        <w:tblStyle w:val="DLGCTable-Data"/>
        <w:tblW w:w="9642" w:type="dxa"/>
        <w:tblLook w:val="04A0" w:firstRow="1" w:lastRow="0" w:firstColumn="1" w:lastColumn="0" w:noHBand="0" w:noVBand="1"/>
        <w:tblCaption w:val="Table 2 - Data"/>
        <w:tblDescription w:val="Table 2 - Data"/>
      </w:tblPr>
      <w:tblGrid>
        <w:gridCol w:w="2178"/>
        <w:gridCol w:w="2516"/>
        <w:gridCol w:w="4948"/>
      </w:tblGrid>
      <w:tr w:rsidR="00E82110" w:rsidRPr="003F0EAC" w14:paraId="3D0806A7" w14:textId="77777777" w:rsidTr="00875F4A">
        <w:trPr>
          <w:cnfStyle w:val="100000000000" w:firstRow="1" w:lastRow="0" w:firstColumn="0" w:lastColumn="0" w:oddVBand="0" w:evenVBand="0" w:oddHBand="0" w:evenHBand="0" w:firstRowFirstColumn="0" w:firstRowLastColumn="0" w:lastRowFirstColumn="0" w:lastRowLastColumn="0"/>
        </w:trPr>
        <w:tc>
          <w:tcPr>
            <w:tcW w:w="2178" w:type="dxa"/>
            <w:tcMar>
              <w:top w:w="113" w:type="dxa"/>
            </w:tcMar>
          </w:tcPr>
          <w:p w14:paraId="7E70EB17" w14:textId="77777777" w:rsidR="00E82110" w:rsidRPr="003F0EAC" w:rsidRDefault="00E82110" w:rsidP="0018386D">
            <w:pPr>
              <w:pStyle w:val="BodyText-nospacebelow"/>
              <w:spacing w:before="0" w:line="276" w:lineRule="auto"/>
              <w:ind w:left="0" w:right="0"/>
            </w:pPr>
            <w:r w:rsidRPr="003F0EAC">
              <w:t>State</w:t>
            </w:r>
          </w:p>
        </w:tc>
        <w:tc>
          <w:tcPr>
            <w:tcW w:w="2516" w:type="dxa"/>
            <w:tcMar>
              <w:top w:w="113" w:type="dxa"/>
            </w:tcMar>
          </w:tcPr>
          <w:p w14:paraId="4CF7DE25" w14:textId="77777777" w:rsidR="00E82110" w:rsidRPr="003F0EAC" w:rsidRDefault="00E82110" w:rsidP="0018386D">
            <w:pPr>
              <w:pStyle w:val="BodyText-nospacebelow"/>
              <w:spacing w:before="0" w:line="276" w:lineRule="auto"/>
              <w:ind w:left="0" w:right="0"/>
            </w:pPr>
            <w:r w:rsidRPr="003F0EAC">
              <w:t>Threshold</w:t>
            </w:r>
          </w:p>
        </w:tc>
        <w:tc>
          <w:tcPr>
            <w:tcW w:w="4948" w:type="dxa"/>
            <w:tcMar>
              <w:top w:w="113" w:type="dxa"/>
            </w:tcMar>
          </w:tcPr>
          <w:p w14:paraId="5C1216F8" w14:textId="77777777" w:rsidR="00E82110" w:rsidRPr="003F0EAC" w:rsidRDefault="00E82110" w:rsidP="0018386D">
            <w:pPr>
              <w:pStyle w:val="BodyText-nospacebelow"/>
              <w:spacing w:before="0" w:line="276" w:lineRule="auto"/>
              <w:ind w:left="0" w:right="0"/>
            </w:pPr>
            <w:r w:rsidRPr="003F0EAC">
              <w:t>Exemptions</w:t>
            </w:r>
          </w:p>
        </w:tc>
      </w:tr>
      <w:tr w:rsidR="00E82110" w:rsidRPr="003F0EAC" w14:paraId="6273B264" w14:textId="77777777" w:rsidTr="00875F4A">
        <w:tc>
          <w:tcPr>
            <w:tcW w:w="2178" w:type="dxa"/>
            <w:tcMar>
              <w:top w:w="113" w:type="dxa"/>
            </w:tcMar>
          </w:tcPr>
          <w:p w14:paraId="77F41758" w14:textId="01EF8BA4" w:rsidR="00E82110" w:rsidRPr="003F0EAC" w:rsidRDefault="001D1C8E" w:rsidP="00332EB0">
            <w:pPr>
              <w:pStyle w:val="BodyText-nospacebelow"/>
              <w:spacing w:before="0" w:after="240" w:line="276" w:lineRule="auto"/>
              <w:ind w:left="0" w:right="0"/>
            </w:pPr>
            <w:r>
              <w:t>New South Wales</w:t>
            </w:r>
          </w:p>
        </w:tc>
        <w:tc>
          <w:tcPr>
            <w:tcW w:w="2516" w:type="dxa"/>
            <w:tcMar>
              <w:top w:w="113" w:type="dxa"/>
            </w:tcMar>
          </w:tcPr>
          <w:p w14:paraId="6A3093A3" w14:textId="5DCCD5DD" w:rsidR="00E82110" w:rsidRPr="003F0EAC" w:rsidRDefault="001D1C8E" w:rsidP="00332EB0">
            <w:pPr>
              <w:pStyle w:val="BodyText-nospacebelow"/>
              <w:spacing w:before="0" w:after="240" w:line="276" w:lineRule="auto"/>
              <w:ind w:left="0" w:right="0"/>
            </w:pPr>
            <w:r w:rsidRPr="003F0EAC">
              <w:t>$500 gift, $250 travel</w:t>
            </w:r>
          </w:p>
        </w:tc>
        <w:tc>
          <w:tcPr>
            <w:tcW w:w="4948" w:type="dxa"/>
            <w:tcMar>
              <w:top w:w="113" w:type="dxa"/>
            </w:tcMar>
          </w:tcPr>
          <w:p w14:paraId="649CBA0A" w14:textId="77777777" w:rsidR="001D1C8E" w:rsidRPr="003F0EAC" w:rsidRDefault="001D1C8E" w:rsidP="001D1C8E">
            <w:pPr>
              <w:pStyle w:val="BodyText-nospacebelow"/>
              <w:numPr>
                <w:ilvl w:val="0"/>
                <w:numId w:val="39"/>
              </w:numPr>
              <w:spacing w:before="0" w:line="276" w:lineRule="auto"/>
              <w:ind w:right="0"/>
            </w:pPr>
            <w:r w:rsidRPr="003F0EAC">
              <w:t>Relatives</w:t>
            </w:r>
          </w:p>
          <w:p w14:paraId="6B9A0C10" w14:textId="77777777" w:rsidR="001D1C8E" w:rsidRPr="003F0EAC" w:rsidRDefault="001D1C8E" w:rsidP="001D1C8E">
            <w:pPr>
              <w:pStyle w:val="BodyText-nospacebelow"/>
              <w:numPr>
                <w:ilvl w:val="0"/>
                <w:numId w:val="39"/>
              </w:numPr>
              <w:spacing w:before="0" w:line="276" w:lineRule="auto"/>
              <w:ind w:right="0"/>
            </w:pPr>
            <w:r w:rsidRPr="003F0EAC">
              <w:t>Political donation captured under other legislation</w:t>
            </w:r>
            <w:r w:rsidR="00F832B3">
              <w:t>.</w:t>
            </w:r>
          </w:p>
          <w:p w14:paraId="0FCDBA60" w14:textId="39ABEAD3" w:rsidR="00E82110" w:rsidRPr="003F0EAC" w:rsidRDefault="001D1C8E" w:rsidP="00875F4A">
            <w:pPr>
              <w:pStyle w:val="BodyText-nospacebelow"/>
              <w:numPr>
                <w:ilvl w:val="0"/>
                <w:numId w:val="39"/>
              </w:numPr>
              <w:spacing w:before="0" w:line="276" w:lineRule="auto"/>
              <w:ind w:right="0"/>
            </w:pPr>
            <w:r w:rsidRPr="003F0EAC">
              <w:t>Travel from public funds, political parties, relatives</w:t>
            </w:r>
          </w:p>
        </w:tc>
      </w:tr>
      <w:tr w:rsidR="00B028E4" w:rsidRPr="003F0EAC" w14:paraId="5311F193" w14:textId="77777777" w:rsidTr="00CD184D">
        <w:tc>
          <w:tcPr>
            <w:tcW w:w="2178" w:type="dxa"/>
            <w:tcMar>
              <w:top w:w="113" w:type="dxa"/>
            </w:tcMar>
          </w:tcPr>
          <w:p w14:paraId="2BFA8ACE" w14:textId="77777777" w:rsidR="00B028E4" w:rsidRPr="003F0EAC" w:rsidRDefault="00B028E4" w:rsidP="00CD184D">
            <w:pPr>
              <w:pStyle w:val="BodyText-nospacebelow"/>
              <w:spacing w:before="0" w:after="240" w:line="276" w:lineRule="auto"/>
              <w:ind w:left="0" w:right="0"/>
            </w:pPr>
            <w:r>
              <w:t>Victoria</w:t>
            </w:r>
          </w:p>
        </w:tc>
        <w:tc>
          <w:tcPr>
            <w:tcW w:w="2516" w:type="dxa"/>
            <w:tcMar>
              <w:top w:w="113" w:type="dxa"/>
            </w:tcMar>
          </w:tcPr>
          <w:p w14:paraId="45ABC000" w14:textId="77777777" w:rsidR="00B028E4" w:rsidRPr="003F0EAC" w:rsidRDefault="00B028E4" w:rsidP="00CD184D">
            <w:pPr>
              <w:pStyle w:val="BodyText-nospacebelow"/>
              <w:spacing w:before="0" w:after="240" w:line="276" w:lineRule="auto"/>
              <w:ind w:left="0" w:right="0"/>
            </w:pPr>
            <w:r>
              <w:t>$500</w:t>
            </w:r>
          </w:p>
        </w:tc>
        <w:tc>
          <w:tcPr>
            <w:tcW w:w="4948" w:type="dxa"/>
            <w:tcMar>
              <w:top w:w="113" w:type="dxa"/>
            </w:tcMar>
          </w:tcPr>
          <w:p w14:paraId="68F19E8F" w14:textId="77777777" w:rsidR="00B028E4" w:rsidRPr="003F0EAC" w:rsidRDefault="00B028E4" w:rsidP="00CD184D">
            <w:pPr>
              <w:pStyle w:val="BodyText-nospacebelow"/>
              <w:numPr>
                <w:ilvl w:val="0"/>
                <w:numId w:val="41"/>
              </w:numPr>
              <w:spacing w:before="0" w:line="276" w:lineRule="auto"/>
              <w:ind w:right="0"/>
            </w:pPr>
            <w:r w:rsidRPr="003F0EAC">
              <w:t>Relatives</w:t>
            </w:r>
          </w:p>
          <w:p w14:paraId="185CB6A2" w14:textId="77777777" w:rsidR="00B028E4" w:rsidRPr="003F0EAC" w:rsidRDefault="00B028E4" w:rsidP="00CD184D">
            <w:pPr>
              <w:pStyle w:val="BodyText-nospacebelow"/>
              <w:numPr>
                <w:ilvl w:val="0"/>
                <w:numId w:val="41"/>
              </w:numPr>
              <w:spacing w:before="0" w:line="276" w:lineRule="auto"/>
              <w:ind w:right="0"/>
            </w:pPr>
            <w:r w:rsidRPr="003F0EAC">
              <w:t>Reasonable hospitality</w:t>
            </w:r>
            <w:r>
              <w:t>.</w:t>
            </w:r>
          </w:p>
          <w:p w14:paraId="37D720CC" w14:textId="10843A75" w:rsidR="00B028E4" w:rsidRPr="003F0EAC" w:rsidRDefault="00B028E4" w:rsidP="00CD184D">
            <w:pPr>
              <w:pStyle w:val="BodyText-nospacebelow"/>
              <w:numPr>
                <w:ilvl w:val="0"/>
                <w:numId w:val="41"/>
              </w:numPr>
              <w:spacing w:before="0" w:line="276" w:lineRule="auto"/>
              <w:ind w:right="0"/>
            </w:pPr>
            <w:r w:rsidRPr="003F0EAC">
              <w:t>Gifts received more than 12 months prior to becoming a</w:t>
            </w:r>
            <w:r w:rsidR="00246B9A">
              <w:t>n</w:t>
            </w:r>
            <w:r w:rsidRPr="003F0EAC">
              <w:t xml:space="preserve"> </w:t>
            </w:r>
            <w:r w:rsidR="00246B9A">
              <w:t>elected member</w:t>
            </w:r>
            <w:r w:rsidRPr="003F0EAC">
              <w:t xml:space="preserve"> or employee (not including election campaign donations)</w:t>
            </w:r>
          </w:p>
        </w:tc>
      </w:tr>
      <w:tr w:rsidR="00E82110" w:rsidRPr="003F0EAC" w14:paraId="3AF80067" w14:textId="77777777" w:rsidTr="00875F4A">
        <w:tc>
          <w:tcPr>
            <w:tcW w:w="2178" w:type="dxa"/>
            <w:tcMar>
              <w:top w:w="113" w:type="dxa"/>
            </w:tcMar>
          </w:tcPr>
          <w:p w14:paraId="0B8F850A" w14:textId="184FC1CD" w:rsidR="00E82110" w:rsidRPr="003F0EAC" w:rsidRDefault="001D1C8E" w:rsidP="0018386D">
            <w:pPr>
              <w:pStyle w:val="BodyText-nospacebelow"/>
              <w:spacing w:before="0" w:line="276" w:lineRule="auto"/>
              <w:ind w:left="0" w:right="0"/>
            </w:pPr>
            <w:r>
              <w:t>Queensland</w:t>
            </w:r>
          </w:p>
        </w:tc>
        <w:tc>
          <w:tcPr>
            <w:tcW w:w="2516" w:type="dxa"/>
            <w:tcMar>
              <w:top w:w="113" w:type="dxa"/>
            </w:tcMar>
          </w:tcPr>
          <w:p w14:paraId="1BEF9AE4" w14:textId="46CA9CF4" w:rsidR="00E82110" w:rsidRPr="003F0EAC" w:rsidRDefault="001D1C8E" w:rsidP="0018386D">
            <w:pPr>
              <w:pStyle w:val="BodyText-nospacebelow"/>
              <w:spacing w:before="0" w:line="276" w:lineRule="auto"/>
              <w:ind w:left="0" w:right="0"/>
            </w:pPr>
            <w:r w:rsidRPr="003F0EAC">
              <w:t>$500 gift, travel considered a “sponsored hospitality benefit”</w:t>
            </w:r>
          </w:p>
        </w:tc>
        <w:tc>
          <w:tcPr>
            <w:tcW w:w="4948" w:type="dxa"/>
            <w:tcMar>
              <w:top w:w="113" w:type="dxa"/>
            </w:tcMar>
          </w:tcPr>
          <w:p w14:paraId="5215D087" w14:textId="77777777" w:rsidR="001D1C8E" w:rsidRPr="003F0EAC" w:rsidRDefault="001D1C8E" w:rsidP="001D1C8E">
            <w:pPr>
              <w:pStyle w:val="BodyText-nospacebelow"/>
              <w:numPr>
                <w:ilvl w:val="0"/>
                <w:numId w:val="40"/>
              </w:numPr>
              <w:spacing w:before="0" w:line="276" w:lineRule="auto"/>
              <w:ind w:right="0"/>
            </w:pPr>
            <w:r w:rsidRPr="003F0EAC">
              <w:t>Relatives</w:t>
            </w:r>
          </w:p>
          <w:p w14:paraId="29EDB19F" w14:textId="77777777" w:rsidR="001D1C8E" w:rsidRPr="003F0EAC" w:rsidRDefault="001D1C8E" w:rsidP="001D1C8E">
            <w:pPr>
              <w:pStyle w:val="BodyText-nospacebelow"/>
              <w:numPr>
                <w:ilvl w:val="0"/>
                <w:numId w:val="40"/>
              </w:numPr>
              <w:spacing w:before="0" w:line="276" w:lineRule="auto"/>
              <w:ind w:right="0"/>
            </w:pPr>
            <w:r w:rsidRPr="003F0EAC">
              <w:t>Someone else related by blood or marriage</w:t>
            </w:r>
            <w:r w:rsidR="00F832B3">
              <w:t>.</w:t>
            </w:r>
          </w:p>
          <w:p w14:paraId="1EC3EDCA" w14:textId="77777777" w:rsidR="001D1C8E" w:rsidRPr="003F0EAC" w:rsidRDefault="001D1C8E" w:rsidP="001D1C8E">
            <w:pPr>
              <w:pStyle w:val="BodyText-nospacebelow"/>
              <w:numPr>
                <w:ilvl w:val="0"/>
                <w:numId w:val="40"/>
              </w:numPr>
              <w:spacing w:before="0" w:line="276" w:lineRule="auto"/>
              <w:ind w:right="0"/>
            </w:pPr>
            <w:r w:rsidRPr="003F0EAC">
              <w:t>Friends</w:t>
            </w:r>
          </w:p>
          <w:p w14:paraId="1CBDDDF0" w14:textId="18C018C0" w:rsidR="00E82110" w:rsidRPr="003F0EAC" w:rsidRDefault="001D1C8E" w:rsidP="00E82110">
            <w:pPr>
              <w:pStyle w:val="BodyText-nospacebelow"/>
              <w:numPr>
                <w:ilvl w:val="0"/>
                <w:numId w:val="39"/>
              </w:numPr>
              <w:spacing w:before="0" w:line="276" w:lineRule="auto"/>
              <w:ind w:right="0"/>
            </w:pPr>
            <w:r w:rsidRPr="003F0EAC">
              <w:t>Sponsored hospitality benefits where there could not be a perce</w:t>
            </w:r>
            <w:r w:rsidR="00F832B3">
              <w:t>ption of a conflict of interest</w:t>
            </w:r>
          </w:p>
        </w:tc>
      </w:tr>
      <w:tr w:rsidR="001D1C8E" w:rsidRPr="003F0EAC" w14:paraId="3563218F" w14:textId="77777777" w:rsidTr="00875F4A">
        <w:tc>
          <w:tcPr>
            <w:tcW w:w="2178" w:type="dxa"/>
            <w:tcMar>
              <w:top w:w="113" w:type="dxa"/>
            </w:tcMar>
          </w:tcPr>
          <w:p w14:paraId="1BE17548" w14:textId="49569945" w:rsidR="001D1C8E" w:rsidRPr="003F0EAC" w:rsidRDefault="001D1C8E" w:rsidP="001D1C8E">
            <w:pPr>
              <w:pStyle w:val="BodyText-nospacebelow"/>
              <w:spacing w:before="0" w:line="276" w:lineRule="auto"/>
              <w:ind w:left="0" w:right="0"/>
            </w:pPr>
            <w:r>
              <w:t>South Australia</w:t>
            </w:r>
          </w:p>
        </w:tc>
        <w:tc>
          <w:tcPr>
            <w:tcW w:w="2516" w:type="dxa"/>
            <w:tcMar>
              <w:top w:w="113" w:type="dxa"/>
            </w:tcMar>
          </w:tcPr>
          <w:p w14:paraId="335D0BF8" w14:textId="1A42BE44" w:rsidR="001D1C8E" w:rsidRPr="003F0EAC" w:rsidRDefault="001D1C8E" w:rsidP="001D1C8E">
            <w:pPr>
              <w:pStyle w:val="BodyText-nospacebelow"/>
              <w:spacing w:before="0" w:line="276" w:lineRule="auto"/>
              <w:ind w:left="0" w:right="0"/>
            </w:pPr>
            <w:r w:rsidRPr="003F0EAC">
              <w:t>$750 in annual return, $100 in register of interests</w:t>
            </w:r>
          </w:p>
        </w:tc>
        <w:tc>
          <w:tcPr>
            <w:tcW w:w="4948" w:type="dxa"/>
            <w:tcMar>
              <w:top w:w="113" w:type="dxa"/>
            </w:tcMar>
          </w:tcPr>
          <w:p w14:paraId="6AC91EA2" w14:textId="03735BD9" w:rsidR="001D1C8E" w:rsidRDefault="001D1C8E" w:rsidP="00875F4A">
            <w:pPr>
              <w:pStyle w:val="BodyText-nospacebelow"/>
              <w:numPr>
                <w:ilvl w:val="0"/>
                <w:numId w:val="41"/>
              </w:numPr>
              <w:spacing w:before="0" w:line="276" w:lineRule="auto"/>
              <w:ind w:right="0"/>
            </w:pPr>
            <w:r w:rsidRPr="003F0EAC">
              <w:t>Hospitality of reasonable value</w:t>
            </w:r>
          </w:p>
          <w:p w14:paraId="40A92E54" w14:textId="2167D1A3" w:rsidR="001D1C8E" w:rsidRPr="003F0EAC" w:rsidRDefault="001D1C8E" w:rsidP="00875F4A">
            <w:pPr>
              <w:pStyle w:val="BodyText-nospacebelow"/>
              <w:numPr>
                <w:ilvl w:val="0"/>
                <w:numId w:val="41"/>
              </w:numPr>
              <w:spacing w:before="0" w:line="276" w:lineRule="auto"/>
              <w:ind w:right="0"/>
            </w:pPr>
            <w:r w:rsidRPr="003F0EAC">
              <w:t>Relatives by blood or marriage or family members</w:t>
            </w:r>
          </w:p>
        </w:tc>
      </w:tr>
      <w:tr w:rsidR="001D1C8E" w:rsidRPr="003F0EAC" w14:paraId="2D9A913D" w14:textId="77777777" w:rsidTr="00875F4A">
        <w:tc>
          <w:tcPr>
            <w:tcW w:w="2178" w:type="dxa"/>
            <w:tcMar>
              <w:top w:w="113" w:type="dxa"/>
            </w:tcMar>
          </w:tcPr>
          <w:p w14:paraId="370B4B02" w14:textId="3B626978" w:rsidR="001D1C8E" w:rsidRPr="003F0EAC" w:rsidRDefault="001D1C8E">
            <w:pPr>
              <w:pStyle w:val="BodyText-nospacebelow"/>
              <w:spacing w:before="0" w:line="276" w:lineRule="auto"/>
              <w:ind w:left="0" w:right="0"/>
            </w:pPr>
            <w:r>
              <w:t>Tasmania</w:t>
            </w:r>
          </w:p>
        </w:tc>
        <w:tc>
          <w:tcPr>
            <w:tcW w:w="2516" w:type="dxa"/>
            <w:tcMar>
              <w:top w:w="113" w:type="dxa"/>
            </w:tcMar>
          </w:tcPr>
          <w:p w14:paraId="47496052" w14:textId="4974F2B7" w:rsidR="001D1C8E" w:rsidRPr="003F0EAC" w:rsidRDefault="001D1C8E" w:rsidP="001D1C8E">
            <w:pPr>
              <w:pStyle w:val="BodyText-nospacebelow"/>
              <w:spacing w:before="0" w:line="276" w:lineRule="auto"/>
              <w:ind w:left="0" w:right="0"/>
            </w:pPr>
            <w:r>
              <w:t>N/A</w:t>
            </w:r>
          </w:p>
        </w:tc>
        <w:tc>
          <w:tcPr>
            <w:tcW w:w="4948" w:type="dxa"/>
            <w:tcMar>
              <w:top w:w="113" w:type="dxa"/>
            </w:tcMar>
          </w:tcPr>
          <w:p w14:paraId="735F645F" w14:textId="0775992B" w:rsidR="001D1C8E" w:rsidRPr="003F0EAC" w:rsidRDefault="001D1C8E" w:rsidP="00875F4A">
            <w:pPr>
              <w:pStyle w:val="BodyText-nospacebelow"/>
              <w:spacing w:before="0" w:line="276" w:lineRule="auto"/>
              <w:ind w:left="0" w:right="0"/>
            </w:pPr>
            <w:r>
              <w:t>Not set at state-wide level</w:t>
            </w:r>
          </w:p>
        </w:tc>
      </w:tr>
      <w:tr w:rsidR="001D1C8E" w:rsidRPr="003F0EAC" w14:paraId="5B1C9916" w14:textId="77777777" w:rsidTr="00875F4A">
        <w:tc>
          <w:tcPr>
            <w:tcW w:w="2178" w:type="dxa"/>
            <w:tcMar>
              <w:top w:w="113" w:type="dxa"/>
            </w:tcMar>
          </w:tcPr>
          <w:p w14:paraId="1DC2AD66" w14:textId="6E0B5D40" w:rsidR="001D1C8E" w:rsidRPr="003F0EAC" w:rsidRDefault="001D1C8E" w:rsidP="001D1C8E">
            <w:pPr>
              <w:pStyle w:val="BodyText-nospacebelow"/>
              <w:spacing w:before="0" w:after="240" w:line="276" w:lineRule="auto"/>
              <w:ind w:left="0" w:right="0"/>
            </w:pPr>
            <w:r>
              <w:lastRenderedPageBreak/>
              <w:t>Northern Territory</w:t>
            </w:r>
          </w:p>
        </w:tc>
        <w:tc>
          <w:tcPr>
            <w:tcW w:w="2516" w:type="dxa"/>
            <w:tcMar>
              <w:top w:w="113" w:type="dxa"/>
            </w:tcMar>
          </w:tcPr>
          <w:p w14:paraId="5082EC88" w14:textId="4505464D" w:rsidR="001D1C8E" w:rsidRPr="003F0EAC" w:rsidRDefault="001D1C8E" w:rsidP="001D1C8E">
            <w:pPr>
              <w:pStyle w:val="BodyText-nospacebelow"/>
              <w:spacing w:before="0" w:after="240" w:line="276" w:lineRule="auto"/>
              <w:ind w:left="0" w:right="0"/>
            </w:pPr>
            <w:r>
              <w:t>N/A</w:t>
            </w:r>
          </w:p>
        </w:tc>
        <w:tc>
          <w:tcPr>
            <w:tcW w:w="4948" w:type="dxa"/>
            <w:tcMar>
              <w:top w:w="113" w:type="dxa"/>
            </w:tcMar>
          </w:tcPr>
          <w:p w14:paraId="49B90C60" w14:textId="64A79D66" w:rsidR="001D1C8E" w:rsidRPr="003F0EAC" w:rsidRDefault="001D1C8E" w:rsidP="001D1C8E">
            <w:pPr>
              <w:pStyle w:val="BodyText-nospacebelow"/>
              <w:spacing w:before="0" w:after="240" w:line="276" w:lineRule="auto"/>
              <w:ind w:left="0" w:right="0"/>
            </w:pPr>
            <w:r>
              <w:t>Not set at a state-wide level</w:t>
            </w:r>
          </w:p>
        </w:tc>
      </w:tr>
      <w:tr w:rsidR="001D1C8E" w:rsidRPr="003F0EAC" w14:paraId="66CBC309" w14:textId="77777777" w:rsidTr="00875F4A">
        <w:tc>
          <w:tcPr>
            <w:tcW w:w="2178" w:type="dxa"/>
            <w:tcMar>
              <w:top w:w="113" w:type="dxa"/>
            </w:tcMar>
          </w:tcPr>
          <w:p w14:paraId="7329D581" w14:textId="63D64FDA" w:rsidR="001D1C8E" w:rsidRPr="003F0EAC" w:rsidRDefault="001D1C8E">
            <w:pPr>
              <w:pStyle w:val="BodyText-nospacebelow"/>
              <w:spacing w:before="0" w:line="276" w:lineRule="auto"/>
              <w:ind w:left="0" w:right="0"/>
            </w:pPr>
            <w:r>
              <w:t>Australian Capital Territory</w:t>
            </w:r>
          </w:p>
        </w:tc>
        <w:tc>
          <w:tcPr>
            <w:tcW w:w="2516" w:type="dxa"/>
            <w:tcMar>
              <w:top w:w="113" w:type="dxa"/>
            </w:tcMar>
          </w:tcPr>
          <w:p w14:paraId="26F0A103" w14:textId="2FC23B08" w:rsidR="001D1C8E" w:rsidRPr="003F0EAC" w:rsidRDefault="001D1C8E">
            <w:pPr>
              <w:pStyle w:val="BodyText-nospacebelow"/>
              <w:spacing w:before="0" w:line="276" w:lineRule="auto"/>
              <w:ind w:left="0" w:right="0"/>
            </w:pPr>
            <w:r>
              <w:t>N/A</w:t>
            </w:r>
          </w:p>
        </w:tc>
        <w:tc>
          <w:tcPr>
            <w:tcW w:w="4948" w:type="dxa"/>
            <w:tcMar>
              <w:top w:w="113" w:type="dxa"/>
            </w:tcMar>
          </w:tcPr>
          <w:p w14:paraId="40E9DCE3" w14:textId="273CD74E" w:rsidR="001D1C8E" w:rsidRPr="003F0EAC" w:rsidRDefault="001D1C8E" w:rsidP="00875F4A">
            <w:pPr>
              <w:pStyle w:val="BodyText-nospacebelow"/>
              <w:spacing w:before="0" w:line="276" w:lineRule="auto"/>
              <w:ind w:left="0" w:right="0"/>
            </w:pPr>
            <w:r>
              <w:t>N/A</w:t>
            </w:r>
          </w:p>
        </w:tc>
      </w:tr>
    </w:tbl>
    <w:p w14:paraId="3206108E" w14:textId="77777777" w:rsidR="00E82110" w:rsidRPr="003F0EAC" w:rsidRDefault="00E82110" w:rsidP="00E82110">
      <w:pPr>
        <w:pStyle w:val="BodyText-nospacebelow"/>
        <w:rPr>
          <w:b/>
        </w:rPr>
      </w:pPr>
    </w:p>
    <w:p w14:paraId="2DB5DAB9" w14:textId="77777777" w:rsidR="00E82110" w:rsidRDefault="00E82110" w:rsidP="00CF276F">
      <w:pPr>
        <w:pStyle w:val="BodyText-nospacebelow"/>
        <w:jc w:val="both"/>
      </w:pPr>
      <w:r w:rsidRPr="003F0EAC">
        <w:t xml:space="preserve">It is clear there is no “one size fits all” solution for the disclosure of gifts in the local government sector.    </w:t>
      </w:r>
    </w:p>
    <w:p w14:paraId="3494BB75" w14:textId="77777777" w:rsidR="00E82110" w:rsidRPr="003F0EAC" w:rsidRDefault="00E82110" w:rsidP="00CF276F">
      <w:pPr>
        <w:pStyle w:val="Heading3"/>
        <w:jc w:val="both"/>
      </w:pPr>
      <w:bookmarkStart w:id="1006" w:name="_Toc495491858"/>
      <w:bookmarkStart w:id="1007" w:name="_Toc495497638"/>
      <w:bookmarkStart w:id="1008" w:name="_Toc495671486"/>
      <w:bookmarkStart w:id="1009" w:name="_Toc495676087"/>
      <w:bookmarkStart w:id="1010" w:name="_Toc495678383"/>
      <w:bookmarkStart w:id="1011" w:name="_Toc495998380"/>
      <w:bookmarkStart w:id="1012" w:name="_Toc497741850"/>
      <w:r>
        <w:t>Current situation</w:t>
      </w:r>
      <w:bookmarkEnd w:id="1006"/>
      <w:bookmarkEnd w:id="1007"/>
      <w:bookmarkEnd w:id="1008"/>
      <w:bookmarkEnd w:id="1009"/>
      <w:bookmarkEnd w:id="1010"/>
      <w:bookmarkEnd w:id="1011"/>
      <w:bookmarkEnd w:id="1012"/>
      <w:r w:rsidRPr="003F0EAC">
        <w:t xml:space="preserve"> </w:t>
      </w:r>
    </w:p>
    <w:p w14:paraId="48E83F96" w14:textId="77777777" w:rsidR="00E82110" w:rsidRPr="003F0EAC" w:rsidRDefault="00E82110" w:rsidP="00CF276F">
      <w:pPr>
        <w:pStyle w:val="BodyText-nospacebelow"/>
        <w:jc w:val="both"/>
      </w:pPr>
      <w:r w:rsidRPr="003F0EAC">
        <w:t xml:space="preserve">The current framework for the </w:t>
      </w:r>
      <w:r>
        <w:t>d</w:t>
      </w:r>
      <w:r>
        <w:rPr>
          <w:lang w:eastAsia="en-AU"/>
        </w:rPr>
        <w:t>isclosure</w:t>
      </w:r>
      <w:r w:rsidRPr="003F0EAC">
        <w:t xml:space="preserve"> of gifts and travel is outlined in detail in </w:t>
      </w:r>
      <w:r>
        <w:t>Attachment 2 and is</w:t>
      </w:r>
      <w:r w:rsidRPr="003F0EAC">
        <w:t xml:space="preserve"> summarised below:</w:t>
      </w:r>
    </w:p>
    <w:p w14:paraId="10DC2D4B" w14:textId="77777777" w:rsidR="00E82110" w:rsidRPr="003F0EAC" w:rsidRDefault="00E82110" w:rsidP="00E82110">
      <w:pPr>
        <w:pStyle w:val="BodyText-nospacebelow"/>
      </w:pPr>
    </w:p>
    <w:tbl>
      <w:tblPr>
        <w:tblStyle w:val="DLGCTable-Data"/>
        <w:tblW w:w="0" w:type="auto"/>
        <w:tblLook w:val="04A0" w:firstRow="1" w:lastRow="0" w:firstColumn="1" w:lastColumn="0" w:noHBand="0" w:noVBand="1"/>
      </w:tblPr>
      <w:tblGrid>
        <w:gridCol w:w="4253"/>
        <w:gridCol w:w="4389"/>
      </w:tblGrid>
      <w:tr w:rsidR="00E82110" w:rsidRPr="003F0EAC" w14:paraId="12D1BD18" w14:textId="77777777" w:rsidTr="00123955">
        <w:trPr>
          <w:cnfStyle w:val="100000000000" w:firstRow="1" w:lastRow="0" w:firstColumn="0" w:lastColumn="0" w:oddVBand="0" w:evenVBand="0" w:oddHBand="0" w:evenHBand="0" w:firstRowFirstColumn="0" w:firstRowLastColumn="0" w:lastRowFirstColumn="0" w:lastRowLastColumn="0"/>
        </w:trPr>
        <w:tc>
          <w:tcPr>
            <w:tcW w:w="4253" w:type="dxa"/>
          </w:tcPr>
          <w:p w14:paraId="69C25AE1" w14:textId="77777777" w:rsidR="00E82110" w:rsidRPr="003F0EAC" w:rsidRDefault="00E82110" w:rsidP="0018386D">
            <w:pPr>
              <w:pStyle w:val="BodyText-nospacebelow"/>
              <w:spacing w:before="0" w:line="276" w:lineRule="auto"/>
              <w:ind w:left="0" w:right="0"/>
            </w:pPr>
            <w:r w:rsidRPr="003F0EAC">
              <w:t>Elements of Disclosure</w:t>
            </w:r>
          </w:p>
        </w:tc>
        <w:tc>
          <w:tcPr>
            <w:tcW w:w="4389" w:type="dxa"/>
          </w:tcPr>
          <w:p w14:paraId="60255243" w14:textId="77777777" w:rsidR="00E82110" w:rsidRPr="003F0EAC" w:rsidRDefault="00E82110" w:rsidP="0018386D">
            <w:pPr>
              <w:pStyle w:val="BodyText-nospacebelow"/>
              <w:spacing w:before="0" w:line="276" w:lineRule="auto"/>
              <w:ind w:left="0" w:right="0"/>
            </w:pPr>
            <w:r w:rsidRPr="003F0EAC">
              <w:t xml:space="preserve">Current requirements </w:t>
            </w:r>
          </w:p>
        </w:tc>
      </w:tr>
      <w:tr w:rsidR="00E82110" w:rsidRPr="003F0EAC" w14:paraId="4C95EAD9" w14:textId="77777777" w:rsidTr="00123955">
        <w:tc>
          <w:tcPr>
            <w:tcW w:w="4253" w:type="dxa"/>
          </w:tcPr>
          <w:p w14:paraId="134FF2A6" w14:textId="77777777" w:rsidR="00E82110" w:rsidRPr="003F0EAC" w:rsidRDefault="00E82110" w:rsidP="0018386D">
            <w:pPr>
              <w:pStyle w:val="BodyText-nospacebelow"/>
              <w:spacing w:before="0" w:line="276" w:lineRule="auto"/>
              <w:ind w:left="0" w:right="0"/>
            </w:pPr>
            <w:r w:rsidRPr="003F0EAC">
              <w:t>Gift disclosure</w:t>
            </w:r>
          </w:p>
        </w:tc>
        <w:tc>
          <w:tcPr>
            <w:tcW w:w="4389" w:type="dxa"/>
          </w:tcPr>
          <w:p w14:paraId="7D1C953B" w14:textId="77777777" w:rsidR="00E82110" w:rsidRPr="003F0EAC" w:rsidRDefault="00E82110" w:rsidP="0018386D">
            <w:pPr>
              <w:pStyle w:val="BodyText-nospacebelow"/>
              <w:spacing w:before="0" w:line="276" w:lineRule="auto"/>
              <w:ind w:left="0" w:right="0"/>
            </w:pPr>
            <w:r w:rsidRPr="003F0EAC">
              <w:sym w:font="Wingdings" w:char="F0FC"/>
            </w:r>
          </w:p>
        </w:tc>
      </w:tr>
      <w:tr w:rsidR="00E82110" w:rsidRPr="003F0EAC" w14:paraId="2120335E" w14:textId="77777777" w:rsidTr="00123955">
        <w:tc>
          <w:tcPr>
            <w:tcW w:w="4253" w:type="dxa"/>
          </w:tcPr>
          <w:p w14:paraId="2E5F6EC2" w14:textId="77777777" w:rsidR="00E82110" w:rsidRPr="003F0EAC" w:rsidRDefault="00E82110" w:rsidP="0018386D">
            <w:pPr>
              <w:pStyle w:val="BodyText-nospacebelow"/>
              <w:spacing w:before="0" w:line="276" w:lineRule="auto"/>
              <w:ind w:left="0" w:right="0"/>
            </w:pPr>
            <w:r w:rsidRPr="003F0EAC">
              <w:t>Travel disclosure</w:t>
            </w:r>
          </w:p>
        </w:tc>
        <w:tc>
          <w:tcPr>
            <w:tcW w:w="4389" w:type="dxa"/>
          </w:tcPr>
          <w:p w14:paraId="1E28DFD8" w14:textId="77777777" w:rsidR="00E82110" w:rsidRPr="003F0EAC" w:rsidRDefault="00E82110" w:rsidP="0018386D">
            <w:pPr>
              <w:pStyle w:val="BodyText-nospacebelow"/>
              <w:spacing w:before="0" w:line="276" w:lineRule="auto"/>
              <w:ind w:left="0" w:right="0"/>
            </w:pPr>
            <w:r w:rsidRPr="003F0EAC">
              <w:sym w:font="Wingdings" w:char="F0FC"/>
            </w:r>
          </w:p>
        </w:tc>
      </w:tr>
      <w:tr w:rsidR="00E82110" w:rsidRPr="003F0EAC" w14:paraId="62A7E6B9" w14:textId="77777777" w:rsidTr="00123955">
        <w:tc>
          <w:tcPr>
            <w:tcW w:w="4253" w:type="dxa"/>
          </w:tcPr>
          <w:p w14:paraId="6B5F6514" w14:textId="77777777" w:rsidR="00E82110" w:rsidRPr="003F0EAC" w:rsidRDefault="00E82110" w:rsidP="0018386D">
            <w:pPr>
              <w:pStyle w:val="BodyText-nospacebelow"/>
              <w:spacing w:before="0" w:line="276" w:lineRule="auto"/>
              <w:ind w:left="0" w:right="0"/>
            </w:pPr>
            <w:r w:rsidRPr="003F0EAC">
              <w:t>Prohibited gifts</w:t>
            </w:r>
          </w:p>
        </w:tc>
        <w:tc>
          <w:tcPr>
            <w:tcW w:w="4389" w:type="dxa"/>
          </w:tcPr>
          <w:p w14:paraId="45B5987E" w14:textId="77777777" w:rsidR="00E82110" w:rsidRPr="003F0EAC" w:rsidRDefault="00E82110" w:rsidP="0018386D">
            <w:pPr>
              <w:pStyle w:val="BodyText-nospacebelow"/>
              <w:spacing w:before="0" w:line="276" w:lineRule="auto"/>
              <w:ind w:left="0" w:right="0"/>
            </w:pPr>
            <w:r w:rsidRPr="003F0EAC">
              <w:sym w:font="Wingdings" w:char="F0FC"/>
            </w:r>
          </w:p>
        </w:tc>
      </w:tr>
      <w:tr w:rsidR="00E82110" w:rsidRPr="003F0EAC" w14:paraId="68E8C2CA" w14:textId="77777777" w:rsidTr="00123955">
        <w:tc>
          <w:tcPr>
            <w:tcW w:w="4253" w:type="dxa"/>
          </w:tcPr>
          <w:p w14:paraId="5E4B35F3" w14:textId="77777777" w:rsidR="00E82110" w:rsidRPr="003F0EAC" w:rsidRDefault="00E82110" w:rsidP="0018386D">
            <w:pPr>
              <w:pStyle w:val="BodyText-nospacebelow"/>
              <w:spacing w:before="0" w:line="276" w:lineRule="auto"/>
              <w:ind w:left="0" w:right="0"/>
            </w:pPr>
            <w:r w:rsidRPr="003F0EAC">
              <w:t>Notifiable gifts</w:t>
            </w:r>
          </w:p>
        </w:tc>
        <w:tc>
          <w:tcPr>
            <w:tcW w:w="4389" w:type="dxa"/>
          </w:tcPr>
          <w:p w14:paraId="066196F4" w14:textId="77777777" w:rsidR="00E82110" w:rsidRPr="003F0EAC" w:rsidRDefault="00E82110" w:rsidP="0018386D">
            <w:pPr>
              <w:pStyle w:val="BodyText-nospacebelow"/>
              <w:spacing w:before="0" w:line="276" w:lineRule="auto"/>
              <w:ind w:left="0" w:right="0"/>
            </w:pPr>
            <w:r w:rsidRPr="003F0EAC">
              <w:sym w:font="Wingdings" w:char="F0FC"/>
            </w:r>
          </w:p>
        </w:tc>
      </w:tr>
      <w:tr w:rsidR="00E82110" w:rsidRPr="003F0EAC" w14:paraId="3EC94803" w14:textId="77777777" w:rsidTr="00123955">
        <w:tc>
          <w:tcPr>
            <w:tcW w:w="4253" w:type="dxa"/>
          </w:tcPr>
          <w:p w14:paraId="4485A968" w14:textId="77777777" w:rsidR="00E82110" w:rsidRPr="003F0EAC" w:rsidRDefault="00E82110" w:rsidP="0018386D">
            <w:pPr>
              <w:pStyle w:val="BodyText-nospacebelow"/>
              <w:spacing w:before="0" w:line="276" w:lineRule="auto"/>
              <w:ind w:left="0" w:right="0"/>
            </w:pPr>
            <w:r w:rsidRPr="003F0EAC">
              <w:t>Election gifts</w:t>
            </w:r>
          </w:p>
        </w:tc>
        <w:tc>
          <w:tcPr>
            <w:tcW w:w="4389" w:type="dxa"/>
          </w:tcPr>
          <w:p w14:paraId="56C0D572" w14:textId="77777777" w:rsidR="00E82110" w:rsidRPr="003F0EAC" w:rsidRDefault="00E82110" w:rsidP="0018386D">
            <w:pPr>
              <w:pStyle w:val="BodyText-nospacebelow"/>
              <w:spacing w:before="0" w:line="276" w:lineRule="auto"/>
              <w:ind w:left="0" w:right="0"/>
            </w:pPr>
            <w:r w:rsidRPr="003F0EAC">
              <w:sym w:font="Wingdings" w:char="F0FC"/>
            </w:r>
          </w:p>
        </w:tc>
      </w:tr>
      <w:tr w:rsidR="00E82110" w:rsidRPr="003F0EAC" w14:paraId="798B1D9A" w14:textId="77777777" w:rsidTr="00123955">
        <w:tc>
          <w:tcPr>
            <w:tcW w:w="4253" w:type="dxa"/>
          </w:tcPr>
          <w:p w14:paraId="4ADC6D83" w14:textId="77777777" w:rsidR="00E82110" w:rsidRPr="003F0EAC" w:rsidRDefault="00E82110" w:rsidP="0018386D">
            <w:pPr>
              <w:pStyle w:val="BodyText-nospacebelow"/>
              <w:spacing w:before="0" w:line="276" w:lineRule="auto"/>
              <w:ind w:left="0" w:right="0"/>
            </w:pPr>
            <w:r w:rsidRPr="003F0EAC">
              <w:t>Monetary threshold</w:t>
            </w:r>
          </w:p>
        </w:tc>
        <w:tc>
          <w:tcPr>
            <w:tcW w:w="4389" w:type="dxa"/>
          </w:tcPr>
          <w:p w14:paraId="05620CF1" w14:textId="7645D6B9" w:rsidR="00E82110" w:rsidRPr="003F0EAC" w:rsidRDefault="00E82110" w:rsidP="00E82110">
            <w:pPr>
              <w:pStyle w:val="BodyText-nospacebelow"/>
              <w:numPr>
                <w:ilvl w:val="0"/>
                <w:numId w:val="45"/>
              </w:numPr>
              <w:spacing w:before="0" w:line="276" w:lineRule="auto"/>
              <w:ind w:right="0"/>
            </w:pPr>
            <w:r w:rsidRPr="003F0EAC">
              <w:t>$50 for a notifiable gift</w:t>
            </w:r>
          </w:p>
          <w:p w14:paraId="1D971E91" w14:textId="50B1E673" w:rsidR="00E82110" w:rsidRPr="003F0EAC" w:rsidRDefault="00E82110" w:rsidP="00E82110">
            <w:pPr>
              <w:pStyle w:val="BodyText-nospacebelow"/>
              <w:numPr>
                <w:ilvl w:val="0"/>
                <w:numId w:val="45"/>
              </w:numPr>
              <w:spacing w:before="0" w:line="276" w:lineRule="auto"/>
              <w:ind w:right="0"/>
            </w:pPr>
            <w:r w:rsidRPr="003F0EAC">
              <w:t>$200 for a disclosable gift</w:t>
            </w:r>
          </w:p>
          <w:p w14:paraId="497C702D" w14:textId="0CC944AC" w:rsidR="00E82110" w:rsidRPr="003F0EAC" w:rsidRDefault="00E82110" w:rsidP="00E82110">
            <w:pPr>
              <w:pStyle w:val="BodyText-nospacebelow"/>
              <w:numPr>
                <w:ilvl w:val="0"/>
                <w:numId w:val="45"/>
              </w:numPr>
              <w:spacing w:before="0" w:line="276" w:lineRule="auto"/>
              <w:ind w:right="0"/>
            </w:pPr>
            <w:r w:rsidRPr="003F0EAC">
              <w:t>$200 for an election gift</w:t>
            </w:r>
          </w:p>
          <w:p w14:paraId="45E83D79" w14:textId="6ADE61A4" w:rsidR="00E82110" w:rsidRPr="003F0EAC" w:rsidRDefault="00E82110" w:rsidP="00E82110">
            <w:pPr>
              <w:pStyle w:val="BodyText-nospacebelow"/>
              <w:numPr>
                <w:ilvl w:val="0"/>
                <w:numId w:val="45"/>
              </w:numPr>
              <w:spacing w:before="0" w:line="276" w:lineRule="auto"/>
              <w:ind w:right="0"/>
            </w:pPr>
            <w:r>
              <w:t xml:space="preserve">Over </w:t>
            </w:r>
            <w:r w:rsidRPr="003F0EAC">
              <w:t>$300 for a prohibited gift</w:t>
            </w:r>
          </w:p>
        </w:tc>
      </w:tr>
      <w:tr w:rsidR="00E82110" w:rsidRPr="003F0EAC" w14:paraId="122FFFDD" w14:textId="77777777" w:rsidTr="00123955">
        <w:tc>
          <w:tcPr>
            <w:tcW w:w="4253" w:type="dxa"/>
          </w:tcPr>
          <w:p w14:paraId="68FB8432" w14:textId="77777777" w:rsidR="00E82110" w:rsidRPr="003F0EAC" w:rsidRDefault="00E82110" w:rsidP="0018386D">
            <w:pPr>
              <w:pStyle w:val="BodyText-nospacebelow"/>
              <w:spacing w:before="0" w:line="276" w:lineRule="auto"/>
              <w:ind w:left="0" w:right="0"/>
            </w:pPr>
            <w:r w:rsidRPr="003F0EAC">
              <w:t>Prescribed timeframe for cumulative acceptance of gifts</w:t>
            </w:r>
          </w:p>
        </w:tc>
        <w:tc>
          <w:tcPr>
            <w:tcW w:w="4389" w:type="dxa"/>
          </w:tcPr>
          <w:p w14:paraId="140B57B2" w14:textId="3AEF700B" w:rsidR="00E82110" w:rsidRPr="003F0EAC" w:rsidRDefault="00E82110" w:rsidP="0018386D">
            <w:pPr>
              <w:pStyle w:val="BodyText-nospacebelow"/>
              <w:spacing w:before="0" w:line="276" w:lineRule="auto"/>
              <w:ind w:left="0" w:right="0"/>
            </w:pPr>
            <w:r w:rsidRPr="003F0EAC">
              <w:t>Six or 12 months (depending on the regulation)</w:t>
            </w:r>
          </w:p>
        </w:tc>
      </w:tr>
      <w:tr w:rsidR="00E82110" w:rsidRPr="003F0EAC" w14:paraId="3FA0D356" w14:textId="77777777" w:rsidTr="00123955">
        <w:tc>
          <w:tcPr>
            <w:tcW w:w="4253" w:type="dxa"/>
            <w:tcBorders>
              <w:bottom w:val="single" w:sz="4" w:space="0" w:color="3C3C3C"/>
            </w:tcBorders>
          </w:tcPr>
          <w:p w14:paraId="56777D9A" w14:textId="77777777" w:rsidR="00E82110" w:rsidRPr="003F0EAC" w:rsidRDefault="00E82110" w:rsidP="0018386D">
            <w:pPr>
              <w:pStyle w:val="BodyText-nospacebelow"/>
              <w:spacing w:before="0" w:line="276" w:lineRule="auto"/>
              <w:ind w:left="0" w:right="0"/>
            </w:pPr>
            <w:r w:rsidRPr="003F0EAC">
              <w:t>Who is required to disclose</w:t>
            </w:r>
          </w:p>
        </w:tc>
        <w:tc>
          <w:tcPr>
            <w:tcW w:w="4389" w:type="dxa"/>
            <w:tcBorders>
              <w:bottom w:val="single" w:sz="4" w:space="0" w:color="3C3C3C"/>
            </w:tcBorders>
          </w:tcPr>
          <w:p w14:paraId="411A5F40" w14:textId="4E9EE756" w:rsidR="00E82110" w:rsidRDefault="00246B9A" w:rsidP="0018386D">
            <w:pPr>
              <w:pStyle w:val="BodyText-nospacebelow"/>
              <w:spacing w:before="0" w:line="276" w:lineRule="auto"/>
              <w:ind w:left="0" w:right="0"/>
            </w:pPr>
            <w:r>
              <w:t>Elected member</w:t>
            </w:r>
            <w:r w:rsidR="00E82110">
              <w:t xml:space="preserve">s </w:t>
            </w:r>
            <w:r w:rsidR="00972091">
              <w:t>and</w:t>
            </w:r>
            <w:r w:rsidR="00E82110">
              <w:t xml:space="preserve"> designated employee</w:t>
            </w:r>
            <w:r w:rsidR="00972091">
              <w:t>s</w:t>
            </w:r>
            <w:r w:rsidR="00E82110">
              <w:t xml:space="preserve"> for gifts and travel contributions.</w:t>
            </w:r>
          </w:p>
          <w:p w14:paraId="2BC50014" w14:textId="411DBD83" w:rsidR="00E82110" w:rsidRPr="003F0EAC" w:rsidRDefault="00E82110" w:rsidP="0018386D">
            <w:pPr>
              <w:pStyle w:val="BodyText-nospacebelow"/>
              <w:spacing w:before="0" w:line="276" w:lineRule="auto"/>
              <w:ind w:left="0" w:right="0"/>
            </w:pPr>
            <w:r>
              <w:t xml:space="preserve">Notifiable and Prohibited gifts apply to </w:t>
            </w:r>
            <w:r w:rsidR="00246B9A">
              <w:t>elected member</w:t>
            </w:r>
            <w:r>
              <w:t>s only.</w:t>
            </w:r>
          </w:p>
        </w:tc>
      </w:tr>
      <w:tr w:rsidR="00E82110" w:rsidRPr="003F0EAC" w14:paraId="1F13B841" w14:textId="77777777" w:rsidTr="00123955">
        <w:tc>
          <w:tcPr>
            <w:tcW w:w="4253" w:type="dxa"/>
            <w:tcBorders>
              <w:top w:val="single" w:sz="4" w:space="0" w:color="3C3C3C"/>
              <w:bottom w:val="single" w:sz="4" w:space="0" w:color="auto"/>
            </w:tcBorders>
          </w:tcPr>
          <w:p w14:paraId="17D85C71" w14:textId="77777777" w:rsidR="00E82110" w:rsidRPr="003F0EAC" w:rsidRDefault="00E82110" w:rsidP="0018386D">
            <w:pPr>
              <w:pStyle w:val="BodyText-nospacebelow"/>
              <w:spacing w:before="0" w:line="276" w:lineRule="auto"/>
              <w:ind w:left="0" w:right="0"/>
            </w:pPr>
            <w:r w:rsidRPr="003F0EAC">
              <w:t>Exemptions</w:t>
            </w:r>
            <w:r>
              <w:t xml:space="preserve"> (vary depending on the category of gift)</w:t>
            </w:r>
          </w:p>
        </w:tc>
        <w:tc>
          <w:tcPr>
            <w:tcW w:w="4389" w:type="dxa"/>
            <w:tcBorders>
              <w:top w:val="single" w:sz="4" w:space="0" w:color="3C3C3C"/>
              <w:bottom w:val="single" w:sz="4" w:space="0" w:color="auto"/>
            </w:tcBorders>
          </w:tcPr>
          <w:p w14:paraId="625F187D" w14:textId="5A5014BD" w:rsidR="00E82110" w:rsidRDefault="00F832B3" w:rsidP="00E82110">
            <w:pPr>
              <w:pStyle w:val="BodyText-nospacebelow"/>
              <w:numPr>
                <w:ilvl w:val="0"/>
                <w:numId w:val="46"/>
              </w:numPr>
              <w:spacing w:before="0" w:line="276" w:lineRule="auto"/>
              <w:ind w:right="0"/>
              <w:rPr>
                <w:lang w:val="en-US"/>
              </w:rPr>
            </w:pPr>
            <w:r>
              <w:rPr>
                <w:lang w:val="en-US"/>
              </w:rPr>
              <w:t>A</w:t>
            </w:r>
            <w:r w:rsidR="00E82110" w:rsidRPr="003F0EAC">
              <w:rPr>
                <w:lang w:val="en-US"/>
              </w:rPr>
              <w:t xml:space="preserve"> gift </w:t>
            </w:r>
            <w:r w:rsidR="00E82110">
              <w:rPr>
                <w:lang w:val="en-US"/>
              </w:rPr>
              <w:t xml:space="preserve">or travel </w:t>
            </w:r>
            <w:r w:rsidR="00E82110" w:rsidRPr="003F0EAC">
              <w:rPr>
                <w:lang w:val="en-US"/>
              </w:rPr>
              <w:t>from a relative</w:t>
            </w:r>
          </w:p>
          <w:p w14:paraId="753B7183" w14:textId="20AC47AC" w:rsidR="00E82110" w:rsidRDefault="00F832B3" w:rsidP="00E82110">
            <w:pPr>
              <w:pStyle w:val="BodyText-nospacebelow"/>
              <w:numPr>
                <w:ilvl w:val="0"/>
                <w:numId w:val="46"/>
              </w:numPr>
              <w:spacing w:before="0" w:line="276" w:lineRule="auto"/>
              <w:ind w:right="0"/>
              <w:rPr>
                <w:lang w:val="en-US"/>
              </w:rPr>
            </w:pPr>
            <w:r>
              <w:rPr>
                <w:lang w:val="en-US"/>
              </w:rPr>
              <w:t xml:space="preserve">A </w:t>
            </w:r>
            <w:r w:rsidR="00E82110">
              <w:rPr>
                <w:lang w:val="en-US"/>
              </w:rPr>
              <w:t>gift or travel under $200</w:t>
            </w:r>
          </w:p>
          <w:p w14:paraId="047EA355" w14:textId="0C4662DC" w:rsidR="00E82110" w:rsidRDefault="00E82110" w:rsidP="00E82110">
            <w:pPr>
              <w:pStyle w:val="BodyText-nospacebelow"/>
              <w:numPr>
                <w:ilvl w:val="0"/>
                <w:numId w:val="46"/>
              </w:numPr>
              <w:spacing w:before="0" w:line="276" w:lineRule="auto"/>
              <w:ind w:right="0"/>
              <w:rPr>
                <w:lang w:val="en-US"/>
              </w:rPr>
            </w:pPr>
            <w:r>
              <w:rPr>
                <w:lang w:val="en-US"/>
              </w:rPr>
              <w:t>Travel contribution from Commonwealth, State or local government funds</w:t>
            </w:r>
          </w:p>
          <w:p w14:paraId="094CA75C" w14:textId="7C1FC54F" w:rsidR="00E82110" w:rsidRDefault="00E82110" w:rsidP="00E82110">
            <w:pPr>
              <w:pStyle w:val="BodyText-nospacebelow"/>
              <w:numPr>
                <w:ilvl w:val="0"/>
                <w:numId w:val="46"/>
              </w:numPr>
              <w:spacing w:before="0" w:line="276" w:lineRule="auto"/>
              <w:ind w:right="0"/>
              <w:rPr>
                <w:lang w:val="en-US"/>
              </w:rPr>
            </w:pPr>
            <w:r>
              <w:rPr>
                <w:lang w:val="en-US"/>
              </w:rPr>
              <w:t>Travel contribution as part of occupation of the person (not related to council duties)</w:t>
            </w:r>
          </w:p>
          <w:p w14:paraId="5CBD1FBB" w14:textId="5EDFC115" w:rsidR="00E82110" w:rsidRPr="003F0EAC" w:rsidRDefault="00E82110" w:rsidP="00E82110">
            <w:pPr>
              <w:pStyle w:val="BodyText-nospacebelow"/>
              <w:numPr>
                <w:ilvl w:val="0"/>
                <w:numId w:val="46"/>
              </w:numPr>
              <w:spacing w:before="0" w:line="276" w:lineRule="auto"/>
              <w:ind w:right="0"/>
              <w:rPr>
                <w:lang w:val="en-US"/>
              </w:rPr>
            </w:pPr>
            <w:r>
              <w:rPr>
                <w:lang w:val="en-US"/>
              </w:rPr>
              <w:lastRenderedPageBreak/>
              <w:t>Travel contribution was from a political party, of which the person is a member, for the purpose of political activity or representation</w:t>
            </w:r>
          </w:p>
          <w:p w14:paraId="5E772252" w14:textId="6650FE33" w:rsidR="00E82110" w:rsidRPr="003F0EAC" w:rsidRDefault="00F832B3" w:rsidP="00E82110">
            <w:pPr>
              <w:pStyle w:val="BodyText-nospacebelow"/>
              <w:numPr>
                <w:ilvl w:val="0"/>
                <w:numId w:val="46"/>
              </w:numPr>
              <w:spacing w:before="0" w:line="276" w:lineRule="auto"/>
              <w:ind w:right="0"/>
            </w:pPr>
            <w:r>
              <w:rPr>
                <w:lang w:val="en-US"/>
              </w:rPr>
              <w:t>A</w:t>
            </w:r>
            <w:r w:rsidR="00E82110" w:rsidRPr="003F0EAC">
              <w:rPr>
                <w:lang w:val="en-US"/>
              </w:rPr>
              <w:t xml:space="preserve">n electoral gift disclosable under the </w:t>
            </w:r>
            <w:r w:rsidR="00E82110" w:rsidRPr="00150EFA">
              <w:rPr>
                <w:lang w:val="en-US"/>
              </w:rPr>
              <w:t>Elections Regulations</w:t>
            </w:r>
            <w:r w:rsidR="00E82110" w:rsidRPr="003F0EAC">
              <w:rPr>
                <w:i/>
                <w:lang w:val="en-US"/>
              </w:rPr>
              <w:t xml:space="preserve"> </w:t>
            </w:r>
          </w:p>
          <w:p w14:paraId="1B6C9861" w14:textId="2CFC1A51" w:rsidR="00E82110" w:rsidRPr="003F0EAC" w:rsidRDefault="00F832B3" w:rsidP="00E82110">
            <w:pPr>
              <w:pStyle w:val="BodyText-nospacebelow"/>
              <w:numPr>
                <w:ilvl w:val="0"/>
                <w:numId w:val="46"/>
              </w:numPr>
              <w:spacing w:before="0" w:line="276" w:lineRule="auto"/>
              <w:ind w:right="0"/>
            </w:pPr>
            <w:r>
              <w:rPr>
                <w:lang w:val="en-US"/>
              </w:rPr>
              <w:t>A</w:t>
            </w:r>
            <w:r w:rsidR="00E82110" w:rsidRPr="003F0EAC">
              <w:rPr>
                <w:lang w:val="en-US"/>
              </w:rPr>
              <w:t xml:space="preserve"> gift from a statutory authority, government instrumentality or non</w:t>
            </w:r>
            <w:r w:rsidR="00F16B28">
              <w:rPr>
                <w:lang w:val="en-US"/>
              </w:rPr>
              <w:noBreakHyphen/>
            </w:r>
            <w:r w:rsidR="00E82110" w:rsidRPr="003F0EAC">
              <w:rPr>
                <w:lang w:val="en-US"/>
              </w:rPr>
              <w:t>profit association for professional training</w:t>
            </w:r>
            <w:r w:rsidR="00E82110">
              <w:rPr>
                <w:lang w:val="en-US"/>
              </w:rPr>
              <w:t xml:space="preserve"> (</w:t>
            </w:r>
            <w:r w:rsidR="00E82110" w:rsidRPr="003F0EAC">
              <w:rPr>
                <w:lang w:val="en-US"/>
              </w:rPr>
              <w:t>prohibited and notifiable gifts only</w:t>
            </w:r>
            <w:r w:rsidR="00E82110">
              <w:rPr>
                <w:lang w:val="en-US"/>
              </w:rPr>
              <w:t>)</w:t>
            </w:r>
          </w:p>
          <w:p w14:paraId="301E8CFE" w14:textId="70DD243E" w:rsidR="00E82110" w:rsidRPr="003F0EAC" w:rsidRDefault="00E82110" w:rsidP="00E82110">
            <w:pPr>
              <w:pStyle w:val="BodyText-nospacebelow"/>
              <w:numPr>
                <w:ilvl w:val="0"/>
                <w:numId w:val="46"/>
              </w:numPr>
              <w:spacing w:before="0" w:line="276" w:lineRule="auto"/>
              <w:ind w:right="0"/>
            </w:pPr>
            <w:r w:rsidRPr="003F0EAC">
              <w:rPr>
                <w:lang w:val="en-US"/>
              </w:rPr>
              <w:t>A gift from WALGA, the Australian Local Government Association or Local Government Managers Australia WA</w:t>
            </w:r>
            <w:r>
              <w:rPr>
                <w:lang w:val="en-US"/>
              </w:rPr>
              <w:t xml:space="preserve"> (for prohibited and notifiable gifts only)</w:t>
            </w:r>
            <w:r w:rsidRPr="003F0EAC">
              <w:rPr>
                <w:lang w:val="en-US"/>
              </w:rPr>
              <w:t xml:space="preserve"> </w:t>
            </w:r>
          </w:p>
        </w:tc>
      </w:tr>
      <w:tr w:rsidR="00E82110" w:rsidRPr="003F0EAC" w14:paraId="2817CCA8" w14:textId="77777777" w:rsidTr="00123955">
        <w:tc>
          <w:tcPr>
            <w:tcW w:w="4253" w:type="dxa"/>
            <w:tcBorders>
              <w:top w:val="single" w:sz="4" w:space="0" w:color="auto"/>
              <w:bottom w:val="nil"/>
            </w:tcBorders>
          </w:tcPr>
          <w:p w14:paraId="52905022" w14:textId="77777777" w:rsidR="00E82110" w:rsidRPr="003F0EAC" w:rsidRDefault="00E82110" w:rsidP="0018386D">
            <w:pPr>
              <w:pStyle w:val="BodyText-nospacebelow"/>
              <w:spacing w:before="0" w:line="276" w:lineRule="auto"/>
              <w:ind w:left="0" w:right="0"/>
            </w:pPr>
          </w:p>
        </w:tc>
        <w:tc>
          <w:tcPr>
            <w:tcW w:w="4389" w:type="dxa"/>
            <w:tcBorders>
              <w:top w:val="single" w:sz="4" w:space="0" w:color="auto"/>
              <w:bottom w:val="nil"/>
            </w:tcBorders>
          </w:tcPr>
          <w:p w14:paraId="055EFCE0" w14:textId="77777777" w:rsidR="00E82110" w:rsidRPr="003F0EAC" w:rsidRDefault="00E82110" w:rsidP="0018386D">
            <w:pPr>
              <w:pStyle w:val="BodyText-nospacebelow"/>
              <w:spacing w:before="0" w:line="276" w:lineRule="auto"/>
              <w:ind w:left="0" w:right="0"/>
            </w:pPr>
          </w:p>
        </w:tc>
      </w:tr>
    </w:tbl>
    <w:p w14:paraId="3413141C" w14:textId="53EB96DA" w:rsidR="00E82110" w:rsidRPr="00875F4A" w:rsidRDefault="00CB7E63" w:rsidP="00AE1C3C">
      <w:pPr>
        <w:pStyle w:val="Heading3"/>
        <w:rPr>
          <w:b w:val="0"/>
        </w:rPr>
      </w:pPr>
      <w:bookmarkStart w:id="1013" w:name="_Toc495671487"/>
      <w:bookmarkStart w:id="1014" w:name="_Toc495676088"/>
      <w:bookmarkStart w:id="1015" w:name="_Toc495678384"/>
      <w:bookmarkStart w:id="1016" w:name="_Toc495998381"/>
      <w:bookmarkStart w:id="1017" w:name="_Toc497741851"/>
      <w:r>
        <w:t>Recommendations of the gifts working group</w:t>
      </w:r>
      <w:bookmarkEnd w:id="1013"/>
      <w:bookmarkEnd w:id="1014"/>
      <w:bookmarkEnd w:id="1015"/>
      <w:bookmarkEnd w:id="1016"/>
      <w:bookmarkEnd w:id="1017"/>
    </w:p>
    <w:p w14:paraId="1054466A" w14:textId="0E12BAB3" w:rsidR="00CB7E63" w:rsidRDefault="00CB7E63" w:rsidP="00CF276F">
      <w:pPr>
        <w:pStyle w:val="BodyText-nospacebelow"/>
        <w:spacing w:after="120"/>
        <w:jc w:val="both"/>
      </w:pPr>
      <w:r>
        <w:t>The gifts working group proposed that a new framework should:</w:t>
      </w:r>
    </w:p>
    <w:p w14:paraId="5B2A3EB7" w14:textId="287B687A" w:rsidR="00CB7E63" w:rsidRDefault="00CB7E63" w:rsidP="00CF276F">
      <w:pPr>
        <w:pStyle w:val="BodyText"/>
        <w:numPr>
          <w:ilvl w:val="0"/>
          <w:numId w:val="112"/>
        </w:numPr>
        <w:spacing w:after="120"/>
        <w:jc w:val="both"/>
        <w:rPr>
          <w:lang w:eastAsia="en-AU"/>
        </w:rPr>
      </w:pPr>
      <w:r>
        <w:rPr>
          <w:lang w:eastAsia="en-AU"/>
        </w:rPr>
        <w:t>provide for a transparent system of accountability where members of the community can have confidence in the decision-making of their representatives; and</w:t>
      </w:r>
    </w:p>
    <w:p w14:paraId="7EB4CA71" w14:textId="1CE53C04" w:rsidR="00CB7E63" w:rsidRDefault="00CB7E63" w:rsidP="00CF276F">
      <w:pPr>
        <w:pStyle w:val="BodyText"/>
        <w:numPr>
          <w:ilvl w:val="0"/>
          <w:numId w:val="112"/>
        </w:numPr>
        <w:jc w:val="both"/>
        <w:rPr>
          <w:lang w:eastAsia="en-AU"/>
        </w:rPr>
      </w:pPr>
      <w:r>
        <w:rPr>
          <w:lang w:eastAsia="en-AU"/>
        </w:rPr>
        <w:t xml:space="preserve">create a simplified legislative framework to deal with gifts received by </w:t>
      </w:r>
      <w:r w:rsidR="00246B9A">
        <w:rPr>
          <w:lang w:eastAsia="en-AU"/>
        </w:rPr>
        <w:t>elected member</w:t>
      </w:r>
      <w:r>
        <w:rPr>
          <w:lang w:eastAsia="en-AU"/>
        </w:rPr>
        <w:t xml:space="preserve">s and senior staff.  </w:t>
      </w:r>
    </w:p>
    <w:p w14:paraId="706FE670" w14:textId="3593B543" w:rsidR="00CB7E63" w:rsidRDefault="00CB7E63" w:rsidP="00CF276F">
      <w:pPr>
        <w:pStyle w:val="BodyText"/>
        <w:spacing w:after="120"/>
        <w:ind w:left="360"/>
        <w:jc w:val="both"/>
      </w:pPr>
      <w:r>
        <w:t xml:space="preserve">The reference group </w:t>
      </w:r>
      <w:r w:rsidR="0054353C">
        <w:rPr>
          <w:lang w:eastAsia="en-AU"/>
        </w:rPr>
        <w:t>agreed on</w:t>
      </w:r>
      <w:r>
        <w:t xml:space="preserve"> an overhaul of the </w:t>
      </w:r>
      <w:r w:rsidR="0020224A">
        <w:t>current requirements that include</w:t>
      </w:r>
      <w:r w:rsidR="00F002F5">
        <w:t>d</w:t>
      </w:r>
      <w:r w:rsidR="0020224A">
        <w:t xml:space="preserve"> </w:t>
      </w:r>
      <w:r w:rsidR="001F35C1">
        <w:t>six key</w:t>
      </w:r>
      <w:r w:rsidR="0020224A">
        <w:t xml:space="preserve"> parts:</w:t>
      </w:r>
    </w:p>
    <w:p w14:paraId="2E2797AE" w14:textId="6739C5FE" w:rsidR="0020224A" w:rsidRDefault="001F35C1" w:rsidP="00CF276F">
      <w:pPr>
        <w:pStyle w:val="BodyText"/>
        <w:numPr>
          <w:ilvl w:val="0"/>
          <w:numId w:val="112"/>
        </w:numPr>
        <w:spacing w:after="120"/>
        <w:jc w:val="both"/>
        <w:rPr>
          <w:lang w:eastAsia="en-AU"/>
        </w:rPr>
      </w:pPr>
      <w:r>
        <w:rPr>
          <w:lang w:eastAsia="en-AU"/>
        </w:rPr>
        <w:t>T</w:t>
      </w:r>
      <w:r w:rsidR="0020224A">
        <w:rPr>
          <w:lang w:eastAsia="en-AU"/>
        </w:rPr>
        <w:t xml:space="preserve">here would no longer be separate monetary thresholds to determine what “type” of gift has been received, as is currently the case with “notifiable” and “prohibited” gifts and gifts under section 5.82.    </w:t>
      </w:r>
    </w:p>
    <w:p w14:paraId="3FF2B29F" w14:textId="6F0D6C57" w:rsidR="0020224A" w:rsidRDefault="001F35C1" w:rsidP="00CF276F">
      <w:pPr>
        <w:pStyle w:val="BodyText"/>
        <w:numPr>
          <w:ilvl w:val="0"/>
          <w:numId w:val="112"/>
        </w:numPr>
        <w:spacing w:after="120"/>
        <w:jc w:val="both"/>
        <w:rPr>
          <w:lang w:eastAsia="en-AU"/>
        </w:rPr>
      </w:pPr>
      <w:r>
        <w:rPr>
          <w:lang w:eastAsia="en-AU"/>
        </w:rPr>
        <w:t>A</w:t>
      </w:r>
      <w:r w:rsidR="0020224A">
        <w:rPr>
          <w:lang w:eastAsia="en-AU"/>
        </w:rPr>
        <w:t xml:space="preserve">ll gifts received by local government </w:t>
      </w:r>
      <w:r w:rsidR="00246B9A">
        <w:rPr>
          <w:lang w:eastAsia="en-AU"/>
        </w:rPr>
        <w:t>elected member</w:t>
      </w:r>
      <w:r w:rsidR="0020224A">
        <w:rPr>
          <w:lang w:eastAsia="en-AU"/>
        </w:rPr>
        <w:t xml:space="preserve">s and </w:t>
      </w:r>
      <w:r w:rsidR="00F16B28">
        <w:rPr>
          <w:lang w:eastAsia="en-AU"/>
        </w:rPr>
        <w:t>CEOs</w:t>
      </w:r>
      <w:r w:rsidR="0020224A">
        <w:rPr>
          <w:lang w:eastAsia="en-AU"/>
        </w:rPr>
        <w:t xml:space="preserve"> valued at $500 or more received from a donor in a 12</w:t>
      </w:r>
      <w:r w:rsidR="00F002F5">
        <w:rPr>
          <w:lang w:eastAsia="en-AU"/>
        </w:rPr>
        <w:t>-</w:t>
      </w:r>
      <w:r w:rsidR="0020224A">
        <w:rPr>
          <w:lang w:eastAsia="en-AU"/>
        </w:rPr>
        <w:t>month period must be disclosed.</w:t>
      </w:r>
    </w:p>
    <w:p w14:paraId="5CBB5161" w14:textId="7B2C56C2" w:rsidR="0020224A" w:rsidRDefault="001F35C1" w:rsidP="00CF276F">
      <w:pPr>
        <w:pStyle w:val="BodyText"/>
        <w:numPr>
          <w:ilvl w:val="0"/>
          <w:numId w:val="112"/>
        </w:numPr>
        <w:spacing w:after="120"/>
        <w:jc w:val="both"/>
        <w:rPr>
          <w:lang w:eastAsia="en-AU"/>
        </w:rPr>
      </w:pPr>
      <w:r>
        <w:rPr>
          <w:lang w:eastAsia="en-AU"/>
        </w:rPr>
        <w:t>R</w:t>
      </w:r>
      <w:r w:rsidR="0020224A">
        <w:rPr>
          <w:lang w:eastAsia="en-AU"/>
        </w:rPr>
        <w:t xml:space="preserve">ecipients of gifts valued at $500 or more would be prohibited from voting on matters before the council concerning the donor of the gift.  The Minister for Local Government may, at their discretion and upon application, allow </w:t>
      </w:r>
      <w:r w:rsidR="00246B9A">
        <w:rPr>
          <w:lang w:eastAsia="en-AU"/>
        </w:rPr>
        <w:t>elected member</w:t>
      </w:r>
      <w:r w:rsidR="0020224A">
        <w:rPr>
          <w:lang w:eastAsia="en-AU"/>
        </w:rPr>
        <w:t>s to vote on such matters.</w:t>
      </w:r>
    </w:p>
    <w:p w14:paraId="192DEB5B" w14:textId="2D2072B7" w:rsidR="0020224A" w:rsidRDefault="001F35C1" w:rsidP="00CF276F">
      <w:pPr>
        <w:pStyle w:val="BodyText"/>
        <w:numPr>
          <w:ilvl w:val="0"/>
          <w:numId w:val="112"/>
        </w:numPr>
        <w:spacing w:after="120"/>
        <w:jc w:val="both"/>
        <w:rPr>
          <w:lang w:eastAsia="en-AU"/>
        </w:rPr>
      </w:pPr>
      <w:r>
        <w:rPr>
          <w:lang w:eastAsia="en-AU"/>
        </w:rPr>
        <w:lastRenderedPageBreak/>
        <w:t>E</w:t>
      </w:r>
      <w:r w:rsidR="0020224A">
        <w:rPr>
          <w:lang w:eastAsia="en-AU"/>
        </w:rPr>
        <w:t>xemptions from the gift provisions would be minimal to aid simplicity.</w:t>
      </w:r>
    </w:p>
    <w:p w14:paraId="11AAB1DE" w14:textId="085FE933" w:rsidR="0020224A" w:rsidRDefault="001F35C1" w:rsidP="00CF276F">
      <w:pPr>
        <w:pStyle w:val="BodyText"/>
        <w:numPr>
          <w:ilvl w:val="0"/>
          <w:numId w:val="112"/>
        </w:numPr>
        <w:spacing w:after="120"/>
        <w:jc w:val="both"/>
        <w:rPr>
          <w:lang w:eastAsia="en-AU"/>
        </w:rPr>
      </w:pPr>
      <w:r>
        <w:rPr>
          <w:lang w:eastAsia="en-AU"/>
        </w:rPr>
        <w:t>G</w:t>
      </w:r>
      <w:r w:rsidR="0020224A">
        <w:rPr>
          <w:lang w:eastAsia="en-AU"/>
        </w:rPr>
        <w:t xml:space="preserve">ifts from a “relative” will continue to be exempt from disclosure; however, the definition of “relative” will be expanded to include adopted and foster children and grandchildren.  </w:t>
      </w:r>
    </w:p>
    <w:p w14:paraId="5C7640C7" w14:textId="6F0952ED" w:rsidR="0020224A" w:rsidRDefault="001F35C1" w:rsidP="00CF276F">
      <w:pPr>
        <w:pStyle w:val="BodyText"/>
        <w:numPr>
          <w:ilvl w:val="0"/>
          <w:numId w:val="113"/>
        </w:numPr>
        <w:jc w:val="both"/>
        <w:rPr>
          <w:lang w:eastAsia="en-AU"/>
        </w:rPr>
      </w:pPr>
      <w:r>
        <w:rPr>
          <w:lang w:eastAsia="en-AU"/>
        </w:rPr>
        <w:t>A</w:t>
      </w:r>
      <w:r w:rsidR="0020224A">
        <w:rPr>
          <w:lang w:eastAsia="en-AU"/>
        </w:rPr>
        <w:t xml:space="preserve">ll local governments will be required to develop and adopt a gifts policy for employees other than the </w:t>
      </w:r>
      <w:r w:rsidR="00F16B28">
        <w:rPr>
          <w:lang w:eastAsia="en-AU"/>
        </w:rPr>
        <w:t>CEO</w:t>
      </w:r>
      <w:r w:rsidR="0020224A">
        <w:rPr>
          <w:lang w:eastAsia="en-AU"/>
        </w:rPr>
        <w:t xml:space="preserve">.  Individual local governments can determine what gifts can or cannot be accepted by employees, any applicable threshold amounts and disclosure requirements.  </w:t>
      </w:r>
    </w:p>
    <w:p w14:paraId="3AB515D2" w14:textId="513C5A52" w:rsidR="0054353C" w:rsidRDefault="0054353C" w:rsidP="00CF276F">
      <w:pPr>
        <w:pStyle w:val="BodyText"/>
        <w:jc w:val="both"/>
        <w:rPr>
          <w:lang w:eastAsia="en-AU"/>
        </w:rPr>
      </w:pPr>
      <w:r>
        <w:rPr>
          <w:lang w:eastAsia="en-AU"/>
        </w:rPr>
        <w:t>Some members of the reference group sought additional changes, after agreement was reached on these positions.</w:t>
      </w:r>
    </w:p>
    <w:p w14:paraId="34BE47D0" w14:textId="04AEEFEC" w:rsidR="00860516" w:rsidRPr="003F0EAC" w:rsidRDefault="00B02274" w:rsidP="00CF276F">
      <w:pPr>
        <w:pStyle w:val="Heading3"/>
        <w:jc w:val="both"/>
      </w:pPr>
      <w:bookmarkStart w:id="1018" w:name="_Toc495671488"/>
      <w:bookmarkStart w:id="1019" w:name="_Toc495676089"/>
      <w:bookmarkStart w:id="1020" w:name="_Toc495678385"/>
      <w:bookmarkStart w:id="1021" w:name="_Toc495998382"/>
      <w:bookmarkStart w:id="1022" w:name="_Toc497741852"/>
      <w:r>
        <w:t>Key e</w:t>
      </w:r>
      <w:r w:rsidR="00860516">
        <w:t>lements of the proposed approach</w:t>
      </w:r>
      <w:bookmarkEnd w:id="1018"/>
      <w:bookmarkEnd w:id="1019"/>
      <w:bookmarkEnd w:id="1020"/>
      <w:bookmarkEnd w:id="1021"/>
      <w:bookmarkEnd w:id="1022"/>
      <w:r w:rsidR="00860516">
        <w:t xml:space="preserve"> </w:t>
      </w:r>
    </w:p>
    <w:p w14:paraId="562A9EDA" w14:textId="64FF6DD3" w:rsidR="00B02274" w:rsidRDefault="00B02274" w:rsidP="00CF276F">
      <w:pPr>
        <w:jc w:val="both"/>
      </w:pPr>
      <w:bookmarkStart w:id="1023" w:name="_Toc472609921"/>
      <w:r>
        <w:t xml:space="preserve">The current framework sets three different </w:t>
      </w:r>
      <w:r w:rsidR="007B2AA0">
        <w:t>categories for gifts with different thresholds:</w:t>
      </w:r>
      <w:r>
        <w:t xml:space="preserve"> </w:t>
      </w:r>
    </w:p>
    <w:p w14:paraId="3C1CE5CA" w14:textId="77777777" w:rsidR="00B02274" w:rsidRDefault="00B02274" w:rsidP="00CF276F">
      <w:pPr>
        <w:pStyle w:val="ListParagraph"/>
        <w:numPr>
          <w:ilvl w:val="0"/>
          <w:numId w:val="50"/>
        </w:numPr>
        <w:jc w:val="both"/>
      </w:pPr>
      <w:r>
        <w:t xml:space="preserve">$50 for a notifiable gift; </w:t>
      </w:r>
    </w:p>
    <w:p w14:paraId="3BA852FF" w14:textId="77777777" w:rsidR="00B02274" w:rsidRDefault="00B02274" w:rsidP="00CF276F">
      <w:pPr>
        <w:pStyle w:val="ListParagraph"/>
        <w:numPr>
          <w:ilvl w:val="0"/>
          <w:numId w:val="50"/>
        </w:numPr>
        <w:jc w:val="both"/>
      </w:pPr>
      <w:r>
        <w:t>$200 for a disclosable gift; and</w:t>
      </w:r>
    </w:p>
    <w:p w14:paraId="4384C798" w14:textId="77777777" w:rsidR="00B02274" w:rsidRDefault="00B02274" w:rsidP="00CF276F">
      <w:pPr>
        <w:pStyle w:val="ListParagraph"/>
        <w:numPr>
          <w:ilvl w:val="0"/>
          <w:numId w:val="50"/>
        </w:numPr>
        <w:jc w:val="both"/>
      </w:pPr>
      <w:r>
        <w:t xml:space="preserve">$300 for a prohibited gift.  </w:t>
      </w:r>
    </w:p>
    <w:p w14:paraId="54E70C09" w14:textId="0ADA8A72" w:rsidR="0054353C" w:rsidRDefault="0054353C" w:rsidP="00CF276F">
      <w:pPr>
        <w:jc w:val="both"/>
      </w:pPr>
      <w:r>
        <w:t xml:space="preserve">Notifiable and prohibited gifts apply in situations where there is likely to be a perceived conflict of interest – where the donor has matters which require council decisions.  </w:t>
      </w:r>
    </w:p>
    <w:p w14:paraId="2FBA5E45" w14:textId="6AC36FB2" w:rsidR="007B2AA0" w:rsidRPr="007B2AA0" w:rsidRDefault="007B2AA0" w:rsidP="00CF276F">
      <w:pPr>
        <w:jc w:val="both"/>
        <w:rPr>
          <w:b/>
        </w:rPr>
      </w:pPr>
      <w:r w:rsidRPr="007B2AA0">
        <w:rPr>
          <w:b/>
        </w:rPr>
        <w:t>Replacing notifiable and prohibited gifts</w:t>
      </w:r>
      <w:r>
        <w:rPr>
          <w:b/>
        </w:rPr>
        <w:t xml:space="preserve"> with a single category</w:t>
      </w:r>
    </w:p>
    <w:p w14:paraId="2D44B7B3" w14:textId="5669DFF5" w:rsidR="00B02274" w:rsidRDefault="0052549F" w:rsidP="00CF276F">
      <w:pPr>
        <w:jc w:val="both"/>
      </w:pPr>
      <w:r>
        <w:t xml:space="preserve">Under the proposed approach, </w:t>
      </w:r>
      <w:r w:rsidR="00B02274">
        <w:t xml:space="preserve">there </w:t>
      </w:r>
      <w:r>
        <w:t xml:space="preserve">would </w:t>
      </w:r>
      <w:r w:rsidR="00B02274">
        <w:t xml:space="preserve">no longer be such a thing as a “prohibited” gift.  Instead, the appropriateness of the acceptance of the gift will be a matter for the recipient.  </w:t>
      </w:r>
    </w:p>
    <w:p w14:paraId="51915A34" w14:textId="53BF3114" w:rsidR="0052549F" w:rsidRDefault="0052549F" w:rsidP="00CF276F">
      <w:pPr>
        <w:jc w:val="both"/>
      </w:pPr>
      <w:r>
        <w:t>This would simplify disclosure requirements whil</w:t>
      </w:r>
      <w:r w:rsidR="00F16B28">
        <w:t>e</w:t>
      </w:r>
      <w:r>
        <w:t xml:space="preserve"> still maintaining a level of probity, accountability and transparency. </w:t>
      </w:r>
    </w:p>
    <w:p w14:paraId="40482C5D" w14:textId="7B9125EA" w:rsidR="00B02274" w:rsidRDefault="0052549F" w:rsidP="00CF276F">
      <w:pPr>
        <w:jc w:val="both"/>
      </w:pPr>
      <w:r>
        <w:t>A</w:t>
      </w:r>
      <w:r w:rsidR="00B02274">
        <w:t>ll gifts c</w:t>
      </w:r>
      <w:r>
        <w:t>ould</w:t>
      </w:r>
      <w:r w:rsidR="00B02274">
        <w:t xml:space="preserve"> be accepted regardless of the amount, but that acceptance of gifts </w:t>
      </w:r>
      <w:r w:rsidR="007B2AA0">
        <w:t>over the threshold</w:t>
      </w:r>
      <w:r w:rsidR="00B02274">
        <w:t xml:space="preserve"> would disqualify the recipient of such a gift (being a</w:t>
      </w:r>
      <w:r w:rsidR="00246B9A">
        <w:t>n</w:t>
      </w:r>
      <w:r w:rsidR="00B02274">
        <w:t xml:space="preserve"> </w:t>
      </w:r>
      <w:r w:rsidR="00246B9A">
        <w:t>elected member</w:t>
      </w:r>
      <w:r w:rsidR="00B02274">
        <w:t>) from voting on matters relating to the donor</w:t>
      </w:r>
      <w:r w:rsidR="007B2AA0">
        <w:t xml:space="preserve">.   This would apply </w:t>
      </w:r>
      <w:r w:rsidR="00B02274">
        <w:t>for the term in which they received the gift</w:t>
      </w:r>
      <w:r w:rsidR="007B2AA0">
        <w:t>,</w:t>
      </w:r>
      <w:r w:rsidR="00B02274">
        <w:t xml:space="preserve"> or for the term following their election in the case of a gift received in the election period.  This deals with any perception of bias in decision-making.</w:t>
      </w:r>
    </w:p>
    <w:p w14:paraId="2BDAB990" w14:textId="3B0B80A6" w:rsidR="00B02274" w:rsidRDefault="00B02274" w:rsidP="00CF276F">
      <w:pPr>
        <w:jc w:val="both"/>
      </w:pPr>
      <w:r>
        <w:t xml:space="preserve">The Minister for Local Government would have the discretion to approve voting by </w:t>
      </w:r>
      <w:r w:rsidR="00246B9A">
        <w:t>elected member</w:t>
      </w:r>
      <w:r>
        <w:t>s on such matters and on application from the local government</w:t>
      </w:r>
      <w:r w:rsidR="007B2AA0">
        <w:t xml:space="preserve"> where this is considered to be in the public interest</w:t>
      </w:r>
      <w:r>
        <w:t xml:space="preserve">.  This approach would be consistent with section 5.69 of the Act, which gives the </w:t>
      </w:r>
      <w:r>
        <w:lastRenderedPageBreak/>
        <w:t xml:space="preserve">Minister the statutory authority to allow </w:t>
      </w:r>
      <w:r w:rsidR="00246B9A">
        <w:t>elected member</w:t>
      </w:r>
      <w:r>
        <w:t xml:space="preserve">s who have disclosed an interest to continue to participate in meetings.   </w:t>
      </w:r>
    </w:p>
    <w:p w14:paraId="010D919F" w14:textId="77777777" w:rsidR="00B02274" w:rsidRDefault="00B02274" w:rsidP="00CF276F">
      <w:pPr>
        <w:keepNext/>
        <w:jc w:val="both"/>
      </w:pPr>
      <w:r>
        <w:t>This would:</w:t>
      </w:r>
    </w:p>
    <w:p w14:paraId="00983F1B" w14:textId="69D95B66" w:rsidR="00B02274" w:rsidRDefault="00B02274" w:rsidP="00CF276F">
      <w:pPr>
        <w:pStyle w:val="ListParagraph"/>
        <w:keepNext/>
        <w:numPr>
          <w:ilvl w:val="0"/>
          <w:numId w:val="38"/>
        </w:numPr>
        <w:jc w:val="both"/>
      </w:pPr>
      <w:r>
        <w:t xml:space="preserve">allow </w:t>
      </w:r>
      <w:r w:rsidR="00246B9A">
        <w:t>elected member</w:t>
      </w:r>
      <w:r>
        <w:t xml:space="preserve">s and CEOs to use their own judgement on the acceptance of gifts of any value without the concern that they are “prohibited” </w:t>
      </w:r>
    </w:p>
    <w:p w14:paraId="6BB9A714" w14:textId="77777777" w:rsidR="00B02274" w:rsidRDefault="00B02274" w:rsidP="00CF276F">
      <w:pPr>
        <w:pStyle w:val="ListParagraph"/>
        <w:numPr>
          <w:ilvl w:val="0"/>
          <w:numId w:val="38"/>
        </w:numPr>
        <w:jc w:val="both"/>
      </w:pPr>
      <w:r>
        <w:t>demonstrate that there is nothing inherently wrong with accepting a gift when it is offered, provided acceptance is properly regulated and disclosed</w:t>
      </w:r>
    </w:p>
    <w:p w14:paraId="4C4B9F6A" w14:textId="77777777" w:rsidR="00B02274" w:rsidRDefault="00B02274" w:rsidP="00CF276F">
      <w:pPr>
        <w:pStyle w:val="ListParagraph"/>
        <w:numPr>
          <w:ilvl w:val="0"/>
          <w:numId w:val="38"/>
        </w:numPr>
        <w:jc w:val="both"/>
      </w:pPr>
      <w:r>
        <w:t>deal with the critical matter to be addressed, being any attempt to influence decision-making through the provision of gifts</w:t>
      </w:r>
    </w:p>
    <w:p w14:paraId="0C2F7B74" w14:textId="77777777" w:rsidR="00B02274" w:rsidRDefault="00B02274" w:rsidP="00CF276F">
      <w:pPr>
        <w:pStyle w:val="ListParagraph"/>
        <w:numPr>
          <w:ilvl w:val="0"/>
          <w:numId w:val="38"/>
        </w:numPr>
        <w:jc w:val="both"/>
      </w:pPr>
      <w:r>
        <w:t>make it clear to recipients and donors alike that while any and all gifts can be accepted regardless of value, they can have no perceived or actual impact on the recipient’s decision-making as the recipient will not be able to vote on matters relating to the donor</w:t>
      </w:r>
    </w:p>
    <w:p w14:paraId="149FD1BB" w14:textId="15C970E3" w:rsidR="00B02274" w:rsidRDefault="00B02274" w:rsidP="00CF276F">
      <w:pPr>
        <w:pStyle w:val="ListParagraph"/>
        <w:numPr>
          <w:ilvl w:val="0"/>
          <w:numId w:val="38"/>
        </w:numPr>
        <w:jc w:val="both"/>
      </w:pPr>
      <w:r>
        <w:t>provide for a level of independent Ministerial oversight by requiring recipients to apply for approval to vote on matters concerning the donor in circumstances where this is considered necessary (for example, if a quorum can no longer be formed)</w:t>
      </w:r>
      <w:r w:rsidR="0017325D">
        <w:t>.</w:t>
      </w:r>
    </w:p>
    <w:p w14:paraId="2C1C8989" w14:textId="4BD5692F" w:rsidR="00860516" w:rsidRPr="00B02274" w:rsidRDefault="00860516" w:rsidP="00CF276F">
      <w:pPr>
        <w:pStyle w:val="Caption"/>
        <w:jc w:val="both"/>
      </w:pPr>
      <w:r w:rsidRPr="00B02274">
        <w:t>Consolidating ‘gifts’ and ‘contributions to travel</w:t>
      </w:r>
      <w:bookmarkEnd w:id="1023"/>
      <w:r w:rsidRPr="00B02274">
        <w:t>’</w:t>
      </w:r>
    </w:p>
    <w:p w14:paraId="5DD51DEA" w14:textId="7A717B96" w:rsidR="00860516" w:rsidRDefault="00B02274" w:rsidP="00CF276F">
      <w:pPr>
        <w:jc w:val="both"/>
      </w:pPr>
      <w:r>
        <w:t xml:space="preserve">Consolidating gifts and contributions to travel would further streamline the gift provisions.  </w:t>
      </w:r>
      <w:r w:rsidR="00860516">
        <w:t xml:space="preserve">At present, different information must be recorded depending on whether a gift or contribution to travel is received.  What constitutes a contribution to travel can be a source of confusion, particularly when work trips may be extended for personal purposes.  In addition, components of a trip may come under the definition of a gift rather than a contribution to travel.  </w:t>
      </w:r>
    </w:p>
    <w:p w14:paraId="046C4489" w14:textId="52943950" w:rsidR="00860516" w:rsidRDefault="00860516" w:rsidP="00CF276F">
      <w:pPr>
        <w:jc w:val="both"/>
      </w:pPr>
      <w:r>
        <w:t>In the interests of simplifying the disclosure requirements whil</w:t>
      </w:r>
      <w:r w:rsidR="00F16B28">
        <w:t>e</w:t>
      </w:r>
      <w:r>
        <w:t xml:space="preserve"> still maintaining a level of probity, accountability and transparency, it is recommended that separate treatment of “contributions to travel” be discontinued.</w:t>
      </w:r>
    </w:p>
    <w:p w14:paraId="4884A6AE" w14:textId="6D1BBDD9" w:rsidR="00860516" w:rsidRDefault="00860516" w:rsidP="00CF276F">
      <w:pPr>
        <w:jc w:val="both"/>
        <w:rPr>
          <w:b/>
        </w:rPr>
      </w:pPr>
      <w:r>
        <w:t xml:space="preserve">In addition, using “gift” as an umbrella concept which includes travel will simplify and streamline the existing disclosure requirements for </w:t>
      </w:r>
      <w:r w:rsidR="00246B9A">
        <w:t>elected member</w:t>
      </w:r>
      <w:r>
        <w:t xml:space="preserve">s and reduce red tape.  The consolidation of the two also recognises that contributions to travel, including accommodation, are </w:t>
      </w:r>
      <w:r w:rsidR="00B02274">
        <w:t>in practice a form of gift.</w:t>
      </w:r>
    </w:p>
    <w:p w14:paraId="41101255" w14:textId="5C4F2125" w:rsidR="00D72EBC" w:rsidRDefault="00D72EBC" w:rsidP="00CF276F">
      <w:pPr>
        <w:pStyle w:val="Caption"/>
        <w:jc w:val="both"/>
      </w:pPr>
      <w:bookmarkStart w:id="1024" w:name="_Toc472609924"/>
      <w:r>
        <w:t>Having a single threshold of $500</w:t>
      </w:r>
    </w:p>
    <w:p w14:paraId="209C158E" w14:textId="77777777" w:rsidR="00D72EBC" w:rsidRDefault="00D72EBC" w:rsidP="00CF276F">
      <w:pPr>
        <w:jc w:val="both"/>
      </w:pPr>
      <w:r>
        <w:t>Replacing the categories of ‘notifiable’ and ‘prohibited’ gifts with a monetary threshold of $500 would simply gift provisions significantly.  Any gifts under $500 would be exempt from disclosure.</w:t>
      </w:r>
    </w:p>
    <w:p w14:paraId="58C18BAF" w14:textId="0FCB6411" w:rsidR="00D72EBC" w:rsidRDefault="00D72EBC" w:rsidP="00CF276F">
      <w:pPr>
        <w:jc w:val="both"/>
      </w:pPr>
      <w:r>
        <w:lastRenderedPageBreak/>
        <w:t xml:space="preserve">The argument for increasing the threshold is two-fold: to compensate for removing multiple exemption categories and so that the threshold was set at a level that would not generally capture gifts received from friends or multiple small gifts from the same person or organisation such as hospitality. </w:t>
      </w:r>
      <w:r w:rsidR="00275189">
        <w:t xml:space="preserve"> Removing exemptions (see details in the table above) would further simplify the provisions, leading to less confusion on what should be disclosed.</w:t>
      </w:r>
    </w:p>
    <w:p w14:paraId="1EF3B7CA" w14:textId="3367119E" w:rsidR="00D72EBC" w:rsidRDefault="00D72EBC" w:rsidP="00CF276F">
      <w:pPr>
        <w:jc w:val="both"/>
      </w:pPr>
      <w:r>
        <w:t xml:space="preserve">The working group recommended $500 as the threshold as </w:t>
      </w:r>
      <w:r w:rsidR="00275189">
        <w:t xml:space="preserve">it </w:t>
      </w:r>
      <w:r>
        <w:t xml:space="preserve">would capture many of the gifts that </w:t>
      </w:r>
      <w:r w:rsidR="00275189">
        <w:t xml:space="preserve">it was considered that </w:t>
      </w:r>
      <w:r>
        <w:t>members of public would reasonably expect council</w:t>
      </w:r>
      <w:r w:rsidR="00F16B28">
        <w:t xml:space="preserve"> members</w:t>
      </w:r>
      <w:r>
        <w:t xml:space="preserve"> to receive in th</w:t>
      </w:r>
      <w:r w:rsidR="00275189">
        <w:t>e course of their everyday life – what could be considered to be personal gifts.</w:t>
      </w:r>
    </w:p>
    <w:p w14:paraId="06DE73A3" w14:textId="4EB10565" w:rsidR="00D72EBC" w:rsidRDefault="00D72EBC" w:rsidP="00CF276F">
      <w:pPr>
        <w:jc w:val="both"/>
      </w:pPr>
      <w:r w:rsidRPr="0052549F">
        <w:t>Whil</w:t>
      </w:r>
      <w:r>
        <w:t xml:space="preserve">e it is acknowledged that </w:t>
      </w:r>
      <w:r w:rsidRPr="0052549F">
        <w:t xml:space="preserve">raising the threshold to $500 would allow more expensive gifts to be accepted without the requirement to disclose, there is also a significant reduction in red tape and administrative burden through the proposed lessened disclosure requirements.  </w:t>
      </w:r>
    </w:p>
    <w:p w14:paraId="1F06F0FC" w14:textId="77777777" w:rsidR="00D72EBC" w:rsidRDefault="00D72EBC" w:rsidP="00CF276F">
      <w:pPr>
        <w:keepNext/>
        <w:spacing w:after="120"/>
        <w:jc w:val="both"/>
      </w:pPr>
      <w:r>
        <w:t>Increasing the disclosure threshold to $500 would:</w:t>
      </w:r>
    </w:p>
    <w:p w14:paraId="6857B2EF" w14:textId="06BE3396" w:rsidR="00D72EBC" w:rsidRDefault="00D72EBC" w:rsidP="00CF276F">
      <w:pPr>
        <w:pStyle w:val="ListParagraph"/>
        <w:keepNext/>
        <w:numPr>
          <w:ilvl w:val="0"/>
          <w:numId w:val="121"/>
        </w:numPr>
        <w:jc w:val="both"/>
      </w:pPr>
      <w:r>
        <w:t>align W</w:t>
      </w:r>
      <w:r w:rsidR="00F16B28">
        <w:t xml:space="preserve">estern </w:t>
      </w:r>
      <w:r>
        <w:t>A</w:t>
      </w:r>
      <w:r w:rsidR="00F16B28">
        <w:t>ustralia</w:t>
      </w:r>
      <w:r>
        <w:t xml:space="preserve"> with the requirements in South Australia and Victoria; and</w:t>
      </w:r>
    </w:p>
    <w:p w14:paraId="07786E4B" w14:textId="77777777" w:rsidR="00D72EBC" w:rsidRDefault="00D72EBC" w:rsidP="00CF276F">
      <w:pPr>
        <w:pStyle w:val="ListParagraph"/>
        <w:numPr>
          <w:ilvl w:val="0"/>
          <w:numId w:val="121"/>
        </w:numPr>
        <w:jc w:val="both"/>
      </w:pPr>
      <w:r>
        <w:t xml:space="preserve">align with the proposed gift framework more generally and reduce the confusion stemming from the differing disclosure amounts, leading towards a simplified and streamlined approach.  </w:t>
      </w:r>
    </w:p>
    <w:p w14:paraId="322BE334" w14:textId="7DCF4017" w:rsidR="00D72EBC" w:rsidRDefault="00D72EBC" w:rsidP="00CF276F">
      <w:pPr>
        <w:jc w:val="both"/>
      </w:pPr>
      <w:r>
        <w:t>N</w:t>
      </w:r>
      <w:r w:rsidR="00F16B28">
        <w:t xml:space="preserve">ew </w:t>
      </w:r>
      <w:r>
        <w:t>S</w:t>
      </w:r>
      <w:r w:rsidR="00F16B28">
        <w:t xml:space="preserve">outh </w:t>
      </w:r>
      <w:r>
        <w:t>W</w:t>
      </w:r>
      <w:r w:rsidR="00F16B28">
        <w:t>ales</w:t>
      </w:r>
      <w:r>
        <w:t xml:space="preserve"> has the highest disclosure threshold, being $1,000.  However, N</w:t>
      </w:r>
      <w:r w:rsidR="00F16B28">
        <w:t xml:space="preserve">ew </w:t>
      </w:r>
      <w:r>
        <w:t>S</w:t>
      </w:r>
      <w:r w:rsidR="00F16B28">
        <w:t xml:space="preserve">outh </w:t>
      </w:r>
      <w:r>
        <w:t>W</w:t>
      </w:r>
      <w:r w:rsidR="00F16B28">
        <w:t>ales</w:t>
      </w:r>
      <w:r>
        <w:t xml:space="preserve"> is also more restrictive in prohibiting donations from particular donors, perhaps as a method of offsetting its relatively high disclosure threshold.  </w:t>
      </w:r>
    </w:p>
    <w:bookmarkEnd w:id="1024"/>
    <w:p w14:paraId="002B5751" w14:textId="7ECADF08" w:rsidR="00860516" w:rsidRDefault="00275189" w:rsidP="00CF276F">
      <w:pPr>
        <w:pStyle w:val="Caption"/>
        <w:jc w:val="both"/>
      </w:pPr>
      <w:r>
        <w:t xml:space="preserve">Disclosure </w:t>
      </w:r>
      <w:r w:rsidR="006A6379">
        <w:t>timeframes</w:t>
      </w:r>
    </w:p>
    <w:p w14:paraId="19C1720E" w14:textId="330AB6BE" w:rsidR="00860516" w:rsidRDefault="00860516" w:rsidP="00CF276F">
      <w:pPr>
        <w:jc w:val="both"/>
      </w:pPr>
      <w:r>
        <w:t xml:space="preserve">Regulations </w:t>
      </w:r>
      <w:r w:rsidR="0052549F">
        <w:t xml:space="preserve">currently </w:t>
      </w:r>
      <w:r>
        <w:t xml:space="preserve">prescribe a </w:t>
      </w:r>
      <w:r w:rsidR="0052549F">
        <w:t>six-month</w:t>
      </w:r>
      <w:r>
        <w:t xml:space="preserve"> timeframe for cumulative acceptance of gifts to the $50 and $300 notifiable and prohibited thresholds.  </w:t>
      </w:r>
      <w:r w:rsidR="00275189">
        <w:t>The cumulative threshold for disclosable gifts and contributions to travel is</w:t>
      </w:r>
      <w:r>
        <w:t xml:space="preserve"> $200 in a </w:t>
      </w:r>
      <w:r w:rsidR="0052549F">
        <w:t>12-month</w:t>
      </w:r>
      <w:r>
        <w:t xml:space="preserve"> period.  The </w:t>
      </w:r>
      <w:r w:rsidR="0052549F">
        <w:t xml:space="preserve">working group recommended that </w:t>
      </w:r>
      <w:r>
        <w:t>th</w:t>
      </w:r>
      <w:r w:rsidR="00275189">
        <w:t>ese</w:t>
      </w:r>
      <w:r>
        <w:t xml:space="preserve"> should be </w:t>
      </w:r>
      <w:r w:rsidR="0052549F">
        <w:t xml:space="preserve">amended to </w:t>
      </w:r>
      <w:r>
        <w:t xml:space="preserve">$500 over a </w:t>
      </w:r>
      <w:r w:rsidR="0052549F">
        <w:t>12</w:t>
      </w:r>
      <w:r w:rsidR="00CF276F">
        <w:noBreakHyphen/>
      </w:r>
      <w:r w:rsidR="0052549F">
        <w:t>month</w:t>
      </w:r>
      <w:r>
        <w:t xml:space="preserve"> period.  </w:t>
      </w:r>
    </w:p>
    <w:p w14:paraId="2D413C56" w14:textId="055A1FC9" w:rsidR="00860516" w:rsidRDefault="00860516" w:rsidP="00CF276F">
      <w:pPr>
        <w:jc w:val="both"/>
      </w:pPr>
      <w:r>
        <w:t xml:space="preserve">Raising the threshold and extending the prescribed time period will have the effect of reducing the administrative burden on </w:t>
      </w:r>
      <w:r w:rsidR="00246B9A">
        <w:t>elected member</w:t>
      </w:r>
      <w:r>
        <w:t xml:space="preserve">s.  For example, attendance at regular meetings including a meal </w:t>
      </w:r>
      <w:r w:rsidR="006A6379">
        <w:t>worth $40 would add up to $480</w:t>
      </w:r>
      <w:r>
        <w:t xml:space="preserve"> </w:t>
      </w:r>
      <w:r w:rsidR="006A6379">
        <w:t>over a year</w:t>
      </w:r>
      <w:r>
        <w:t xml:space="preserve">.  It is less likely that, with a threshold of $500 in 12 months, </w:t>
      </w:r>
      <w:r w:rsidR="006A6379">
        <w:t>reasonably priced hospitality</w:t>
      </w:r>
      <w:r>
        <w:t xml:space="preserve"> would be disclosable.  </w:t>
      </w:r>
    </w:p>
    <w:p w14:paraId="3AB46865" w14:textId="030AA1CC" w:rsidR="00860516" w:rsidRDefault="006A6379" w:rsidP="00CF276F">
      <w:pPr>
        <w:jc w:val="both"/>
      </w:pPr>
      <w:r>
        <w:t>A timeframe of</w:t>
      </w:r>
      <w:r w:rsidR="00860516">
        <w:t xml:space="preserve"> six months effectively </w:t>
      </w:r>
      <w:r>
        <w:t xml:space="preserve">doubles the threshold. </w:t>
      </w:r>
      <w:r w:rsidR="00860516">
        <w:t xml:space="preserve">Gifts of </w:t>
      </w:r>
      <w:r>
        <w:t>$1,000</w:t>
      </w:r>
      <w:r w:rsidR="00860516">
        <w:t xml:space="preserve"> are likely </w:t>
      </w:r>
      <w:r>
        <w:t xml:space="preserve">to be </w:t>
      </w:r>
      <w:r w:rsidR="00860516">
        <w:t xml:space="preserve">significant enough that there is a strong public interest argument for disclosing them.  </w:t>
      </w:r>
    </w:p>
    <w:p w14:paraId="7AF67486" w14:textId="3217FF77" w:rsidR="00860516" w:rsidRPr="00624226" w:rsidRDefault="00860516" w:rsidP="00CF276F">
      <w:pPr>
        <w:jc w:val="both"/>
        <w:rPr>
          <w:b/>
        </w:rPr>
      </w:pPr>
      <w:r>
        <w:lastRenderedPageBreak/>
        <w:t xml:space="preserve">In the interests of promoting accountability and transparency and ensuring the community is aware of expensive gifts received by </w:t>
      </w:r>
      <w:r w:rsidR="00246B9A">
        <w:t>elected member</w:t>
      </w:r>
      <w:r>
        <w:t xml:space="preserve">s it is recommended that the prescribed time period be 12 months.   </w:t>
      </w:r>
    </w:p>
    <w:p w14:paraId="5BE13F06" w14:textId="2F2C2927" w:rsidR="00860516" w:rsidRDefault="0052549F" w:rsidP="00CF276F">
      <w:pPr>
        <w:pStyle w:val="Caption"/>
        <w:jc w:val="both"/>
      </w:pPr>
      <w:bookmarkStart w:id="1025" w:name="_Toc472609925"/>
      <w:r>
        <w:t xml:space="preserve">Who </w:t>
      </w:r>
      <w:r w:rsidR="00860516">
        <w:t xml:space="preserve">should </w:t>
      </w:r>
      <w:r>
        <w:t>the framework apply to</w:t>
      </w:r>
      <w:r w:rsidR="00860516">
        <w:t>?</w:t>
      </w:r>
      <w:bookmarkEnd w:id="1025"/>
      <w:r w:rsidR="00860516">
        <w:t xml:space="preserve"> </w:t>
      </w:r>
    </w:p>
    <w:p w14:paraId="6B3BBD3E" w14:textId="4F7A5786" w:rsidR="00860516" w:rsidRDefault="0052549F" w:rsidP="00CF276F">
      <w:pPr>
        <w:jc w:val="both"/>
      </w:pPr>
      <w:r>
        <w:t xml:space="preserve">The working group recommended that </w:t>
      </w:r>
      <w:r w:rsidR="00860516">
        <w:t xml:space="preserve">the new gift disclosure provisions apply only to local government </w:t>
      </w:r>
      <w:r w:rsidR="00246B9A">
        <w:t>elected member</w:t>
      </w:r>
      <w:r w:rsidR="00860516">
        <w:t xml:space="preserve">s and CEOs, with each local government required to adopt a gifts policy with which all other employees must comply.  </w:t>
      </w:r>
    </w:p>
    <w:p w14:paraId="6DD7DB39" w14:textId="7A1C5759" w:rsidR="00860516" w:rsidRDefault="00860516" w:rsidP="00CF276F">
      <w:pPr>
        <w:jc w:val="both"/>
      </w:pPr>
      <w:r>
        <w:t>Allowing each local government to set its own gifts policy provides the opportunity to tailor requirements to a local government’s unique situation.  With 13</w:t>
      </w:r>
      <w:r w:rsidR="0011130A">
        <w:t>7</w:t>
      </w:r>
      <w:r>
        <w:t xml:space="preserve"> local governments across the State and staffing numbers ranging from </w:t>
      </w:r>
      <w:r w:rsidR="0011130A">
        <w:t xml:space="preserve">fewer </w:t>
      </w:r>
      <w:r>
        <w:t xml:space="preserve">than 20 to more than 800, there is no practical “one size fits all” approach.  </w:t>
      </w:r>
    </w:p>
    <w:p w14:paraId="0D020289" w14:textId="2F983E50" w:rsidR="00860516" w:rsidRDefault="0052549F" w:rsidP="00CF276F">
      <w:pPr>
        <w:jc w:val="both"/>
      </w:pPr>
      <w:r>
        <w:t>T</w:t>
      </w:r>
      <w:r w:rsidR="00860516">
        <w:t>he current framework captures all manner of employees which, while potentially appropriate in theory, is not actually necessary or practical.  Whi</w:t>
      </w:r>
      <w:r w:rsidR="0011130A">
        <w:t xml:space="preserve">le </w:t>
      </w:r>
      <w:r w:rsidR="00860516">
        <w:t>those who choose to run for office and represent their community as a</w:t>
      </w:r>
      <w:r w:rsidR="00246B9A">
        <w:t>n</w:t>
      </w:r>
      <w:r w:rsidR="00860516">
        <w:t xml:space="preserve"> </w:t>
      </w:r>
      <w:r w:rsidR="00246B9A">
        <w:t>elected member</w:t>
      </w:r>
      <w:r w:rsidR="00860516">
        <w:t xml:space="preserve"> are public figures, and </w:t>
      </w:r>
      <w:r w:rsidR="0011130A">
        <w:t xml:space="preserve">are </w:t>
      </w:r>
      <w:r w:rsidR="00860516">
        <w:t xml:space="preserve">therefore expected to make reasonable concessions as to their personal privacy, there is no compelling public interest reason for all local government employees, who are private citizens, to be required to disclose gifts.  </w:t>
      </w:r>
    </w:p>
    <w:p w14:paraId="72293517" w14:textId="5A7E7CB9" w:rsidR="0017325D" w:rsidRDefault="00860516" w:rsidP="00CF276F">
      <w:pPr>
        <w:jc w:val="both"/>
        <w:rPr>
          <w:b/>
        </w:rPr>
      </w:pPr>
      <w:r>
        <w:t xml:space="preserve">Empowering local governments to develop their own gifts policies for employees gives the sector the flexibility to determine what gifts should and should not be accepted and to tailor each policy to the requirements of the district.  </w:t>
      </w:r>
    </w:p>
    <w:p w14:paraId="0F3DF2B8" w14:textId="5729BF68" w:rsidR="00860516" w:rsidRDefault="00A104DC" w:rsidP="00CF276F">
      <w:pPr>
        <w:pStyle w:val="Caption"/>
        <w:jc w:val="both"/>
      </w:pPr>
      <w:r>
        <w:t>Excluding gifts from relatives</w:t>
      </w:r>
    </w:p>
    <w:p w14:paraId="77FE07DE" w14:textId="77777777" w:rsidR="00954473" w:rsidRDefault="00954473" w:rsidP="00CF276F">
      <w:pPr>
        <w:pStyle w:val="BodyText-nospacebelow"/>
        <w:spacing w:after="40"/>
        <w:jc w:val="both"/>
        <w:rPr>
          <w:lang w:eastAsia="en-AU"/>
        </w:rPr>
      </w:pPr>
      <w:r>
        <w:rPr>
          <w:lang w:eastAsia="en-AU"/>
        </w:rPr>
        <w:t xml:space="preserve">Gifts received from a relative do not need to be disclosed.  A relative is currently defined as any of the following —  </w:t>
      </w:r>
    </w:p>
    <w:p w14:paraId="6780D6AB" w14:textId="77777777" w:rsidR="00954473" w:rsidRDefault="00954473" w:rsidP="00CF276F">
      <w:pPr>
        <w:pStyle w:val="BodyText-nospacebelow"/>
        <w:spacing w:after="40"/>
        <w:ind w:left="720"/>
        <w:jc w:val="both"/>
        <w:rPr>
          <w:lang w:eastAsia="en-AU"/>
        </w:rPr>
      </w:pPr>
      <w:r>
        <w:rPr>
          <w:lang w:eastAsia="en-AU"/>
        </w:rPr>
        <w:t xml:space="preserve"> (a) a parent, grandparent, brother, sister, uncle, aunt, nephew, niece, lineal descendant of the person or of the person’s spouse or de facto partner;  </w:t>
      </w:r>
    </w:p>
    <w:p w14:paraId="54B8443F" w14:textId="77777777" w:rsidR="00954473" w:rsidRDefault="00954473" w:rsidP="00CF276F">
      <w:pPr>
        <w:pStyle w:val="BodyText-nospacebelow"/>
        <w:ind w:left="720"/>
        <w:jc w:val="both"/>
        <w:rPr>
          <w:lang w:eastAsia="en-AU"/>
        </w:rPr>
      </w:pPr>
      <w:r>
        <w:rPr>
          <w:lang w:eastAsia="en-AU"/>
        </w:rPr>
        <w:t>(b) the person’s spouse or de facto partner or the spouse or de facto partner of any relative specified in paragraph (a), whether or not the relationship is traced through, or to, a person whose parents were not actually married to each other at the time of the person’s birth or subsequently, and whether the relationship is a natural relationship or a relationship established by a written law.</w:t>
      </w:r>
      <w:r w:rsidRPr="00223CC7">
        <w:rPr>
          <w:rStyle w:val="Heading3Char"/>
          <w:lang w:eastAsia="en-AU"/>
        </w:rPr>
        <w:t xml:space="preserve"> </w:t>
      </w:r>
      <w:r>
        <w:rPr>
          <w:rStyle w:val="FootnoteReference"/>
          <w:lang w:eastAsia="en-AU"/>
        </w:rPr>
        <w:footnoteReference w:id="19"/>
      </w:r>
    </w:p>
    <w:p w14:paraId="3C1F14D5" w14:textId="77777777" w:rsidR="00954473" w:rsidRDefault="00954473" w:rsidP="00CF276F">
      <w:pPr>
        <w:pStyle w:val="BodyText-nospacebelow"/>
        <w:jc w:val="both"/>
        <w:rPr>
          <w:lang w:eastAsia="en-AU"/>
        </w:rPr>
      </w:pPr>
    </w:p>
    <w:p w14:paraId="0F6EF118" w14:textId="4D97AECB" w:rsidR="00954473" w:rsidRDefault="00412D01" w:rsidP="00CF276F">
      <w:pPr>
        <w:pStyle w:val="BodyText-nospacebelow"/>
        <w:jc w:val="both"/>
      </w:pPr>
      <w:r>
        <w:lastRenderedPageBreak/>
        <w:t xml:space="preserve">Consistent with the recommendations of the working group, </w:t>
      </w:r>
      <w:r w:rsidR="00784BCB">
        <w:t>it</w:t>
      </w:r>
      <w:r w:rsidR="00954473">
        <w:t xml:space="preserve"> is </w:t>
      </w:r>
      <w:r>
        <w:t>proposed</w:t>
      </w:r>
      <w:r w:rsidR="00954473" w:rsidDel="00412D01">
        <w:t xml:space="preserve"> </w:t>
      </w:r>
      <w:r w:rsidR="00954473">
        <w:t>that the definition of relative is e</w:t>
      </w:r>
      <w:r w:rsidR="00954473" w:rsidRPr="003F0EAC">
        <w:t>xpand</w:t>
      </w:r>
      <w:r w:rsidR="00954473">
        <w:t>ed</w:t>
      </w:r>
      <w:r w:rsidR="00954473" w:rsidRPr="003F0EAC">
        <w:t xml:space="preserve"> to ensure foster and adopted children and grandchildre</w:t>
      </w:r>
      <w:r w:rsidR="00954473">
        <w:t>n are also classed as relatives</w:t>
      </w:r>
      <w:r w:rsidR="00954473" w:rsidRPr="003F0EAC">
        <w:t xml:space="preserve">.  This </w:t>
      </w:r>
      <w:r w:rsidR="00954473">
        <w:t>is</w:t>
      </w:r>
      <w:r w:rsidR="00954473" w:rsidRPr="003F0EAC">
        <w:t xml:space="preserve"> consistent with the definition of “relative” in the </w:t>
      </w:r>
      <w:r w:rsidR="00954473" w:rsidRPr="003F0EAC">
        <w:rPr>
          <w:i/>
        </w:rPr>
        <w:t>Members of Parliament (Financial Interests) Act 1992</w:t>
      </w:r>
      <w:r w:rsidR="00954473" w:rsidRPr="003F0EAC">
        <w:t>, which includes that “an adopted person shall be treated as the legitimate child of his adopters”.</w:t>
      </w:r>
    </w:p>
    <w:p w14:paraId="2E23E4A9" w14:textId="77777777" w:rsidR="00954473" w:rsidRDefault="00954473" w:rsidP="00CF276F">
      <w:pPr>
        <w:pStyle w:val="BodyText-nospacebelow"/>
        <w:jc w:val="both"/>
      </w:pPr>
    </w:p>
    <w:p w14:paraId="3207F10D" w14:textId="3ED93A75" w:rsidR="00954473" w:rsidRDefault="00954473" w:rsidP="00CF276F">
      <w:pPr>
        <w:pStyle w:val="BodyText-nospacebelow"/>
        <w:jc w:val="both"/>
      </w:pPr>
      <w:r>
        <w:t>It is also intended that the definition of gift specifically refers to fiancés</w:t>
      </w:r>
      <w:r w:rsidR="006A6379">
        <w:t xml:space="preserve"> and fiancées</w:t>
      </w:r>
      <w:r>
        <w:t xml:space="preserve">. This will remove any uncertainty about the giving of an engagement ring. </w:t>
      </w:r>
    </w:p>
    <w:p w14:paraId="18BF57C7" w14:textId="66BB45E2" w:rsidR="00860516" w:rsidRDefault="00A104DC" w:rsidP="00CF276F">
      <w:pPr>
        <w:pStyle w:val="Caption"/>
        <w:jc w:val="both"/>
      </w:pPr>
      <w:bookmarkStart w:id="1026" w:name="_Toc472609927"/>
      <w:r>
        <w:t>P</w:t>
      </w:r>
      <w:r w:rsidR="00860516">
        <w:t>enalties for non-disclosure or provision of false information</w:t>
      </w:r>
      <w:bookmarkEnd w:id="1026"/>
    </w:p>
    <w:p w14:paraId="7F97257C" w14:textId="2EA4808F" w:rsidR="00860516" w:rsidRDefault="00860516" w:rsidP="00CF276F">
      <w:pPr>
        <w:jc w:val="both"/>
      </w:pPr>
      <w:r>
        <w:t xml:space="preserve">The </w:t>
      </w:r>
      <w:r w:rsidR="00A104DC">
        <w:t xml:space="preserve">working group recommended that </w:t>
      </w:r>
      <w:r>
        <w:t xml:space="preserve">existing penalties for non-disclosure and giving false and misleading information be retained.  Under section 5.89B of the </w:t>
      </w:r>
      <w:r w:rsidR="00A104DC">
        <w:t>A</w:t>
      </w:r>
      <w:r>
        <w:t xml:space="preserve">ct a failure to comply with the disclosure requirements is an offence with a penalty of $10,000 or imprisonment for two years.  </w:t>
      </w:r>
    </w:p>
    <w:p w14:paraId="71491C7D" w14:textId="7E9B4093" w:rsidR="00860516" w:rsidRDefault="00860516" w:rsidP="00CF276F">
      <w:pPr>
        <w:jc w:val="both"/>
      </w:pPr>
      <w:r>
        <w:t xml:space="preserve">Similarly, it is an offence to give false or misleading information in a return lodged under various sections of the Act (including </w:t>
      </w:r>
      <w:r w:rsidR="006A6379">
        <w:t>the gift provisions</w:t>
      </w:r>
      <w:r>
        <w:t xml:space="preserve">) with the same penalty of a $10,000 fine or two years’ imprisonment.   </w:t>
      </w:r>
    </w:p>
    <w:p w14:paraId="5CD6B17D" w14:textId="77777777" w:rsidR="00CF276F" w:rsidRDefault="00CF276F">
      <w:pPr>
        <w:rPr>
          <w:b/>
          <w:bCs/>
          <w:iCs/>
          <w:sz w:val="28"/>
        </w:rPr>
      </w:pPr>
      <w:r>
        <w:rPr>
          <w:b/>
          <w:sz w:val="28"/>
        </w:rPr>
        <w:br w:type="page"/>
      </w:r>
    </w:p>
    <w:p w14:paraId="3048B5F2" w14:textId="4A7A9162" w:rsidR="00A6491F" w:rsidRDefault="00A6491F" w:rsidP="00A6491F">
      <w:pPr>
        <w:pStyle w:val="IntenseQuote"/>
        <w:rPr>
          <w:b/>
          <w:sz w:val="28"/>
        </w:rPr>
      </w:pPr>
      <w:r>
        <w:rPr>
          <w:b/>
          <w:sz w:val="28"/>
        </w:rPr>
        <w:lastRenderedPageBreak/>
        <w:t>A new framework for disclosing gifts: Guidance questions</w:t>
      </w:r>
    </w:p>
    <w:p w14:paraId="4EB7F4D2" w14:textId="50F54C60" w:rsidR="00A6491F" w:rsidRDefault="00A6491F" w:rsidP="00DB759E">
      <w:pPr>
        <w:pStyle w:val="BodyText2-nospacebelow"/>
        <w:numPr>
          <w:ilvl w:val="0"/>
          <w:numId w:val="19"/>
        </w:numPr>
        <w:spacing w:after="120"/>
      </w:pPr>
      <w:r>
        <w:t>Is the new framework for disclosing gifts appropriate?</w:t>
      </w:r>
    </w:p>
    <w:p w14:paraId="1DDF76FC" w14:textId="483A9549" w:rsidR="001F35C1" w:rsidRDefault="001F35C1" w:rsidP="00DB759E">
      <w:pPr>
        <w:pStyle w:val="BodyText2-nospacebelow"/>
        <w:numPr>
          <w:ilvl w:val="0"/>
          <w:numId w:val="19"/>
        </w:numPr>
        <w:spacing w:after="120"/>
      </w:pPr>
      <w:r>
        <w:t>If no</w:t>
      </w:r>
      <w:r w:rsidR="006A6379">
        <w:t>t</w:t>
      </w:r>
      <w:r>
        <w:t>, why?</w:t>
      </w:r>
    </w:p>
    <w:p w14:paraId="1A3B3150" w14:textId="0A727608" w:rsidR="001F35C1" w:rsidRDefault="001F35C1" w:rsidP="00DB759E">
      <w:pPr>
        <w:pStyle w:val="BodyText2-nospacebelow"/>
        <w:numPr>
          <w:ilvl w:val="0"/>
          <w:numId w:val="19"/>
        </w:numPr>
        <w:spacing w:after="120"/>
      </w:pPr>
      <w:r>
        <w:t>Is the threshold of $500 appropriate?</w:t>
      </w:r>
    </w:p>
    <w:p w14:paraId="6426C1AF" w14:textId="765BDCDA" w:rsidR="001F35C1" w:rsidRDefault="001F35C1" w:rsidP="00DB759E">
      <w:pPr>
        <w:pStyle w:val="BodyText2-nospacebelow"/>
        <w:numPr>
          <w:ilvl w:val="0"/>
          <w:numId w:val="19"/>
        </w:numPr>
        <w:spacing w:after="120"/>
      </w:pPr>
      <w:r>
        <w:t>If no, why?</w:t>
      </w:r>
    </w:p>
    <w:p w14:paraId="2D4247C7" w14:textId="77777777" w:rsidR="00C153D6" w:rsidRDefault="00C153D6" w:rsidP="00DB759E">
      <w:pPr>
        <w:pStyle w:val="BodyText2-nospacebelow"/>
        <w:numPr>
          <w:ilvl w:val="0"/>
          <w:numId w:val="19"/>
        </w:numPr>
        <w:spacing w:after="120"/>
      </w:pPr>
      <w:r>
        <w:t>Should certain gifts – or gifts from particular classes or people – be prohibited? Why or why not?</w:t>
      </w:r>
    </w:p>
    <w:p w14:paraId="4906F981" w14:textId="6D77373A" w:rsidR="00C153D6" w:rsidRDefault="00C153D6" w:rsidP="00DB759E">
      <w:pPr>
        <w:pStyle w:val="BodyText2-nospacebelow"/>
        <w:numPr>
          <w:ilvl w:val="0"/>
          <w:numId w:val="19"/>
        </w:numPr>
        <w:spacing w:after="120"/>
      </w:pPr>
      <w:r>
        <w:t xml:space="preserve">If yes, what gifts should be prohibited?  </w:t>
      </w:r>
    </w:p>
    <w:p w14:paraId="670E0EFA" w14:textId="77777777" w:rsidR="00A104DC" w:rsidRPr="00B02274" w:rsidRDefault="00A104DC" w:rsidP="00A104DC">
      <w:pPr>
        <w:pStyle w:val="Heading3"/>
      </w:pPr>
      <w:bookmarkStart w:id="1027" w:name="_Toc495671489"/>
      <w:bookmarkStart w:id="1028" w:name="_Toc495676090"/>
      <w:bookmarkStart w:id="1029" w:name="_Toc495678386"/>
      <w:bookmarkStart w:id="1030" w:name="_Toc495998383"/>
      <w:bookmarkStart w:id="1031" w:name="_Toc497741853"/>
      <w:r>
        <w:t>Excluding gifts in a genuine personal capacity</w:t>
      </w:r>
      <w:bookmarkEnd w:id="1027"/>
      <w:bookmarkEnd w:id="1028"/>
      <w:bookmarkEnd w:id="1029"/>
      <w:bookmarkEnd w:id="1030"/>
      <w:bookmarkEnd w:id="1031"/>
      <w:r>
        <w:t xml:space="preserve"> </w:t>
      </w:r>
    </w:p>
    <w:p w14:paraId="216181A3" w14:textId="290A30B7" w:rsidR="00A104DC" w:rsidRDefault="00A104DC" w:rsidP="00CF276F">
      <w:pPr>
        <w:pStyle w:val="BodyText-nospacebelow"/>
        <w:jc w:val="both"/>
      </w:pPr>
      <w:r>
        <w:t>More recently</w:t>
      </w:r>
      <w:r w:rsidR="00412D01">
        <w:t>,</w:t>
      </w:r>
      <w:r>
        <w:t xml:space="preserve"> local government peak bodies have</w:t>
      </w:r>
      <w:r w:rsidR="00412D01">
        <w:t xml:space="preserve"> advocated for reforms in addition to the working group’s initial recommendations by seeking for </w:t>
      </w:r>
      <w:r>
        <w:t xml:space="preserve">gifts in a </w:t>
      </w:r>
      <w:r w:rsidR="00954473">
        <w:t>genuine</w:t>
      </w:r>
      <w:r>
        <w:t xml:space="preserve"> personal capacity to </w:t>
      </w:r>
      <w:r w:rsidR="00412D01">
        <w:t xml:space="preserve">also </w:t>
      </w:r>
      <w:r>
        <w:t>be excluded</w:t>
      </w:r>
    </w:p>
    <w:p w14:paraId="3A860D73" w14:textId="772ED795" w:rsidR="00CB7E63" w:rsidRDefault="00CB7E63" w:rsidP="00CF276F">
      <w:pPr>
        <w:pStyle w:val="BodyText-nospacebelow"/>
        <w:jc w:val="both"/>
      </w:pPr>
    </w:p>
    <w:p w14:paraId="030F4D81" w14:textId="25094C7A" w:rsidR="00954473" w:rsidRDefault="00954473" w:rsidP="00CF276F">
      <w:pPr>
        <w:pStyle w:val="BodyText-nospacebelow"/>
        <w:jc w:val="both"/>
      </w:pPr>
      <w:r>
        <w:t>The argument for this exemption is that gifts from friends are a personal matter and not relevant to the performance of a</w:t>
      </w:r>
      <w:r w:rsidR="00246B9A">
        <w:t>n</w:t>
      </w:r>
      <w:r>
        <w:t xml:space="preserve"> </w:t>
      </w:r>
      <w:r w:rsidR="00246B9A">
        <w:t>elected member</w:t>
      </w:r>
      <w:r>
        <w:t xml:space="preserve">’s functions.  The value of some of these gifts may be over the threshold limit.  </w:t>
      </w:r>
    </w:p>
    <w:p w14:paraId="7D1CF832" w14:textId="77777777" w:rsidR="00954473" w:rsidRDefault="00954473" w:rsidP="00CF276F">
      <w:pPr>
        <w:pStyle w:val="BodyText-nospacebelow"/>
        <w:jc w:val="both"/>
      </w:pPr>
    </w:p>
    <w:p w14:paraId="5B6A880E" w14:textId="70C7AE92" w:rsidR="00954473" w:rsidRDefault="00954473" w:rsidP="00CF276F">
      <w:pPr>
        <w:pStyle w:val="BodyText-nospacebelow"/>
        <w:jc w:val="both"/>
      </w:pPr>
      <w:r w:rsidRPr="003F0EAC">
        <w:t xml:space="preserve">The difficulty </w:t>
      </w:r>
      <w:r>
        <w:t>with</w:t>
      </w:r>
      <w:r w:rsidRPr="003F0EAC">
        <w:t xml:space="preserve"> this option is how to define ‘personal capacity’. </w:t>
      </w:r>
      <w:r>
        <w:t xml:space="preserve"> </w:t>
      </w:r>
      <w:r w:rsidRPr="003F0EAC">
        <w:t xml:space="preserve">A substantial gift from a property developer, for example, could be given to coincide with the </w:t>
      </w:r>
      <w:r w:rsidR="00246B9A">
        <w:t>elected member</w:t>
      </w:r>
      <w:r w:rsidRPr="003F0EAC">
        <w:t xml:space="preserve">’s birthday and said to be </w:t>
      </w:r>
      <w:r>
        <w:t xml:space="preserve">given in </w:t>
      </w:r>
      <w:r w:rsidRPr="003F0EAC">
        <w:t xml:space="preserve">a personal </w:t>
      </w:r>
      <w:r>
        <w:t>capacity</w:t>
      </w:r>
      <w:r w:rsidRPr="003F0EAC">
        <w:t xml:space="preserve">.  </w:t>
      </w:r>
    </w:p>
    <w:p w14:paraId="20F2759A" w14:textId="77777777" w:rsidR="00954473" w:rsidRDefault="00954473" w:rsidP="00CF276F">
      <w:pPr>
        <w:pStyle w:val="BodyText-nospacebelow"/>
        <w:jc w:val="both"/>
      </w:pPr>
    </w:p>
    <w:p w14:paraId="109659BC" w14:textId="10738FF8" w:rsidR="00954473" w:rsidRDefault="00954473" w:rsidP="00CF276F">
      <w:pPr>
        <w:pStyle w:val="BodyText-nospacebelow"/>
        <w:jc w:val="both"/>
      </w:pPr>
      <w:r>
        <w:t xml:space="preserve">It is the role of </w:t>
      </w:r>
      <w:r w:rsidR="00246B9A">
        <w:t>elected member</w:t>
      </w:r>
      <w:r w:rsidRPr="003F0EAC">
        <w:t>s</w:t>
      </w:r>
      <w:r>
        <w:t xml:space="preserve"> to</w:t>
      </w:r>
      <w:r w:rsidRPr="003F0EAC">
        <w:t xml:space="preserve"> </w:t>
      </w:r>
      <w:r>
        <w:t>make decisions on matters affecting the community</w:t>
      </w:r>
      <w:r w:rsidRPr="003F0EAC">
        <w:t>,</w:t>
      </w:r>
      <w:r>
        <w:t xml:space="preserve"> including on planning and other approvals and on expenditure of funds raised from rates and other charges. </w:t>
      </w:r>
      <w:r w:rsidRPr="003F0EAC">
        <w:t xml:space="preserve"> A gift </w:t>
      </w:r>
      <w:r w:rsidR="003F1CFF" w:rsidRPr="003F0EAC">
        <w:t>c</w:t>
      </w:r>
      <w:r w:rsidR="003F1CFF">
        <w:t>ould</w:t>
      </w:r>
      <w:r w:rsidR="003F1CFF" w:rsidRPr="003F0EAC">
        <w:t xml:space="preserve"> </w:t>
      </w:r>
      <w:r w:rsidRPr="003F0EAC">
        <w:t xml:space="preserve">influence </w:t>
      </w:r>
      <w:r>
        <w:t xml:space="preserve">the recipient’s views on the donor and result in </w:t>
      </w:r>
      <w:r w:rsidRPr="003F0EAC">
        <w:t xml:space="preserve">decision making </w:t>
      </w:r>
      <w:r>
        <w:t>that</w:t>
      </w:r>
      <w:r w:rsidRPr="003F0EAC">
        <w:t xml:space="preserve"> may not be in the public interest.</w:t>
      </w:r>
      <w:r>
        <w:t xml:space="preserve">  This can be mitigated in one of two ways:  banning the receipt of gifts or requiring the giving of the gift to be made public.  The second method allows the community to judge whether they believe decision-making has been affected</w:t>
      </w:r>
      <w:r w:rsidRPr="003F0EAC">
        <w:t xml:space="preserve">. </w:t>
      </w:r>
    </w:p>
    <w:p w14:paraId="72FD2B07" w14:textId="77777777" w:rsidR="00954473" w:rsidRPr="003F0EAC" w:rsidRDefault="00954473" w:rsidP="00CF276F">
      <w:pPr>
        <w:pStyle w:val="BodyText-nospacebelow"/>
        <w:jc w:val="both"/>
      </w:pPr>
    </w:p>
    <w:p w14:paraId="7568B269" w14:textId="1DACF536" w:rsidR="00954473" w:rsidRDefault="00954473" w:rsidP="00CF276F">
      <w:pPr>
        <w:pStyle w:val="BodyText-nospacebelow"/>
        <w:jc w:val="both"/>
      </w:pPr>
      <w:r w:rsidRPr="003F0EAC">
        <w:t xml:space="preserve">An alternative treatment is to set a threshold at an amount that would exclude gifts that </w:t>
      </w:r>
      <w:r>
        <w:t>c</w:t>
      </w:r>
      <w:r w:rsidRPr="003F0EAC">
        <w:t xml:space="preserve">ould </w:t>
      </w:r>
      <w:r>
        <w:t>be considered to be</w:t>
      </w:r>
      <w:r w:rsidRPr="003F0EAC">
        <w:t xml:space="preserve"> a personal gift.  </w:t>
      </w:r>
    </w:p>
    <w:p w14:paraId="7E1FB9E6" w14:textId="77777777" w:rsidR="003862C8" w:rsidRPr="003F0EAC" w:rsidRDefault="003862C8" w:rsidP="00954473">
      <w:pPr>
        <w:pStyle w:val="BodyText-nospacebelow"/>
      </w:pPr>
    </w:p>
    <w:p w14:paraId="4C91648C" w14:textId="5BEA1908" w:rsidR="00954473" w:rsidRDefault="00A6491F" w:rsidP="00954473">
      <w:pPr>
        <w:pStyle w:val="IntenseQuote"/>
        <w:rPr>
          <w:b/>
          <w:sz w:val="28"/>
        </w:rPr>
      </w:pPr>
      <w:r>
        <w:rPr>
          <w:b/>
          <w:sz w:val="28"/>
        </w:rPr>
        <w:lastRenderedPageBreak/>
        <w:t>Excluding g</w:t>
      </w:r>
      <w:r w:rsidR="00954473" w:rsidRPr="00FA3025">
        <w:rPr>
          <w:b/>
          <w:sz w:val="28"/>
        </w:rPr>
        <w:t>ifts received in a personal capacity</w:t>
      </w:r>
      <w:r w:rsidR="00954473">
        <w:rPr>
          <w:b/>
          <w:sz w:val="28"/>
        </w:rPr>
        <w:t>: Guidance questions</w:t>
      </w:r>
    </w:p>
    <w:p w14:paraId="00CB3930" w14:textId="77777777" w:rsidR="00954473" w:rsidRDefault="00954473" w:rsidP="00DB759E">
      <w:pPr>
        <w:pStyle w:val="BodyText2-nospacebelow"/>
        <w:numPr>
          <w:ilvl w:val="0"/>
          <w:numId w:val="19"/>
        </w:numPr>
        <w:spacing w:after="120"/>
      </w:pPr>
      <w:r>
        <w:t>Should gifts received in a personal capacity be exempt from disclosure?</w:t>
      </w:r>
    </w:p>
    <w:p w14:paraId="0F5D9040" w14:textId="77777777" w:rsidR="00954473" w:rsidRDefault="00954473" w:rsidP="00DB759E">
      <w:pPr>
        <w:pStyle w:val="BodyText2-nospacebelow"/>
        <w:numPr>
          <w:ilvl w:val="0"/>
          <w:numId w:val="19"/>
        </w:numPr>
        <w:spacing w:after="120"/>
      </w:pPr>
      <w:r>
        <w:t>If yes, how could ‘personal capacity’ be defined?</w:t>
      </w:r>
    </w:p>
    <w:p w14:paraId="5F9B0BAF" w14:textId="4F52C13B" w:rsidR="0020554E" w:rsidRDefault="0020554E" w:rsidP="00DB759E">
      <w:pPr>
        <w:pStyle w:val="BodyText2-nospacebelow"/>
        <w:numPr>
          <w:ilvl w:val="0"/>
          <w:numId w:val="19"/>
        </w:numPr>
        <w:spacing w:after="120"/>
      </w:pPr>
      <w:r>
        <w:t>Should there be any other exemptions from the requirement to disclose a gift over the threshold?</w:t>
      </w:r>
    </w:p>
    <w:p w14:paraId="209A0230" w14:textId="3EB980BD" w:rsidR="0020554E" w:rsidRDefault="0020554E" w:rsidP="00DB759E">
      <w:pPr>
        <w:pStyle w:val="BodyText2-nospacebelow"/>
        <w:numPr>
          <w:ilvl w:val="0"/>
          <w:numId w:val="19"/>
        </w:numPr>
        <w:spacing w:after="120"/>
      </w:pPr>
      <w:r>
        <w:t>If so, what should these be?  Please justify your proposal.</w:t>
      </w:r>
    </w:p>
    <w:p w14:paraId="5B1177A6" w14:textId="77777777" w:rsidR="00CB7E63" w:rsidRPr="003F0EAC" w:rsidRDefault="00CB7E63" w:rsidP="00E82110">
      <w:pPr>
        <w:pStyle w:val="BodyText-nospacebelow"/>
      </w:pPr>
    </w:p>
    <w:p w14:paraId="0B0BA590" w14:textId="5E92DFD4" w:rsidR="003862C8" w:rsidRDefault="003862C8" w:rsidP="003862C8">
      <w:pPr>
        <w:pStyle w:val="IntenseQuote"/>
        <w:rPr>
          <w:b/>
          <w:sz w:val="28"/>
        </w:rPr>
      </w:pPr>
      <w:bookmarkStart w:id="1032" w:name="_Toc486318132"/>
      <w:bookmarkStart w:id="1033" w:name="_Toc486861293"/>
      <w:bookmarkStart w:id="1034" w:name="_Toc486926733"/>
      <w:bookmarkStart w:id="1035" w:name="_Toc487553399"/>
      <w:bookmarkStart w:id="1036" w:name="_Toc487625926"/>
      <w:bookmarkStart w:id="1037" w:name="_Toc487711062"/>
      <w:bookmarkStart w:id="1038" w:name="_Toc487727854"/>
      <w:bookmarkStart w:id="1039" w:name="_Toc487728225"/>
      <w:bookmarkStart w:id="1040" w:name="_Toc491097292"/>
      <w:bookmarkStart w:id="1041" w:name="_Toc491097682"/>
      <w:bookmarkStart w:id="1042" w:name="_Toc491857140"/>
      <w:bookmarkStart w:id="1043" w:name="_Toc491872760"/>
      <w:bookmarkStart w:id="1044" w:name="_Toc491873694"/>
      <w:bookmarkStart w:id="1045" w:name="_Toc491934322"/>
      <w:bookmarkStart w:id="1046" w:name="_Toc492368951"/>
      <w:bookmarkStart w:id="1047" w:name="_Toc492386678"/>
      <w:bookmarkStart w:id="1048" w:name="_Toc492468920"/>
      <w:bookmarkStart w:id="1049" w:name="_Toc492470596"/>
      <w:bookmarkStart w:id="1050" w:name="_Toc492471276"/>
      <w:bookmarkStart w:id="1051" w:name="_Toc492471398"/>
      <w:bookmarkStart w:id="1052" w:name="_Toc493746738"/>
      <w:bookmarkStart w:id="1053" w:name="_Toc493768870"/>
      <w:bookmarkStart w:id="1054" w:name="_Toc493859940"/>
      <w:bookmarkStart w:id="1055" w:name="_Toc495491859"/>
      <w:bookmarkStart w:id="1056" w:name="_Toc495497639"/>
      <w:r>
        <w:rPr>
          <w:b/>
          <w:sz w:val="28"/>
        </w:rPr>
        <w:t>Gifts: Guidance question</w:t>
      </w:r>
    </w:p>
    <w:p w14:paraId="2F20A0D5" w14:textId="58DB4D8B" w:rsidR="00954473" w:rsidRDefault="003862C8" w:rsidP="00DB759E">
      <w:pPr>
        <w:pStyle w:val="BodyText2-nospacebelow"/>
        <w:numPr>
          <w:ilvl w:val="0"/>
          <w:numId w:val="19"/>
        </w:numPr>
        <w:spacing w:after="120"/>
      </w:pPr>
      <w:r>
        <w:rPr>
          <w:lang w:eastAsia="en-AU"/>
        </w:rPr>
        <w:t xml:space="preserve">Do you have any </w:t>
      </w:r>
      <w:r>
        <w:t>other</w:t>
      </w:r>
      <w:r>
        <w:rPr>
          <w:lang w:eastAsia="en-AU"/>
        </w:rPr>
        <w:t xml:space="preserve"> suggestions or comments on this topic?</w:t>
      </w:r>
    </w:p>
    <w:p w14:paraId="4F6A0322" w14:textId="777D0C63" w:rsidR="00954473" w:rsidRDefault="00AE1C3C">
      <w:r>
        <w:br w:type="page"/>
      </w:r>
    </w:p>
    <w:p w14:paraId="3F9B171F" w14:textId="3C66E45A" w:rsidR="00DB4D37" w:rsidRDefault="00DB4D37" w:rsidP="00DB4D37">
      <w:pPr>
        <w:pStyle w:val="Heading1-Formblue"/>
      </w:pPr>
      <w:bookmarkStart w:id="1057" w:name="_Toc495491874"/>
      <w:bookmarkStart w:id="1058" w:name="_Toc495497653"/>
      <w:bookmarkStart w:id="1059" w:name="_Toc495671490"/>
      <w:bookmarkStart w:id="1060" w:name="_Toc495676091"/>
      <w:bookmarkStart w:id="1061" w:name="_Toc495678387"/>
      <w:bookmarkStart w:id="1062" w:name="_Toc495998384"/>
      <w:bookmarkStart w:id="1063" w:name="_Toc497741854"/>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lastRenderedPageBreak/>
        <w:t>Transparency</w:t>
      </w:r>
      <w:bookmarkEnd w:id="934"/>
      <w:bookmarkEnd w:id="935"/>
      <w:bookmarkEnd w:id="936"/>
      <w:bookmarkEnd w:id="1057"/>
      <w:bookmarkEnd w:id="1058"/>
      <w:bookmarkEnd w:id="1059"/>
      <w:bookmarkEnd w:id="1060"/>
      <w:bookmarkEnd w:id="1061"/>
      <w:bookmarkEnd w:id="1062"/>
      <w:bookmarkEnd w:id="1063"/>
    </w:p>
    <w:p w14:paraId="2444FAC4" w14:textId="1C70BB27" w:rsidR="009F02BC" w:rsidRDefault="009F02BC" w:rsidP="00CF276F">
      <w:pPr>
        <w:pStyle w:val="BodyText-nospacebelow"/>
        <w:jc w:val="both"/>
      </w:pPr>
      <w:r>
        <w:t xml:space="preserve">Local governments are required to make a variety of information available as a matter of accountability and transparency. This includes issuing public notices on tenders, advertising annual electors meetings and keeping registers on a </w:t>
      </w:r>
      <w:r w:rsidR="000D35FB">
        <w:t xml:space="preserve">range </w:t>
      </w:r>
      <w:r>
        <w:t>of subjects. Other documents are required to be available for public inspection at the council office during business hours.</w:t>
      </w:r>
    </w:p>
    <w:p w14:paraId="0554E728" w14:textId="77777777" w:rsidR="009F02BC" w:rsidRDefault="009F02BC" w:rsidP="00CF276F">
      <w:pPr>
        <w:pStyle w:val="BodyText-nospacebelow"/>
        <w:jc w:val="both"/>
      </w:pPr>
    </w:p>
    <w:p w14:paraId="2534949E" w14:textId="77777777" w:rsidR="00C7663B" w:rsidRDefault="009F02BC" w:rsidP="00CF276F">
      <w:pPr>
        <w:pStyle w:val="BodyText-nospacebelow"/>
        <w:jc w:val="both"/>
      </w:pPr>
      <w:r>
        <w:t>These requirements have not kept up with technology. In the digital age, people expect to be able to access information when and where they want. For many people, finding a notice in a newspaper is old</w:t>
      </w:r>
      <w:r w:rsidRPr="009F02BC">
        <w:rPr>
          <w:rFonts w:ascii="Cambria Math" w:hAnsi="Cambria Math" w:cs="Cambria Math"/>
        </w:rPr>
        <w:t>‑</w:t>
      </w:r>
      <w:r>
        <w:t xml:space="preserve">fashioned and not easily accessible. </w:t>
      </w:r>
      <w:r w:rsidR="00734712">
        <w:t xml:space="preserve"> In </w:t>
      </w:r>
      <w:r w:rsidR="00C7663B">
        <w:t>fact</w:t>
      </w:r>
      <w:r w:rsidR="00F55F03">
        <w:t>,</w:t>
      </w:r>
      <w:r w:rsidR="00C7663B">
        <w:t xml:space="preserve"> in the Kimberley and other</w:t>
      </w:r>
      <w:r w:rsidR="00734712">
        <w:t xml:space="preserve"> areas of the State, the West Australian</w:t>
      </w:r>
      <w:r w:rsidR="00AB611C">
        <w:t xml:space="preserve"> newspaper</w:t>
      </w:r>
      <w:r w:rsidR="00734712">
        <w:t xml:space="preserve"> is no longer available</w:t>
      </w:r>
      <w:r w:rsidR="00C7663B">
        <w:t xml:space="preserve">. </w:t>
      </w:r>
      <w:r w:rsidR="00734712">
        <w:t xml:space="preserve"> </w:t>
      </w:r>
    </w:p>
    <w:p w14:paraId="6D3635E1" w14:textId="77777777" w:rsidR="00C7663B" w:rsidRDefault="00C7663B" w:rsidP="00CF276F">
      <w:pPr>
        <w:pStyle w:val="BodyText-nospacebelow"/>
        <w:jc w:val="both"/>
      </w:pPr>
    </w:p>
    <w:p w14:paraId="53BDF9B0" w14:textId="0E0D3A53" w:rsidR="009F02BC" w:rsidRDefault="009F02BC" w:rsidP="00CF276F">
      <w:pPr>
        <w:pStyle w:val="BodyText-nospacebelow"/>
        <w:jc w:val="both"/>
      </w:pPr>
      <w:r>
        <w:t xml:space="preserve">All local governments </w:t>
      </w:r>
      <w:r w:rsidR="000D35FB">
        <w:t xml:space="preserve">now </w:t>
      </w:r>
      <w:r>
        <w:t xml:space="preserve">have a website and some have social media accounts. </w:t>
      </w:r>
    </w:p>
    <w:p w14:paraId="3A20C601" w14:textId="77777777" w:rsidR="009F02BC" w:rsidRDefault="009F02BC" w:rsidP="00CF276F">
      <w:pPr>
        <w:pStyle w:val="BodyText-nospacebelow"/>
        <w:jc w:val="both"/>
      </w:pPr>
    </w:p>
    <w:p w14:paraId="1658F1E0" w14:textId="77777777" w:rsidR="009F02BC" w:rsidRDefault="009F02BC" w:rsidP="00CF276F">
      <w:pPr>
        <w:pStyle w:val="BodyText-nospacebelow"/>
        <w:jc w:val="both"/>
      </w:pPr>
      <w:r>
        <w:t>This section examines what changes need to be made to meet current community expectations on information availability.</w:t>
      </w:r>
    </w:p>
    <w:p w14:paraId="6D43EC39" w14:textId="77777777" w:rsidR="009F02BC" w:rsidRDefault="009F02BC" w:rsidP="00CF276F">
      <w:pPr>
        <w:pStyle w:val="BodyText-nospacebelow"/>
        <w:jc w:val="both"/>
      </w:pPr>
    </w:p>
    <w:p w14:paraId="61CA3C58" w14:textId="77777777" w:rsidR="009F02BC" w:rsidRDefault="009F02BC" w:rsidP="009F02BC"/>
    <w:p w14:paraId="2679DCB4" w14:textId="77777777" w:rsidR="00052447" w:rsidRDefault="00052447" w:rsidP="009F02BC">
      <w:pPr>
        <w:rPr>
          <w:rFonts w:eastAsiaTheme="majorEastAsia" w:cs="Arial"/>
          <w:bCs/>
          <w:color w:val="2C5C86"/>
          <w:sz w:val="40"/>
          <w:szCs w:val="40"/>
        </w:rPr>
      </w:pPr>
      <w:r>
        <w:br w:type="page"/>
      </w:r>
    </w:p>
    <w:p w14:paraId="2C14ABFA" w14:textId="77777777" w:rsidR="00DB4D37" w:rsidRDefault="00C25BDE" w:rsidP="00124F78">
      <w:pPr>
        <w:pStyle w:val="Heading1"/>
        <w:numPr>
          <w:ilvl w:val="0"/>
          <w:numId w:val="5"/>
        </w:numPr>
      </w:pPr>
      <w:r>
        <w:lastRenderedPageBreak/>
        <w:t xml:space="preserve"> </w:t>
      </w:r>
      <w:bookmarkStart w:id="1064" w:name="_Toc493746775"/>
      <w:bookmarkStart w:id="1065" w:name="_Toc493768907"/>
      <w:bookmarkStart w:id="1066" w:name="_Toc493859977"/>
      <w:bookmarkStart w:id="1067" w:name="_Toc495491875"/>
      <w:bookmarkStart w:id="1068" w:name="_Toc495497654"/>
      <w:bookmarkStart w:id="1069" w:name="_Toc495671491"/>
      <w:bookmarkStart w:id="1070" w:name="_Toc495676092"/>
      <w:bookmarkStart w:id="1071" w:name="_Toc495678388"/>
      <w:bookmarkStart w:id="1072" w:name="_Toc495998385"/>
      <w:bookmarkStart w:id="1073" w:name="_Toc497741855"/>
      <w:r w:rsidR="00052447">
        <w:t>Access to information</w:t>
      </w:r>
      <w:bookmarkEnd w:id="1064"/>
      <w:bookmarkEnd w:id="1065"/>
      <w:bookmarkEnd w:id="1066"/>
      <w:bookmarkEnd w:id="1067"/>
      <w:bookmarkEnd w:id="1068"/>
      <w:bookmarkEnd w:id="1069"/>
      <w:bookmarkEnd w:id="1070"/>
      <w:bookmarkEnd w:id="1071"/>
      <w:bookmarkEnd w:id="1072"/>
      <w:bookmarkEnd w:id="1073"/>
    </w:p>
    <w:p w14:paraId="30164D58" w14:textId="77777777" w:rsidR="00052447" w:rsidRPr="00052447" w:rsidRDefault="00052447" w:rsidP="00CF276F">
      <w:pPr>
        <w:pStyle w:val="BodyText-nospacebelow"/>
        <w:jc w:val="both"/>
      </w:pPr>
      <w:r w:rsidRPr="00052447">
        <w:t>It is vital that local governments take positive steps to provide information to their communities. T</w:t>
      </w:r>
      <w:r w:rsidR="00417088">
        <w:t>his</w:t>
      </w:r>
      <w:r w:rsidRPr="00052447">
        <w:t xml:space="preserve"> ensures that:</w:t>
      </w:r>
    </w:p>
    <w:p w14:paraId="62A1F34C" w14:textId="0F9C93CE" w:rsidR="00052447" w:rsidRPr="00052447" w:rsidRDefault="00052447" w:rsidP="00CF276F">
      <w:pPr>
        <w:pStyle w:val="BodyText-nospacebelow"/>
        <w:numPr>
          <w:ilvl w:val="0"/>
          <w:numId w:val="63"/>
        </w:numPr>
        <w:jc w:val="both"/>
      </w:pPr>
      <w:r w:rsidRPr="00052447">
        <w:t xml:space="preserve">Local governments operate in a transparent manner; </w:t>
      </w:r>
    </w:p>
    <w:p w14:paraId="79FF8BA3" w14:textId="0F11593B" w:rsidR="00052447" w:rsidRPr="00052447" w:rsidRDefault="00052447" w:rsidP="00CF276F">
      <w:pPr>
        <w:pStyle w:val="BodyText-nospacebelow"/>
        <w:numPr>
          <w:ilvl w:val="0"/>
          <w:numId w:val="63"/>
        </w:numPr>
        <w:jc w:val="both"/>
      </w:pPr>
      <w:r w:rsidRPr="00052447">
        <w:t xml:space="preserve">Residents are sufficiently engaged in </w:t>
      </w:r>
      <w:r w:rsidR="00417088">
        <w:t>community</w:t>
      </w:r>
      <w:r w:rsidR="00417088" w:rsidRPr="00052447">
        <w:t xml:space="preserve"> </w:t>
      </w:r>
      <w:r w:rsidRPr="00052447">
        <w:t>affairs; and</w:t>
      </w:r>
    </w:p>
    <w:p w14:paraId="5B9CF508" w14:textId="77777777" w:rsidR="00052447" w:rsidRPr="00052447" w:rsidRDefault="00052447" w:rsidP="00CF276F">
      <w:pPr>
        <w:pStyle w:val="BodyText-nospacebelow"/>
        <w:numPr>
          <w:ilvl w:val="0"/>
          <w:numId w:val="63"/>
        </w:numPr>
        <w:jc w:val="both"/>
      </w:pPr>
      <w:r w:rsidRPr="00052447">
        <w:t>The public recognises the work and service that local governments provide to the community.</w:t>
      </w:r>
    </w:p>
    <w:p w14:paraId="2F7127D2" w14:textId="77777777" w:rsidR="00052447" w:rsidRPr="00052447" w:rsidRDefault="00052447" w:rsidP="00CF276F">
      <w:pPr>
        <w:pStyle w:val="BodyText-nospacebelow"/>
        <w:jc w:val="both"/>
      </w:pPr>
    </w:p>
    <w:p w14:paraId="23117D0E" w14:textId="77777777" w:rsidR="00052447" w:rsidRPr="00052447" w:rsidRDefault="00052447" w:rsidP="00CF276F">
      <w:pPr>
        <w:pStyle w:val="BodyText-nospacebelow"/>
        <w:jc w:val="both"/>
      </w:pPr>
      <w:r w:rsidRPr="00052447">
        <w:t>The Act provides many situations where local governments must provide information to the community. This includes issuing public notices, keeping registers on a variety of subjects and making certain documents available for public inspection.</w:t>
      </w:r>
    </w:p>
    <w:p w14:paraId="70F74CC9" w14:textId="77777777" w:rsidR="00417088" w:rsidRDefault="00417088" w:rsidP="00CF276F">
      <w:pPr>
        <w:pStyle w:val="BodyText-nospacebelow"/>
        <w:jc w:val="both"/>
      </w:pPr>
    </w:p>
    <w:p w14:paraId="5A49BEE4" w14:textId="77777777" w:rsidR="00052447" w:rsidRPr="009F02BC" w:rsidRDefault="00052447" w:rsidP="00CF276F">
      <w:pPr>
        <w:pStyle w:val="BodyText-nospacebelow"/>
        <w:jc w:val="both"/>
      </w:pPr>
      <w:r w:rsidRPr="009F02BC">
        <w:t xml:space="preserve">Access to technology has changed the way that information is shared, received and discovered. Current trends indicate that people are turning away from traditional print media in favour of the internet and social media. </w:t>
      </w:r>
    </w:p>
    <w:p w14:paraId="5A2D250A" w14:textId="77777777" w:rsidR="00052447" w:rsidRPr="009F02BC" w:rsidRDefault="00052447" w:rsidP="00CF276F">
      <w:pPr>
        <w:pStyle w:val="BodyText-nospacebelow"/>
        <w:jc w:val="both"/>
      </w:pPr>
    </w:p>
    <w:p w14:paraId="10F2E646" w14:textId="77777777" w:rsidR="00052447" w:rsidRPr="0018386D" w:rsidRDefault="00052447" w:rsidP="00CF276F">
      <w:pPr>
        <w:pStyle w:val="BodyText-nospacebelow"/>
        <w:jc w:val="both"/>
        <w:rPr>
          <w:i/>
        </w:rPr>
      </w:pPr>
      <w:r w:rsidRPr="009F02BC">
        <w:t>This shift in information consumption has significantly reduced the impact of the print notices required by the Act. It has also brought into question the practice of keeping physical documents available for inspection, which requires a person to attend the local government’s offices during business hours</w:t>
      </w:r>
      <w:r w:rsidRPr="0018386D">
        <w:rPr>
          <w:i/>
        </w:rPr>
        <w:t>.</w:t>
      </w:r>
    </w:p>
    <w:p w14:paraId="5178C5A6" w14:textId="77777777" w:rsidR="00052447" w:rsidRPr="00052447" w:rsidRDefault="00052447" w:rsidP="00CF276F">
      <w:pPr>
        <w:pStyle w:val="BodyText-nospacebelow"/>
        <w:jc w:val="both"/>
      </w:pPr>
    </w:p>
    <w:p w14:paraId="21435051" w14:textId="77777777" w:rsidR="00052447" w:rsidRPr="00052447" w:rsidRDefault="00052447" w:rsidP="00CF276F">
      <w:pPr>
        <w:pStyle w:val="BodyText-nospacebelow"/>
        <w:jc w:val="both"/>
      </w:pPr>
      <w:r w:rsidRPr="00052447">
        <w:t>It is difficult to justify the cost and inconvenience of continuing these practices when the same information could be made available electronically. In addition to being cheaper, electronic disclosure has the potential to be more accessible and convenient.</w:t>
      </w:r>
    </w:p>
    <w:p w14:paraId="2E6CF331" w14:textId="77777777" w:rsidR="00052447" w:rsidRPr="00052447" w:rsidRDefault="00052447" w:rsidP="00CF276F">
      <w:pPr>
        <w:pStyle w:val="BodyText-nospacebelow"/>
        <w:jc w:val="both"/>
      </w:pPr>
    </w:p>
    <w:p w14:paraId="24BA6862" w14:textId="77777777" w:rsidR="00052447" w:rsidRPr="00052447" w:rsidRDefault="00052447" w:rsidP="00CF276F">
      <w:pPr>
        <w:pStyle w:val="BodyText-nospacebelow"/>
        <w:spacing w:after="120"/>
        <w:jc w:val="both"/>
      </w:pPr>
      <w:r w:rsidRPr="00052447">
        <w:t>All other jurisdictions in Australia have addressed this issue by amending their legislation to account for new technology. The particular approach differs from State to State, but each jurisdiction now provides for:</w:t>
      </w:r>
    </w:p>
    <w:p w14:paraId="1E433951" w14:textId="552DACA0" w:rsidR="00052447" w:rsidRPr="00052447" w:rsidRDefault="00EC0439" w:rsidP="00CF276F">
      <w:pPr>
        <w:pStyle w:val="BodyText-nospacebelow"/>
        <w:numPr>
          <w:ilvl w:val="0"/>
          <w:numId w:val="64"/>
        </w:numPr>
        <w:jc w:val="both"/>
      </w:pPr>
      <w:r>
        <w:t>t</w:t>
      </w:r>
      <w:r w:rsidR="00052447" w:rsidRPr="00052447">
        <w:t>he operation of local government websites;</w:t>
      </w:r>
    </w:p>
    <w:p w14:paraId="13FA975E" w14:textId="4A9FF26E" w:rsidR="00052447" w:rsidRPr="00052447" w:rsidRDefault="00EC0439" w:rsidP="00CF276F">
      <w:pPr>
        <w:pStyle w:val="BodyText-nospacebelow"/>
        <w:numPr>
          <w:ilvl w:val="0"/>
          <w:numId w:val="64"/>
        </w:numPr>
        <w:jc w:val="both"/>
      </w:pPr>
      <w:r>
        <w:t>t</w:t>
      </w:r>
      <w:r w:rsidR="00052447" w:rsidRPr="00052447">
        <w:t>he issuing of electronic notices; and</w:t>
      </w:r>
    </w:p>
    <w:p w14:paraId="0F8DBACE" w14:textId="5ACA12CC" w:rsidR="00052447" w:rsidRPr="00052447" w:rsidRDefault="00EC0439" w:rsidP="00CF276F">
      <w:pPr>
        <w:pStyle w:val="BodyText-nospacebelow"/>
        <w:numPr>
          <w:ilvl w:val="0"/>
          <w:numId w:val="64"/>
        </w:numPr>
        <w:jc w:val="both"/>
      </w:pPr>
      <w:r>
        <w:t>o</w:t>
      </w:r>
      <w:r w:rsidR="00052447" w:rsidRPr="00052447">
        <w:t>nline access to public documents.</w:t>
      </w:r>
    </w:p>
    <w:p w14:paraId="4B443984" w14:textId="77777777" w:rsidR="00052447" w:rsidRPr="00052447" w:rsidRDefault="00052447" w:rsidP="00CF276F">
      <w:pPr>
        <w:pStyle w:val="BodyText-nospacebelow"/>
        <w:jc w:val="both"/>
      </w:pPr>
    </w:p>
    <w:p w14:paraId="135F5E23" w14:textId="77777777" w:rsidR="00052447" w:rsidRDefault="00052447" w:rsidP="00CF276F">
      <w:pPr>
        <w:pStyle w:val="BodyText-nospacebelow"/>
        <w:jc w:val="both"/>
      </w:pPr>
      <w:r w:rsidRPr="00052447">
        <w:t>Western Australia is the only jurisdiction that has yet to follow suit. The Act is generally silent on electronic disclosure and local governments have been left to address this issue themselves.</w:t>
      </w:r>
    </w:p>
    <w:p w14:paraId="4CAB2EBE" w14:textId="77777777" w:rsidR="00052447" w:rsidRPr="00052447" w:rsidRDefault="00052447" w:rsidP="00CF276F">
      <w:pPr>
        <w:pStyle w:val="BodyText-nospacebelow"/>
        <w:jc w:val="both"/>
      </w:pPr>
    </w:p>
    <w:p w14:paraId="5E2D1A8B" w14:textId="77777777" w:rsidR="00052447" w:rsidRPr="00052447" w:rsidRDefault="00052447" w:rsidP="00CF276F">
      <w:pPr>
        <w:pStyle w:val="BodyText-nospacebelow"/>
        <w:jc w:val="both"/>
      </w:pPr>
      <w:r w:rsidRPr="00052447">
        <w:lastRenderedPageBreak/>
        <w:t xml:space="preserve">As a result, the review is considering how the Act should account for electronic disclosure and what approach is the most appropriate. </w:t>
      </w:r>
    </w:p>
    <w:p w14:paraId="03603971" w14:textId="77777777" w:rsidR="00052447" w:rsidRDefault="00052447" w:rsidP="00CF276F">
      <w:pPr>
        <w:jc w:val="both"/>
      </w:pPr>
    </w:p>
    <w:p w14:paraId="288B1256" w14:textId="77777777" w:rsidR="00052447" w:rsidRDefault="00052447" w:rsidP="00CF276F">
      <w:pPr>
        <w:pStyle w:val="BodyText2-nospacebelow"/>
        <w:jc w:val="both"/>
      </w:pPr>
    </w:p>
    <w:p w14:paraId="7A4B3266" w14:textId="77777777" w:rsidR="00052447" w:rsidRDefault="00052447" w:rsidP="00CF276F">
      <w:pPr>
        <w:pStyle w:val="Heading2"/>
        <w:numPr>
          <w:ilvl w:val="1"/>
          <w:numId w:val="65"/>
        </w:numPr>
        <w:jc w:val="both"/>
      </w:pPr>
      <w:bookmarkStart w:id="1074" w:name="_Toc493746780"/>
      <w:bookmarkStart w:id="1075" w:name="_Toc493768912"/>
      <w:bookmarkStart w:id="1076" w:name="_Toc493859982"/>
      <w:bookmarkStart w:id="1077" w:name="_Toc495491880"/>
      <w:bookmarkStart w:id="1078" w:name="_Toc495497659"/>
      <w:bookmarkStart w:id="1079" w:name="_Toc495671493"/>
      <w:bookmarkStart w:id="1080" w:name="_Toc495676094"/>
      <w:bookmarkStart w:id="1081" w:name="_Toc495678389"/>
      <w:bookmarkStart w:id="1082" w:name="_Toc495998386"/>
      <w:bookmarkStart w:id="1083" w:name="_Toc497741856"/>
      <w:r>
        <w:t>Public notices</w:t>
      </w:r>
      <w:bookmarkEnd w:id="1074"/>
      <w:bookmarkEnd w:id="1075"/>
      <w:bookmarkEnd w:id="1076"/>
      <w:bookmarkEnd w:id="1077"/>
      <w:bookmarkEnd w:id="1078"/>
      <w:bookmarkEnd w:id="1079"/>
      <w:bookmarkEnd w:id="1080"/>
      <w:bookmarkEnd w:id="1081"/>
      <w:bookmarkEnd w:id="1082"/>
      <w:bookmarkEnd w:id="1083"/>
    </w:p>
    <w:p w14:paraId="31D965FF" w14:textId="77777777" w:rsidR="00052447" w:rsidRPr="00052447" w:rsidRDefault="00052447" w:rsidP="00CF276F">
      <w:pPr>
        <w:pStyle w:val="BodyText-nospacebelow"/>
        <w:jc w:val="both"/>
        <w:rPr>
          <w:lang w:eastAsia="en-AU"/>
        </w:rPr>
      </w:pPr>
      <w:r>
        <w:rPr>
          <w:lang w:eastAsia="en-AU"/>
        </w:rPr>
        <w:t>T</w:t>
      </w:r>
      <w:r w:rsidRPr="00052447">
        <w:rPr>
          <w:lang w:eastAsia="en-AU"/>
        </w:rPr>
        <w:t>he Act requires local governments to provide public notice to the community in a variety of circumstances.</w:t>
      </w:r>
      <w:r w:rsidR="003E4228">
        <w:rPr>
          <w:lang w:eastAsia="en-AU"/>
        </w:rPr>
        <w:t xml:space="preserve"> </w:t>
      </w:r>
      <w:r w:rsidRPr="00052447">
        <w:rPr>
          <w:lang w:eastAsia="en-AU"/>
        </w:rPr>
        <w:t xml:space="preserve"> </w:t>
      </w:r>
      <w:r w:rsidR="003E4228" w:rsidRPr="00052447">
        <w:rPr>
          <w:lang w:eastAsia="en-AU"/>
        </w:rPr>
        <w:t xml:space="preserve">The </w:t>
      </w:r>
      <w:r w:rsidRPr="00052447">
        <w:rPr>
          <w:lang w:eastAsia="en-AU"/>
        </w:rPr>
        <w:t>Act specifies two forms of notice:</w:t>
      </w:r>
    </w:p>
    <w:p w14:paraId="7C2AB3B0" w14:textId="2608E6F7" w:rsidR="00052447" w:rsidRPr="00052447" w:rsidRDefault="00052447" w:rsidP="00CF276F">
      <w:pPr>
        <w:pStyle w:val="BodyText-nospacebelow"/>
        <w:numPr>
          <w:ilvl w:val="0"/>
          <w:numId w:val="66"/>
        </w:numPr>
        <w:jc w:val="both"/>
        <w:rPr>
          <w:lang w:eastAsia="en-AU"/>
        </w:rPr>
      </w:pPr>
      <w:r w:rsidRPr="00052447">
        <w:rPr>
          <w:lang w:eastAsia="en-AU"/>
        </w:rPr>
        <w:t>written notice in a newspaper circulating in the district (“local notice”); and</w:t>
      </w:r>
    </w:p>
    <w:p w14:paraId="0D3C4ECB" w14:textId="77777777" w:rsidR="00052447" w:rsidRDefault="00052447" w:rsidP="00CF276F">
      <w:pPr>
        <w:pStyle w:val="BodyText-nospacebelow"/>
        <w:numPr>
          <w:ilvl w:val="0"/>
          <w:numId w:val="66"/>
        </w:numPr>
        <w:jc w:val="both"/>
        <w:rPr>
          <w:lang w:eastAsia="en-AU"/>
        </w:rPr>
      </w:pPr>
      <w:r w:rsidRPr="00052447">
        <w:rPr>
          <w:lang w:eastAsia="en-AU"/>
        </w:rPr>
        <w:t>written notice in a newspaper circulating in the State (“state-wide notice”).</w:t>
      </w:r>
    </w:p>
    <w:p w14:paraId="5DA76BEE" w14:textId="77777777" w:rsidR="00052447" w:rsidRPr="00052447" w:rsidRDefault="00052447" w:rsidP="00CF276F">
      <w:pPr>
        <w:pStyle w:val="BodyText-nospacebelow"/>
        <w:ind w:left="720"/>
        <w:jc w:val="both"/>
        <w:rPr>
          <w:lang w:eastAsia="en-AU"/>
        </w:rPr>
      </w:pPr>
    </w:p>
    <w:p w14:paraId="7AE46D69" w14:textId="6C306C5B" w:rsidR="00052447" w:rsidRDefault="00052447" w:rsidP="00CF276F">
      <w:pPr>
        <w:pStyle w:val="BodyText-nospacebelow"/>
        <w:jc w:val="both"/>
        <w:rPr>
          <w:lang w:eastAsia="en-AU"/>
        </w:rPr>
      </w:pPr>
      <w:r w:rsidRPr="00052447">
        <w:rPr>
          <w:lang w:eastAsia="en-AU"/>
        </w:rPr>
        <w:t>The Act requires public notices to be issued in many situations. A complete list of the not</w:t>
      </w:r>
      <w:r w:rsidR="00C84942">
        <w:rPr>
          <w:lang w:eastAsia="en-AU"/>
        </w:rPr>
        <w:t>ices required by the Act is listed at the end of this section as supplementary information-Pubic notices.</w:t>
      </w:r>
    </w:p>
    <w:p w14:paraId="28466130" w14:textId="77777777" w:rsidR="00052447" w:rsidRPr="00052447" w:rsidRDefault="00052447" w:rsidP="00CF276F">
      <w:pPr>
        <w:pStyle w:val="BodyText-nospacebelow"/>
        <w:jc w:val="both"/>
        <w:rPr>
          <w:lang w:eastAsia="en-AU"/>
        </w:rPr>
      </w:pPr>
    </w:p>
    <w:p w14:paraId="2F0B34A6" w14:textId="77777777" w:rsidR="00052447" w:rsidRDefault="00052447" w:rsidP="00CF276F">
      <w:pPr>
        <w:pStyle w:val="BodyText-nospacebelow"/>
        <w:jc w:val="both"/>
        <w:rPr>
          <w:lang w:eastAsia="en-AU"/>
        </w:rPr>
      </w:pPr>
      <w:r w:rsidRPr="00052447">
        <w:rPr>
          <w:lang w:eastAsia="en-AU"/>
        </w:rPr>
        <w:t xml:space="preserve">The introduction of electronic notices on local government websites would have a number of positive benefits, but also </w:t>
      </w:r>
      <w:r w:rsidR="003E4228">
        <w:rPr>
          <w:lang w:eastAsia="en-AU"/>
        </w:rPr>
        <w:t>have</w:t>
      </w:r>
      <w:r w:rsidRPr="00052447">
        <w:rPr>
          <w:lang w:eastAsia="en-AU"/>
        </w:rPr>
        <w:t xml:space="preserve"> a number of drawbacks. These impacts are summarised below:</w:t>
      </w:r>
    </w:p>
    <w:p w14:paraId="5BEF7F59" w14:textId="77777777" w:rsidR="003E4228" w:rsidRPr="00052447" w:rsidRDefault="003E4228" w:rsidP="00052447">
      <w:pPr>
        <w:pStyle w:val="BodyText-nospacebelow"/>
        <w:rPr>
          <w:lang w:eastAsia="en-AU"/>
        </w:rPr>
      </w:pPr>
    </w:p>
    <w:tbl>
      <w:tblPr>
        <w:tblStyle w:val="DLGCTable-Data"/>
        <w:tblW w:w="9067" w:type="dxa"/>
        <w:tblLook w:val="04A0" w:firstRow="1" w:lastRow="0" w:firstColumn="1" w:lastColumn="0" w:noHBand="0" w:noVBand="1"/>
      </w:tblPr>
      <w:tblGrid>
        <w:gridCol w:w="4531"/>
        <w:gridCol w:w="4536"/>
      </w:tblGrid>
      <w:tr w:rsidR="00052447" w:rsidRPr="00052447" w14:paraId="1E6276FD" w14:textId="77777777" w:rsidTr="00C25BDE">
        <w:trPr>
          <w:cnfStyle w:val="100000000000" w:firstRow="1" w:lastRow="0" w:firstColumn="0" w:lastColumn="0" w:oddVBand="0" w:evenVBand="0" w:oddHBand="0" w:evenHBand="0" w:firstRowFirstColumn="0" w:firstRowLastColumn="0" w:lastRowFirstColumn="0" w:lastRowLastColumn="0"/>
        </w:trPr>
        <w:tc>
          <w:tcPr>
            <w:tcW w:w="4531" w:type="dxa"/>
          </w:tcPr>
          <w:p w14:paraId="0DF55845" w14:textId="77777777" w:rsidR="00052447" w:rsidRPr="00052447" w:rsidRDefault="00052447" w:rsidP="00AE1F49">
            <w:pPr>
              <w:pStyle w:val="BodyText-nospacebelow"/>
              <w:spacing w:after="100"/>
              <w:rPr>
                <w:lang w:eastAsia="en-AU"/>
              </w:rPr>
            </w:pPr>
            <w:bookmarkStart w:id="1084" w:name="_Toc485031792"/>
            <w:r w:rsidRPr="00052447">
              <w:rPr>
                <w:lang w:eastAsia="en-AU"/>
              </w:rPr>
              <w:t>Benefits of electronic notice</w:t>
            </w:r>
          </w:p>
        </w:tc>
        <w:tc>
          <w:tcPr>
            <w:tcW w:w="4536" w:type="dxa"/>
          </w:tcPr>
          <w:p w14:paraId="184807DD" w14:textId="77777777" w:rsidR="00052447" w:rsidRPr="00052447" w:rsidRDefault="00052447" w:rsidP="00AE1F49">
            <w:pPr>
              <w:pStyle w:val="BodyText-nospacebelow"/>
              <w:spacing w:after="100"/>
              <w:rPr>
                <w:lang w:eastAsia="en-AU"/>
              </w:rPr>
            </w:pPr>
            <w:r w:rsidRPr="00052447">
              <w:rPr>
                <w:lang w:eastAsia="en-AU"/>
              </w:rPr>
              <w:t>Drawback of electronic notice</w:t>
            </w:r>
          </w:p>
        </w:tc>
      </w:tr>
      <w:tr w:rsidR="00052447" w:rsidRPr="00052447" w14:paraId="08DBA60F" w14:textId="77777777" w:rsidTr="00C25BDE">
        <w:trPr>
          <w:trHeight w:val="1161"/>
        </w:trPr>
        <w:tc>
          <w:tcPr>
            <w:tcW w:w="4531" w:type="dxa"/>
          </w:tcPr>
          <w:p w14:paraId="427B893F" w14:textId="2CE7E866" w:rsidR="00052447" w:rsidRPr="00052447" w:rsidRDefault="00C84942" w:rsidP="00AE1F49">
            <w:pPr>
              <w:pStyle w:val="BodyText-nospacebelow"/>
              <w:spacing w:after="100" w:line="276" w:lineRule="auto"/>
              <w:ind w:left="0" w:right="0"/>
              <w:rPr>
                <w:lang w:eastAsia="en-AU"/>
              </w:rPr>
            </w:pPr>
            <w:r>
              <w:rPr>
                <w:lang w:eastAsia="en-AU"/>
              </w:rPr>
              <w:t>Cheaper than print media</w:t>
            </w:r>
          </w:p>
          <w:p w14:paraId="184D1EB7" w14:textId="6CB222A7" w:rsidR="00052447" w:rsidRPr="00052447" w:rsidRDefault="00052447" w:rsidP="00AE1F49">
            <w:pPr>
              <w:pStyle w:val="BodyText-nospacebelow"/>
              <w:spacing w:after="100" w:line="276" w:lineRule="auto"/>
              <w:ind w:left="0" w:right="0"/>
              <w:rPr>
                <w:lang w:eastAsia="en-AU"/>
              </w:rPr>
            </w:pPr>
            <w:r w:rsidRPr="00052447">
              <w:rPr>
                <w:lang w:eastAsia="en-AU"/>
              </w:rPr>
              <w:t>Doesn’t require the services of an external publisher</w:t>
            </w:r>
          </w:p>
          <w:p w14:paraId="61A00A60" w14:textId="51EE2071" w:rsidR="00052447" w:rsidRPr="00052447" w:rsidRDefault="00052447" w:rsidP="00AE1F49">
            <w:pPr>
              <w:pStyle w:val="BodyText-nospacebelow"/>
              <w:spacing w:after="100" w:line="276" w:lineRule="auto"/>
              <w:ind w:left="0" w:right="0"/>
              <w:rPr>
                <w:lang w:eastAsia="en-AU"/>
              </w:rPr>
            </w:pPr>
            <w:r w:rsidRPr="00052447">
              <w:rPr>
                <w:lang w:eastAsia="en-AU"/>
              </w:rPr>
              <w:t>Accessible and convenient for the general population</w:t>
            </w:r>
          </w:p>
          <w:p w14:paraId="53BAF20B" w14:textId="4F09478B" w:rsidR="00052447" w:rsidRPr="00052447" w:rsidRDefault="00052447" w:rsidP="00AE1F49">
            <w:pPr>
              <w:pStyle w:val="BodyText-nospacebelow"/>
              <w:spacing w:after="100" w:line="276" w:lineRule="auto"/>
              <w:ind w:left="0" w:right="0"/>
              <w:rPr>
                <w:lang w:eastAsia="en-AU"/>
              </w:rPr>
            </w:pPr>
            <w:r w:rsidRPr="00052447">
              <w:rPr>
                <w:lang w:eastAsia="en-AU"/>
              </w:rPr>
              <w:t xml:space="preserve">Available to be viewed from any location </w:t>
            </w:r>
            <w:r w:rsidR="00417088">
              <w:rPr>
                <w:lang w:eastAsia="en-AU"/>
              </w:rPr>
              <w:t>with internet access</w:t>
            </w:r>
          </w:p>
          <w:p w14:paraId="45E482C9" w14:textId="14B934A3" w:rsidR="00052447" w:rsidRPr="00052447" w:rsidRDefault="00052447" w:rsidP="00AE1F49">
            <w:pPr>
              <w:pStyle w:val="BodyText-nospacebelow"/>
              <w:spacing w:after="100" w:line="276" w:lineRule="auto"/>
              <w:ind w:left="0" w:right="0"/>
              <w:rPr>
                <w:lang w:eastAsia="en-AU"/>
              </w:rPr>
            </w:pPr>
            <w:r w:rsidRPr="00052447">
              <w:rPr>
                <w:lang w:eastAsia="en-AU"/>
              </w:rPr>
              <w:t>Can operate in conjunction with accessibility software</w:t>
            </w:r>
          </w:p>
          <w:p w14:paraId="6A7A3D59" w14:textId="2B6945F8" w:rsidR="00052447" w:rsidRPr="00052447" w:rsidRDefault="00052447" w:rsidP="00AE1F49">
            <w:pPr>
              <w:pStyle w:val="BodyText-nospacebelow"/>
              <w:spacing w:after="100" w:line="276" w:lineRule="auto"/>
              <w:ind w:left="0" w:right="0"/>
              <w:rPr>
                <w:lang w:eastAsia="en-AU"/>
              </w:rPr>
            </w:pPr>
            <w:r w:rsidRPr="00052447">
              <w:rPr>
                <w:lang w:eastAsia="en-AU"/>
              </w:rPr>
              <w:t>Modernises sector standards for local governments</w:t>
            </w:r>
          </w:p>
        </w:tc>
        <w:tc>
          <w:tcPr>
            <w:tcW w:w="4536" w:type="dxa"/>
          </w:tcPr>
          <w:p w14:paraId="6E90617C" w14:textId="0071EC1A" w:rsidR="00052447" w:rsidRPr="00052447" w:rsidRDefault="00052447" w:rsidP="00AE1F49">
            <w:pPr>
              <w:pStyle w:val="BodyText-nospacebelow"/>
              <w:spacing w:after="100" w:line="276" w:lineRule="auto"/>
              <w:ind w:left="0" w:right="0"/>
              <w:rPr>
                <w:lang w:eastAsia="en-AU"/>
              </w:rPr>
            </w:pPr>
            <w:r w:rsidRPr="00052447">
              <w:rPr>
                <w:lang w:eastAsia="en-AU"/>
              </w:rPr>
              <w:t>Increased IT costs</w:t>
            </w:r>
          </w:p>
          <w:p w14:paraId="33F8D04D" w14:textId="257DE1B9" w:rsidR="00052447" w:rsidRPr="00052447" w:rsidRDefault="00052447" w:rsidP="00AE1F49">
            <w:pPr>
              <w:pStyle w:val="BodyText-nospacebelow"/>
              <w:spacing w:after="100" w:line="276" w:lineRule="auto"/>
              <w:ind w:left="0" w:right="0"/>
              <w:rPr>
                <w:lang w:eastAsia="en-AU"/>
              </w:rPr>
            </w:pPr>
            <w:r w:rsidRPr="00052447">
              <w:rPr>
                <w:lang w:eastAsia="en-AU"/>
              </w:rPr>
              <w:t>Requires IT skills provided internally or via a contractor</w:t>
            </w:r>
          </w:p>
          <w:p w14:paraId="6B5BF65B" w14:textId="55387EE7" w:rsidR="00052447" w:rsidRPr="00052447" w:rsidRDefault="00052447" w:rsidP="00AE1F49">
            <w:pPr>
              <w:pStyle w:val="BodyText-nospacebelow"/>
              <w:spacing w:after="100" w:line="276" w:lineRule="auto"/>
              <w:ind w:left="0" w:right="0"/>
              <w:rPr>
                <w:lang w:eastAsia="en-AU"/>
              </w:rPr>
            </w:pPr>
            <w:r w:rsidRPr="00052447">
              <w:rPr>
                <w:lang w:eastAsia="en-AU"/>
              </w:rPr>
              <w:t xml:space="preserve">Inconvenient for people who lack internet access </w:t>
            </w:r>
          </w:p>
          <w:p w14:paraId="4206FFD6" w14:textId="3E313E5D" w:rsidR="00052447" w:rsidRPr="00052447" w:rsidRDefault="00052447" w:rsidP="00AE1F49">
            <w:pPr>
              <w:pStyle w:val="BodyText-nospacebelow"/>
              <w:spacing w:after="100" w:line="276" w:lineRule="auto"/>
              <w:ind w:left="0" w:right="0"/>
              <w:rPr>
                <w:lang w:eastAsia="en-AU"/>
              </w:rPr>
            </w:pPr>
            <w:r w:rsidRPr="00052447">
              <w:rPr>
                <w:lang w:eastAsia="en-AU"/>
              </w:rPr>
              <w:t>Unlikely to be viewed by people outside the district</w:t>
            </w:r>
          </w:p>
          <w:p w14:paraId="21919B79" w14:textId="781A4EA9" w:rsidR="00052447" w:rsidRPr="00052447" w:rsidRDefault="00052447" w:rsidP="00AE1F49">
            <w:pPr>
              <w:pStyle w:val="BodyText-nospacebelow"/>
              <w:spacing w:after="100" w:line="276" w:lineRule="auto"/>
              <w:ind w:left="0" w:right="0"/>
              <w:rPr>
                <w:lang w:eastAsia="en-AU"/>
              </w:rPr>
            </w:pPr>
            <w:r w:rsidRPr="00052447">
              <w:rPr>
                <w:lang w:eastAsia="en-AU"/>
              </w:rPr>
              <w:t>May not be accessible for certain demographics</w:t>
            </w:r>
          </w:p>
          <w:p w14:paraId="6A06258E" w14:textId="3BC76BF8" w:rsidR="00052447" w:rsidRPr="00052447" w:rsidRDefault="00052447" w:rsidP="00AE1F49">
            <w:pPr>
              <w:pStyle w:val="BodyText-nospacebelow"/>
              <w:spacing w:after="100" w:line="276" w:lineRule="auto"/>
              <w:ind w:left="0" w:right="0"/>
              <w:rPr>
                <w:lang w:eastAsia="en-AU"/>
              </w:rPr>
            </w:pPr>
            <w:r w:rsidRPr="00052447">
              <w:rPr>
                <w:lang w:eastAsia="en-AU"/>
              </w:rPr>
              <w:t>Makes local governments more dependent on website operations</w:t>
            </w:r>
          </w:p>
        </w:tc>
      </w:tr>
    </w:tbl>
    <w:p w14:paraId="6D7E4F62" w14:textId="77777777" w:rsidR="00052447" w:rsidRPr="00052447" w:rsidRDefault="00052447" w:rsidP="00052447">
      <w:pPr>
        <w:pStyle w:val="BodyText-nospacebelow"/>
        <w:rPr>
          <w:lang w:eastAsia="en-AU"/>
        </w:rPr>
      </w:pPr>
    </w:p>
    <w:p w14:paraId="21B85CD0" w14:textId="10D74709" w:rsidR="00052447" w:rsidRDefault="00052447" w:rsidP="00CF276F">
      <w:pPr>
        <w:pStyle w:val="BodyText-nospacebelow"/>
        <w:jc w:val="both"/>
        <w:rPr>
          <w:lang w:eastAsia="en-AU"/>
        </w:rPr>
      </w:pPr>
      <w:r w:rsidRPr="00052447">
        <w:rPr>
          <w:lang w:eastAsia="en-AU"/>
        </w:rPr>
        <w:t>The ultimate effect that electronic notice</w:t>
      </w:r>
      <w:r w:rsidR="00C84942">
        <w:rPr>
          <w:lang w:eastAsia="en-AU"/>
        </w:rPr>
        <w:t>s</w:t>
      </w:r>
      <w:r w:rsidRPr="00052447">
        <w:rPr>
          <w:lang w:eastAsia="en-AU"/>
        </w:rPr>
        <w:t xml:space="preserve"> will have on the sector depends on the role that these notices will play in legislation. </w:t>
      </w:r>
    </w:p>
    <w:p w14:paraId="38CD54EE" w14:textId="77777777" w:rsidR="00052447" w:rsidRPr="00052447" w:rsidRDefault="00052447" w:rsidP="00CF276F">
      <w:pPr>
        <w:pStyle w:val="BodyText-nospacebelow"/>
        <w:jc w:val="both"/>
        <w:rPr>
          <w:lang w:eastAsia="en-AU"/>
        </w:rPr>
      </w:pPr>
    </w:p>
    <w:p w14:paraId="383FFF3C" w14:textId="77777777" w:rsidR="00052447" w:rsidRPr="00052447" w:rsidRDefault="00052447" w:rsidP="00CF276F">
      <w:pPr>
        <w:pStyle w:val="BodyText-nospacebelow"/>
        <w:jc w:val="both"/>
        <w:rPr>
          <w:lang w:eastAsia="en-AU"/>
        </w:rPr>
      </w:pPr>
      <w:r w:rsidRPr="00052447">
        <w:rPr>
          <w:lang w:eastAsia="en-AU"/>
        </w:rPr>
        <w:t>For example:</w:t>
      </w:r>
    </w:p>
    <w:p w14:paraId="0A2F734C" w14:textId="77777777" w:rsidR="00052447" w:rsidRPr="00052447" w:rsidRDefault="00052447" w:rsidP="00CF276F">
      <w:pPr>
        <w:pStyle w:val="BodyText-nospacebelow"/>
        <w:numPr>
          <w:ilvl w:val="0"/>
          <w:numId w:val="67"/>
        </w:numPr>
        <w:jc w:val="both"/>
        <w:rPr>
          <w:lang w:eastAsia="en-AU"/>
        </w:rPr>
      </w:pPr>
      <w:r w:rsidRPr="00052447">
        <w:rPr>
          <w:lang w:eastAsia="en-AU"/>
        </w:rPr>
        <w:lastRenderedPageBreak/>
        <w:t xml:space="preserve">If </w:t>
      </w:r>
      <w:r w:rsidR="00F239C6">
        <w:rPr>
          <w:lang w:eastAsia="en-AU"/>
        </w:rPr>
        <w:t xml:space="preserve">an </w:t>
      </w:r>
      <w:r w:rsidRPr="00052447">
        <w:rPr>
          <w:lang w:eastAsia="en-AU"/>
        </w:rPr>
        <w:t xml:space="preserve">electronic notice </w:t>
      </w:r>
      <w:r w:rsidR="00F239C6">
        <w:rPr>
          <w:lang w:eastAsia="en-AU"/>
        </w:rPr>
        <w:t>were</w:t>
      </w:r>
      <w:r w:rsidR="00F239C6" w:rsidRPr="00052447">
        <w:rPr>
          <w:lang w:eastAsia="en-AU"/>
        </w:rPr>
        <w:t xml:space="preserve"> </w:t>
      </w:r>
      <w:r w:rsidRPr="00052447">
        <w:rPr>
          <w:lang w:eastAsia="en-AU"/>
        </w:rPr>
        <w:t xml:space="preserve">introduced as a replacement for a print notice, this </w:t>
      </w:r>
      <w:r w:rsidR="00EF5EB7">
        <w:rPr>
          <w:lang w:eastAsia="en-AU"/>
        </w:rPr>
        <w:t>c</w:t>
      </w:r>
      <w:r w:rsidRPr="00052447">
        <w:rPr>
          <w:lang w:eastAsia="en-AU"/>
        </w:rPr>
        <w:t>ould represent a significant reduction in red tape and its associated costs.</w:t>
      </w:r>
    </w:p>
    <w:p w14:paraId="5966DD8F" w14:textId="77777777" w:rsidR="00052447" w:rsidRPr="00052447" w:rsidRDefault="00052447" w:rsidP="00CF276F">
      <w:pPr>
        <w:pStyle w:val="BodyText-nospacebelow"/>
        <w:numPr>
          <w:ilvl w:val="0"/>
          <w:numId w:val="67"/>
        </w:numPr>
        <w:jc w:val="both"/>
        <w:rPr>
          <w:lang w:eastAsia="en-AU"/>
        </w:rPr>
      </w:pPr>
      <w:r w:rsidRPr="00052447">
        <w:rPr>
          <w:lang w:eastAsia="en-AU"/>
        </w:rPr>
        <w:t xml:space="preserve">If </w:t>
      </w:r>
      <w:r w:rsidR="00F239C6">
        <w:rPr>
          <w:lang w:eastAsia="en-AU"/>
        </w:rPr>
        <w:t xml:space="preserve">an </w:t>
      </w:r>
      <w:r w:rsidRPr="00052447">
        <w:rPr>
          <w:lang w:eastAsia="en-AU"/>
        </w:rPr>
        <w:t>electronic notice</w:t>
      </w:r>
      <w:r w:rsidR="00F239C6">
        <w:rPr>
          <w:lang w:eastAsia="en-AU"/>
        </w:rPr>
        <w:t xml:space="preserve"> were to replace</w:t>
      </w:r>
      <w:r w:rsidRPr="00052447">
        <w:rPr>
          <w:lang w:eastAsia="en-AU"/>
        </w:rPr>
        <w:t xml:space="preserve"> </w:t>
      </w:r>
      <w:r w:rsidR="00F239C6">
        <w:rPr>
          <w:lang w:eastAsia="en-AU"/>
        </w:rPr>
        <w:t xml:space="preserve">a </w:t>
      </w:r>
      <w:r w:rsidRPr="00052447">
        <w:rPr>
          <w:lang w:eastAsia="en-AU"/>
        </w:rPr>
        <w:t xml:space="preserve">State-wide notice, this could reduce transparency since people outside the district </w:t>
      </w:r>
      <w:r w:rsidR="00F239C6">
        <w:rPr>
          <w:lang w:eastAsia="en-AU"/>
        </w:rPr>
        <w:t xml:space="preserve">would </w:t>
      </w:r>
      <w:r w:rsidRPr="00052447">
        <w:rPr>
          <w:lang w:eastAsia="en-AU"/>
        </w:rPr>
        <w:t xml:space="preserve">generally have no reason to check the local government’s website. </w:t>
      </w:r>
    </w:p>
    <w:p w14:paraId="5A4EA491" w14:textId="77777777" w:rsidR="00052447" w:rsidRPr="00052447" w:rsidRDefault="00052447" w:rsidP="00CF276F">
      <w:pPr>
        <w:pStyle w:val="BodyText-nospacebelow"/>
        <w:numPr>
          <w:ilvl w:val="0"/>
          <w:numId w:val="67"/>
        </w:numPr>
        <w:jc w:val="both"/>
        <w:rPr>
          <w:lang w:eastAsia="en-AU"/>
        </w:rPr>
      </w:pPr>
      <w:r w:rsidRPr="00052447">
        <w:rPr>
          <w:lang w:eastAsia="en-AU"/>
        </w:rPr>
        <w:t xml:space="preserve">If local governments </w:t>
      </w:r>
      <w:r w:rsidR="00F239C6">
        <w:rPr>
          <w:lang w:eastAsia="en-AU"/>
        </w:rPr>
        <w:t>we</w:t>
      </w:r>
      <w:r w:rsidRPr="00052447">
        <w:rPr>
          <w:lang w:eastAsia="en-AU"/>
        </w:rPr>
        <w:t xml:space="preserve">re required to issue </w:t>
      </w:r>
      <w:r w:rsidR="00F239C6">
        <w:rPr>
          <w:lang w:eastAsia="en-AU"/>
        </w:rPr>
        <w:t xml:space="preserve">an </w:t>
      </w:r>
      <w:r w:rsidRPr="00052447">
        <w:rPr>
          <w:lang w:eastAsia="en-AU"/>
        </w:rPr>
        <w:t xml:space="preserve">electronic notice instead of providing the option of </w:t>
      </w:r>
      <w:r w:rsidR="00F239C6">
        <w:rPr>
          <w:lang w:eastAsia="en-AU"/>
        </w:rPr>
        <w:t xml:space="preserve">an </w:t>
      </w:r>
      <w:r w:rsidRPr="00052447">
        <w:rPr>
          <w:lang w:eastAsia="en-AU"/>
        </w:rPr>
        <w:t xml:space="preserve">electronic or print notice, this </w:t>
      </w:r>
      <w:r w:rsidR="00F239C6">
        <w:rPr>
          <w:lang w:eastAsia="en-AU"/>
        </w:rPr>
        <w:t>would</w:t>
      </w:r>
      <w:r w:rsidR="00F239C6" w:rsidRPr="00052447">
        <w:rPr>
          <w:lang w:eastAsia="en-AU"/>
        </w:rPr>
        <w:t xml:space="preserve"> </w:t>
      </w:r>
      <w:r w:rsidRPr="00052447">
        <w:rPr>
          <w:lang w:eastAsia="en-AU"/>
        </w:rPr>
        <w:t>improve sector standards at the cost of flexibility.</w:t>
      </w:r>
    </w:p>
    <w:p w14:paraId="160C44EA" w14:textId="77777777" w:rsidR="00052447" w:rsidRDefault="00052447" w:rsidP="00CF276F">
      <w:pPr>
        <w:pStyle w:val="BodyText-nospacebelow"/>
        <w:numPr>
          <w:ilvl w:val="0"/>
          <w:numId w:val="67"/>
        </w:numPr>
        <w:jc w:val="both"/>
        <w:rPr>
          <w:lang w:eastAsia="en-AU"/>
        </w:rPr>
      </w:pPr>
      <w:r w:rsidRPr="00052447">
        <w:rPr>
          <w:lang w:eastAsia="en-AU"/>
        </w:rPr>
        <w:t xml:space="preserve">If </w:t>
      </w:r>
      <w:r w:rsidR="00F239C6">
        <w:rPr>
          <w:lang w:eastAsia="en-AU"/>
        </w:rPr>
        <w:t xml:space="preserve">an </w:t>
      </w:r>
      <w:r w:rsidRPr="00052447">
        <w:rPr>
          <w:lang w:eastAsia="en-AU"/>
        </w:rPr>
        <w:t xml:space="preserve">electronic notice </w:t>
      </w:r>
      <w:r w:rsidR="00F239C6">
        <w:rPr>
          <w:lang w:eastAsia="en-AU"/>
        </w:rPr>
        <w:t>were</w:t>
      </w:r>
      <w:r w:rsidR="00F239C6" w:rsidRPr="00052447">
        <w:rPr>
          <w:lang w:eastAsia="en-AU"/>
        </w:rPr>
        <w:t xml:space="preserve"> </w:t>
      </w:r>
      <w:r w:rsidRPr="00052447">
        <w:rPr>
          <w:lang w:eastAsia="en-AU"/>
        </w:rPr>
        <w:t xml:space="preserve">required in addition to print notices, this </w:t>
      </w:r>
      <w:r w:rsidR="00F239C6">
        <w:rPr>
          <w:lang w:eastAsia="en-AU"/>
        </w:rPr>
        <w:t>would</w:t>
      </w:r>
      <w:r w:rsidR="00F239C6" w:rsidRPr="00052447">
        <w:rPr>
          <w:lang w:eastAsia="en-AU"/>
        </w:rPr>
        <w:t xml:space="preserve"> </w:t>
      </w:r>
      <w:r w:rsidRPr="00052447">
        <w:rPr>
          <w:lang w:eastAsia="en-AU"/>
        </w:rPr>
        <w:t xml:space="preserve">increase the regulatory burden imposed on the sector, with </w:t>
      </w:r>
      <w:r w:rsidR="00F239C6">
        <w:rPr>
          <w:lang w:eastAsia="en-AU"/>
        </w:rPr>
        <w:t xml:space="preserve">an </w:t>
      </w:r>
      <w:r w:rsidRPr="00052447">
        <w:rPr>
          <w:lang w:eastAsia="en-AU"/>
        </w:rPr>
        <w:t xml:space="preserve">associated </w:t>
      </w:r>
      <w:r w:rsidR="00F239C6">
        <w:rPr>
          <w:lang w:eastAsia="en-AU"/>
        </w:rPr>
        <w:t>increase in</w:t>
      </w:r>
      <w:r w:rsidR="00F239C6" w:rsidRPr="00052447">
        <w:rPr>
          <w:lang w:eastAsia="en-AU"/>
        </w:rPr>
        <w:t xml:space="preserve"> </w:t>
      </w:r>
      <w:r w:rsidRPr="00052447">
        <w:rPr>
          <w:lang w:eastAsia="en-AU"/>
        </w:rPr>
        <w:t xml:space="preserve">costs. </w:t>
      </w:r>
    </w:p>
    <w:p w14:paraId="6FBC909C" w14:textId="77777777" w:rsidR="00052447" w:rsidRPr="00052447" w:rsidRDefault="00052447" w:rsidP="00CF276F">
      <w:pPr>
        <w:pStyle w:val="Heading2"/>
        <w:jc w:val="both"/>
      </w:pPr>
      <w:bookmarkStart w:id="1085" w:name="_Toc492368935"/>
      <w:bookmarkStart w:id="1086" w:name="_Toc492386662"/>
      <w:bookmarkStart w:id="1087" w:name="_Toc492468904"/>
      <w:bookmarkStart w:id="1088" w:name="_Toc492470580"/>
      <w:bookmarkStart w:id="1089" w:name="_Toc492471260"/>
      <w:bookmarkStart w:id="1090" w:name="_Toc493746781"/>
      <w:bookmarkStart w:id="1091" w:name="_Toc493768913"/>
      <w:bookmarkStart w:id="1092" w:name="_Toc493859983"/>
      <w:bookmarkStart w:id="1093" w:name="_Toc495491881"/>
      <w:bookmarkStart w:id="1094" w:name="_Toc495497660"/>
      <w:bookmarkStart w:id="1095" w:name="_Toc495671494"/>
      <w:bookmarkStart w:id="1096" w:name="_Toc495676095"/>
      <w:bookmarkStart w:id="1097" w:name="_Toc495678390"/>
      <w:bookmarkStart w:id="1098" w:name="_Toc495998387"/>
      <w:bookmarkStart w:id="1099" w:name="_Toc497741857"/>
      <w:bookmarkStart w:id="1100" w:name="_Toc491097276"/>
      <w:bookmarkStart w:id="1101" w:name="_Toc491097666"/>
      <w:bookmarkStart w:id="1102" w:name="_Toc491857124"/>
      <w:bookmarkStart w:id="1103" w:name="_Toc491872744"/>
      <w:bookmarkStart w:id="1104" w:name="_Toc491873678"/>
      <w:bookmarkStart w:id="1105" w:name="_Toc491934306"/>
      <w:bookmarkStart w:id="1106" w:name="_Toc492471382"/>
      <w:r w:rsidRPr="00052447">
        <w:t>Across Australia</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sidRPr="00052447">
        <w:t xml:space="preserve"> </w:t>
      </w:r>
      <w:bookmarkEnd w:id="1100"/>
      <w:bookmarkEnd w:id="1101"/>
      <w:bookmarkEnd w:id="1102"/>
      <w:bookmarkEnd w:id="1103"/>
      <w:bookmarkEnd w:id="1104"/>
      <w:bookmarkEnd w:id="1105"/>
      <w:bookmarkEnd w:id="1106"/>
    </w:p>
    <w:p w14:paraId="30049514" w14:textId="77777777" w:rsidR="00052447" w:rsidRDefault="00052447" w:rsidP="00CF276F">
      <w:pPr>
        <w:pStyle w:val="BodyText-nospacebelow"/>
        <w:jc w:val="both"/>
        <w:rPr>
          <w:lang w:eastAsia="en-AU"/>
        </w:rPr>
      </w:pPr>
      <w:r w:rsidRPr="00052447">
        <w:rPr>
          <w:lang w:eastAsia="en-AU"/>
        </w:rPr>
        <w:t>In other Australian jurisdictions, the requirement to issue electronic notice</w:t>
      </w:r>
      <w:r w:rsidR="00F239C6">
        <w:rPr>
          <w:lang w:eastAsia="en-AU"/>
        </w:rPr>
        <w:t>s</w:t>
      </w:r>
      <w:r w:rsidRPr="00052447">
        <w:rPr>
          <w:lang w:eastAsia="en-AU"/>
        </w:rPr>
        <w:t xml:space="preserve"> on websites is generally in addition to print notice</w:t>
      </w:r>
      <w:r w:rsidR="00F239C6">
        <w:rPr>
          <w:lang w:eastAsia="en-AU"/>
        </w:rPr>
        <w:t>s</w:t>
      </w:r>
      <w:r w:rsidRPr="00052447">
        <w:rPr>
          <w:lang w:eastAsia="en-AU"/>
        </w:rPr>
        <w:t>.</w:t>
      </w:r>
    </w:p>
    <w:p w14:paraId="3AD7E307" w14:textId="77777777" w:rsidR="00052447" w:rsidRPr="00052447" w:rsidRDefault="00052447" w:rsidP="00CF276F">
      <w:pPr>
        <w:pStyle w:val="BodyText-nospacebelow"/>
        <w:jc w:val="both"/>
        <w:rPr>
          <w:lang w:eastAsia="en-AU"/>
        </w:rPr>
      </w:pPr>
    </w:p>
    <w:p w14:paraId="072D5751" w14:textId="77777777" w:rsidR="00052447" w:rsidRPr="00052447" w:rsidRDefault="00052447" w:rsidP="00CF276F">
      <w:pPr>
        <w:pStyle w:val="BodyText-nospacebelow"/>
        <w:jc w:val="both"/>
        <w:rPr>
          <w:lang w:eastAsia="en-AU"/>
        </w:rPr>
      </w:pPr>
      <w:r w:rsidRPr="00052447">
        <w:rPr>
          <w:lang w:eastAsia="en-AU"/>
        </w:rPr>
        <w:t xml:space="preserve">This approach improves transparency, maximises the coverage of notices and ensures that local governments take advantage of electronic communication. </w:t>
      </w:r>
    </w:p>
    <w:p w14:paraId="577827CC" w14:textId="77777777" w:rsidR="00CF276F" w:rsidRDefault="00CF276F" w:rsidP="00CF276F">
      <w:pPr>
        <w:pStyle w:val="BodyText-nospacebelow"/>
        <w:jc w:val="both"/>
        <w:rPr>
          <w:lang w:eastAsia="en-AU"/>
        </w:rPr>
      </w:pPr>
    </w:p>
    <w:p w14:paraId="717B74BF" w14:textId="77777777" w:rsidR="00052447" w:rsidRPr="00052447" w:rsidRDefault="00052447" w:rsidP="00CF276F">
      <w:pPr>
        <w:pStyle w:val="BodyText-nospacebelow"/>
        <w:jc w:val="both"/>
        <w:rPr>
          <w:lang w:eastAsia="en-AU"/>
        </w:rPr>
      </w:pPr>
      <w:r w:rsidRPr="00052447">
        <w:rPr>
          <w:lang w:eastAsia="en-AU"/>
        </w:rPr>
        <w:t>However, this approach also represents an increase in total regulatory burden and cost. This undermines one of the primary advantages of electronic notice, which is its potential to reduce costs.</w:t>
      </w:r>
    </w:p>
    <w:p w14:paraId="283AB7AD" w14:textId="77777777" w:rsidR="00F239C6" w:rsidRPr="00052447" w:rsidRDefault="00F239C6" w:rsidP="00052447">
      <w:pPr>
        <w:pStyle w:val="BodyText-nospacebelow"/>
        <w:rPr>
          <w:lang w:eastAsia="en-AU"/>
        </w:rPr>
      </w:pPr>
    </w:p>
    <w:tbl>
      <w:tblPr>
        <w:tblStyle w:val="DLGCTable-Data"/>
        <w:tblW w:w="9356" w:type="dxa"/>
        <w:tblLayout w:type="fixed"/>
        <w:tblLook w:val="04A0" w:firstRow="1" w:lastRow="0" w:firstColumn="1" w:lastColumn="0" w:noHBand="0" w:noVBand="1"/>
      </w:tblPr>
      <w:tblGrid>
        <w:gridCol w:w="4111"/>
        <w:gridCol w:w="5245"/>
      </w:tblGrid>
      <w:tr w:rsidR="00052447" w:rsidRPr="00052447" w14:paraId="45303576" w14:textId="77777777" w:rsidTr="00C25BDE">
        <w:trPr>
          <w:cnfStyle w:val="100000000000" w:firstRow="1" w:lastRow="0" w:firstColumn="0" w:lastColumn="0" w:oddVBand="0" w:evenVBand="0" w:oddHBand="0" w:evenHBand="0" w:firstRowFirstColumn="0" w:firstRowLastColumn="0" w:lastRowFirstColumn="0" w:lastRowLastColumn="0"/>
          <w:trHeight w:val="616"/>
        </w:trPr>
        <w:tc>
          <w:tcPr>
            <w:tcW w:w="4111" w:type="dxa"/>
            <w:vMerge w:val="restart"/>
          </w:tcPr>
          <w:p w14:paraId="6FA53E16" w14:textId="77777777" w:rsidR="00052447" w:rsidRPr="00052447" w:rsidRDefault="00EB12B4" w:rsidP="00A670D5">
            <w:pPr>
              <w:pStyle w:val="BodyText-nospacebelow"/>
              <w:spacing w:after="100" w:line="276" w:lineRule="auto"/>
              <w:rPr>
                <w:lang w:eastAsia="en-AU"/>
              </w:rPr>
            </w:pPr>
            <w:r>
              <w:rPr>
                <w:lang w:eastAsia="en-AU"/>
              </w:rPr>
              <w:t xml:space="preserve">Jurisdiction </w:t>
            </w:r>
          </w:p>
        </w:tc>
        <w:tc>
          <w:tcPr>
            <w:tcW w:w="5245" w:type="dxa"/>
            <w:vMerge w:val="restart"/>
          </w:tcPr>
          <w:p w14:paraId="314BD4D1" w14:textId="77777777" w:rsidR="00052447" w:rsidRPr="00052447" w:rsidRDefault="00052447" w:rsidP="00A670D5">
            <w:pPr>
              <w:pStyle w:val="BodyText-nospacebelow"/>
              <w:spacing w:after="100" w:line="276" w:lineRule="auto"/>
              <w:rPr>
                <w:lang w:eastAsia="en-AU"/>
              </w:rPr>
            </w:pPr>
            <w:r w:rsidRPr="00052447">
              <w:rPr>
                <w:lang w:eastAsia="en-AU"/>
              </w:rPr>
              <w:t>Public noti</w:t>
            </w:r>
            <w:r w:rsidR="00EB12B4">
              <w:rPr>
                <w:lang w:eastAsia="en-AU"/>
              </w:rPr>
              <w:t>ce requirements</w:t>
            </w:r>
          </w:p>
        </w:tc>
      </w:tr>
      <w:tr w:rsidR="00052447" w:rsidRPr="00052447" w14:paraId="5EA319D6" w14:textId="77777777" w:rsidTr="008A7B23">
        <w:trPr>
          <w:trHeight w:val="376"/>
        </w:trPr>
        <w:tc>
          <w:tcPr>
            <w:tcW w:w="4111" w:type="dxa"/>
            <w:vMerge/>
          </w:tcPr>
          <w:p w14:paraId="657FBA0B" w14:textId="77777777" w:rsidR="00052447" w:rsidRPr="00052447" w:rsidRDefault="00052447" w:rsidP="00E93699">
            <w:pPr>
              <w:pStyle w:val="BodyText-nospacebelow"/>
              <w:rPr>
                <w:lang w:eastAsia="en-AU"/>
              </w:rPr>
            </w:pPr>
          </w:p>
        </w:tc>
        <w:tc>
          <w:tcPr>
            <w:tcW w:w="5245" w:type="dxa"/>
            <w:vMerge/>
          </w:tcPr>
          <w:p w14:paraId="70113174" w14:textId="77777777" w:rsidR="00052447" w:rsidRPr="00052447" w:rsidRDefault="00052447" w:rsidP="00E93699">
            <w:pPr>
              <w:pStyle w:val="BodyText-nospacebelow"/>
              <w:rPr>
                <w:lang w:eastAsia="en-AU"/>
              </w:rPr>
            </w:pPr>
          </w:p>
        </w:tc>
      </w:tr>
      <w:tr w:rsidR="00052447" w:rsidRPr="00052447" w14:paraId="1F53FE21" w14:textId="77777777" w:rsidTr="00B028E4">
        <w:trPr>
          <w:trHeight w:val="473"/>
        </w:trPr>
        <w:tc>
          <w:tcPr>
            <w:tcW w:w="4111" w:type="dxa"/>
          </w:tcPr>
          <w:p w14:paraId="322319C2" w14:textId="77777777" w:rsidR="00052447" w:rsidRPr="00052447" w:rsidRDefault="00332EB0" w:rsidP="00E93699">
            <w:pPr>
              <w:pStyle w:val="BodyText-nospacebelow"/>
              <w:rPr>
                <w:lang w:eastAsia="en-AU"/>
              </w:rPr>
            </w:pPr>
            <w:r>
              <w:rPr>
                <w:lang w:eastAsia="en-AU"/>
              </w:rPr>
              <w:t>Western Australia</w:t>
            </w:r>
          </w:p>
        </w:tc>
        <w:tc>
          <w:tcPr>
            <w:tcW w:w="5245" w:type="dxa"/>
          </w:tcPr>
          <w:p w14:paraId="079FFA5A" w14:textId="01A69C6B" w:rsidR="00052447" w:rsidRPr="00052447" w:rsidRDefault="00052447" w:rsidP="00E93699">
            <w:pPr>
              <w:pStyle w:val="BodyText-nospacebelow"/>
              <w:rPr>
                <w:lang w:eastAsia="en-AU"/>
              </w:rPr>
            </w:pPr>
            <w:r w:rsidRPr="00052447">
              <w:rPr>
                <w:lang w:eastAsia="en-AU"/>
              </w:rPr>
              <w:t>Print notice only</w:t>
            </w:r>
          </w:p>
        </w:tc>
      </w:tr>
      <w:tr w:rsidR="00B028E4" w:rsidRPr="00052447" w14:paraId="4664332F" w14:textId="77777777" w:rsidTr="00CD184D">
        <w:trPr>
          <w:trHeight w:val="481"/>
        </w:trPr>
        <w:tc>
          <w:tcPr>
            <w:tcW w:w="4111" w:type="dxa"/>
          </w:tcPr>
          <w:p w14:paraId="44D866B3" w14:textId="77777777" w:rsidR="00B028E4" w:rsidRPr="00052447" w:rsidRDefault="00B028E4" w:rsidP="00CD184D">
            <w:pPr>
              <w:pStyle w:val="BodyText-nospacebelow"/>
              <w:rPr>
                <w:lang w:eastAsia="en-AU"/>
              </w:rPr>
            </w:pPr>
            <w:r>
              <w:rPr>
                <w:lang w:eastAsia="en-AU"/>
              </w:rPr>
              <w:t>New South Wales</w:t>
            </w:r>
          </w:p>
        </w:tc>
        <w:tc>
          <w:tcPr>
            <w:tcW w:w="5245" w:type="dxa"/>
          </w:tcPr>
          <w:p w14:paraId="3CE8B493" w14:textId="77777777" w:rsidR="00B028E4" w:rsidRPr="00052447" w:rsidRDefault="00B028E4" w:rsidP="00CD184D">
            <w:pPr>
              <w:pStyle w:val="BodyText-nospacebelow"/>
              <w:rPr>
                <w:lang w:eastAsia="en-AU"/>
              </w:rPr>
            </w:pPr>
            <w:r w:rsidRPr="00052447">
              <w:rPr>
                <w:lang w:eastAsia="en-AU"/>
              </w:rPr>
              <w:t>Print and electronic notice required</w:t>
            </w:r>
          </w:p>
        </w:tc>
      </w:tr>
      <w:tr w:rsidR="00B028E4" w:rsidRPr="00052447" w14:paraId="35600B12" w14:textId="77777777" w:rsidTr="00CD184D">
        <w:trPr>
          <w:trHeight w:val="481"/>
        </w:trPr>
        <w:tc>
          <w:tcPr>
            <w:tcW w:w="4111" w:type="dxa"/>
          </w:tcPr>
          <w:p w14:paraId="52118E2D" w14:textId="77777777" w:rsidR="00B028E4" w:rsidRPr="00052447" w:rsidRDefault="00B028E4" w:rsidP="00CD184D">
            <w:pPr>
              <w:pStyle w:val="BodyText-nospacebelow"/>
              <w:rPr>
                <w:lang w:eastAsia="en-AU"/>
              </w:rPr>
            </w:pPr>
            <w:r>
              <w:rPr>
                <w:lang w:eastAsia="en-AU"/>
              </w:rPr>
              <w:t>Victoria</w:t>
            </w:r>
          </w:p>
        </w:tc>
        <w:tc>
          <w:tcPr>
            <w:tcW w:w="5245" w:type="dxa"/>
          </w:tcPr>
          <w:p w14:paraId="068848DD" w14:textId="77777777" w:rsidR="00B028E4" w:rsidRPr="00052447" w:rsidRDefault="00B028E4" w:rsidP="00CD184D">
            <w:pPr>
              <w:pStyle w:val="BodyText-nospacebelow"/>
              <w:rPr>
                <w:lang w:eastAsia="en-AU"/>
              </w:rPr>
            </w:pPr>
            <w:r w:rsidRPr="00052447">
              <w:rPr>
                <w:lang w:eastAsia="en-AU"/>
              </w:rPr>
              <w:t>Print and electronic notice required</w:t>
            </w:r>
          </w:p>
        </w:tc>
      </w:tr>
      <w:tr w:rsidR="00B028E4" w:rsidRPr="00052447" w14:paraId="55C2D33F" w14:textId="77777777" w:rsidTr="00CD184D">
        <w:trPr>
          <w:trHeight w:val="481"/>
        </w:trPr>
        <w:tc>
          <w:tcPr>
            <w:tcW w:w="4111" w:type="dxa"/>
          </w:tcPr>
          <w:p w14:paraId="409581A3" w14:textId="77777777" w:rsidR="00B028E4" w:rsidRPr="00052447" w:rsidRDefault="00B028E4" w:rsidP="00CD184D">
            <w:pPr>
              <w:pStyle w:val="BodyText-nospacebelow"/>
              <w:rPr>
                <w:lang w:eastAsia="en-AU"/>
              </w:rPr>
            </w:pPr>
            <w:r>
              <w:rPr>
                <w:lang w:eastAsia="en-AU"/>
              </w:rPr>
              <w:t>Queensland</w:t>
            </w:r>
          </w:p>
        </w:tc>
        <w:tc>
          <w:tcPr>
            <w:tcW w:w="5245" w:type="dxa"/>
          </w:tcPr>
          <w:p w14:paraId="429B2AB9" w14:textId="77777777" w:rsidR="00B028E4" w:rsidRPr="00052447" w:rsidRDefault="00B028E4" w:rsidP="00CD184D">
            <w:pPr>
              <w:pStyle w:val="BodyText-nospacebelow"/>
              <w:rPr>
                <w:lang w:eastAsia="en-AU"/>
              </w:rPr>
            </w:pPr>
            <w:r w:rsidRPr="00052447">
              <w:rPr>
                <w:lang w:eastAsia="en-AU"/>
              </w:rPr>
              <w:t>Print and electronic notice required</w:t>
            </w:r>
          </w:p>
        </w:tc>
      </w:tr>
      <w:tr w:rsidR="00052447" w:rsidRPr="00052447" w14:paraId="3CAEBB96" w14:textId="77777777" w:rsidTr="00C25BDE">
        <w:trPr>
          <w:trHeight w:val="481"/>
        </w:trPr>
        <w:tc>
          <w:tcPr>
            <w:tcW w:w="4111" w:type="dxa"/>
          </w:tcPr>
          <w:p w14:paraId="7448EAA3" w14:textId="77777777" w:rsidR="00052447" w:rsidRPr="00052447" w:rsidRDefault="00332EB0" w:rsidP="00E93699">
            <w:pPr>
              <w:pStyle w:val="BodyText-nospacebelow"/>
              <w:rPr>
                <w:lang w:eastAsia="en-AU"/>
              </w:rPr>
            </w:pPr>
            <w:r>
              <w:rPr>
                <w:lang w:eastAsia="en-AU"/>
              </w:rPr>
              <w:t>South Australia</w:t>
            </w:r>
          </w:p>
        </w:tc>
        <w:tc>
          <w:tcPr>
            <w:tcW w:w="5245" w:type="dxa"/>
          </w:tcPr>
          <w:p w14:paraId="2C5E6754" w14:textId="3DB5ECCA" w:rsidR="00052447" w:rsidRPr="00052447" w:rsidRDefault="00052447" w:rsidP="00E93699">
            <w:pPr>
              <w:pStyle w:val="BodyText-nospacebelow"/>
              <w:rPr>
                <w:lang w:eastAsia="en-AU"/>
              </w:rPr>
            </w:pPr>
            <w:r w:rsidRPr="00052447">
              <w:rPr>
                <w:lang w:eastAsia="en-AU"/>
              </w:rPr>
              <w:t>Print and electronic notice required</w:t>
            </w:r>
          </w:p>
        </w:tc>
      </w:tr>
      <w:tr w:rsidR="00052447" w:rsidRPr="00052447" w14:paraId="3A92C668" w14:textId="77777777" w:rsidTr="00C25BDE">
        <w:trPr>
          <w:trHeight w:val="481"/>
        </w:trPr>
        <w:tc>
          <w:tcPr>
            <w:tcW w:w="4111" w:type="dxa"/>
          </w:tcPr>
          <w:p w14:paraId="165F3A91" w14:textId="77777777" w:rsidR="00052447" w:rsidRPr="00052447" w:rsidRDefault="00332EB0" w:rsidP="00E93699">
            <w:pPr>
              <w:pStyle w:val="BodyText-nospacebelow"/>
              <w:rPr>
                <w:lang w:eastAsia="en-AU"/>
              </w:rPr>
            </w:pPr>
            <w:r>
              <w:rPr>
                <w:lang w:eastAsia="en-AU"/>
              </w:rPr>
              <w:t>Tasmania</w:t>
            </w:r>
          </w:p>
        </w:tc>
        <w:tc>
          <w:tcPr>
            <w:tcW w:w="5245" w:type="dxa"/>
          </w:tcPr>
          <w:p w14:paraId="5E5694AE" w14:textId="2EB44731" w:rsidR="00052447" w:rsidRPr="00052447" w:rsidRDefault="00052447" w:rsidP="00E93699">
            <w:pPr>
              <w:pStyle w:val="BodyText-nospacebelow"/>
              <w:rPr>
                <w:lang w:eastAsia="en-AU"/>
              </w:rPr>
            </w:pPr>
            <w:r w:rsidRPr="00052447">
              <w:rPr>
                <w:lang w:eastAsia="en-AU"/>
              </w:rPr>
              <w:t>Print and electronic notice required</w:t>
            </w:r>
          </w:p>
        </w:tc>
      </w:tr>
      <w:tr w:rsidR="00052447" w:rsidRPr="00052447" w14:paraId="0FD4A35E" w14:textId="77777777" w:rsidTr="00C25BDE">
        <w:trPr>
          <w:trHeight w:val="481"/>
        </w:trPr>
        <w:tc>
          <w:tcPr>
            <w:tcW w:w="4111" w:type="dxa"/>
          </w:tcPr>
          <w:p w14:paraId="1E05C0D0" w14:textId="77777777" w:rsidR="00052447" w:rsidRPr="00052447" w:rsidRDefault="00332EB0" w:rsidP="00E93699">
            <w:pPr>
              <w:pStyle w:val="BodyText-nospacebelow"/>
              <w:rPr>
                <w:lang w:eastAsia="en-AU"/>
              </w:rPr>
            </w:pPr>
            <w:r>
              <w:rPr>
                <w:lang w:eastAsia="en-AU"/>
              </w:rPr>
              <w:t>Northern Territory</w:t>
            </w:r>
          </w:p>
        </w:tc>
        <w:tc>
          <w:tcPr>
            <w:tcW w:w="5245" w:type="dxa"/>
          </w:tcPr>
          <w:p w14:paraId="5DC2A8DA" w14:textId="2EBF0CE0" w:rsidR="00052447" w:rsidRPr="00052447" w:rsidRDefault="00052447" w:rsidP="00E93699">
            <w:pPr>
              <w:pStyle w:val="BodyText-nospacebelow"/>
              <w:rPr>
                <w:lang w:eastAsia="en-AU"/>
              </w:rPr>
            </w:pPr>
            <w:r w:rsidRPr="00052447">
              <w:rPr>
                <w:lang w:eastAsia="en-AU"/>
              </w:rPr>
              <w:t>Print and electronic notice required</w:t>
            </w:r>
          </w:p>
        </w:tc>
      </w:tr>
    </w:tbl>
    <w:p w14:paraId="6B8BFD66" w14:textId="77777777" w:rsidR="00052447" w:rsidRPr="00052447" w:rsidRDefault="00052447" w:rsidP="00052447">
      <w:pPr>
        <w:pStyle w:val="BodyText-nospacebelow"/>
        <w:rPr>
          <w:lang w:eastAsia="en-AU"/>
        </w:rPr>
      </w:pPr>
    </w:p>
    <w:p w14:paraId="7485315B" w14:textId="77777777" w:rsidR="00052447" w:rsidRPr="00052447" w:rsidRDefault="00052447" w:rsidP="00052447">
      <w:pPr>
        <w:pStyle w:val="Heading3"/>
        <w:rPr>
          <w:lang w:eastAsia="en-AU"/>
        </w:rPr>
      </w:pPr>
      <w:bookmarkStart w:id="1107" w:name="_Toc487707273"/>
      <w:bookmarkStart w:id="1108" w:name="_Toc487711044"/>
      <w:bookmarkStart w:id="1109" w:name="_Toc487727836"/>
      <w:bookmarkStart w:id="1110" w:name="_Toc487728207"/>
      <w:bookmarkStart w:id="1111" w:name="_Toc491097274"/>
      <w:bookmarkStart w:id="1112" w:name="_Toc491097664"/>
      <w:bookmarkStart w:id="1113" w:name="_Toc491857122"/>
      <w:bookmarkStart w:id="1114" w:name="_Toc491872742"/>
      <w:bookmarkStart w:id="1115" w:name="_Toc491873676"/>
      <w:bookmarkStart w:id="1116" w:name="_Toc491934304"/>
      <w:bookmarkStart w:id="1117" w:name="_Toc492368933"/>
      <w:bookmarkStart w:id="1118" w:name="_Toc492386660"/>
      <w:bookmarkStart w:id="1119" w:name="_Toc492468902"/>
      <w:bookmarkStart w:id="1120" w:name="_Toc492470578"/>
      <w:bookmarkStart w:id="1121" w:name="_Toc492471258"/>
      <w:bookmarkStart w:id="1122" w:name="_Toc492471380"/>
      <w:bookmarkStart w:id="1123" w:name="_Toc493746782"/>
      <w:bookmarkStart w:id="1124" w:name="_Toc493768914"/>
      <w:bookmarkStart w:id="1125" w:name="_Toc493859984"/>
      <w:bookmarkStart w:id="1126" w:name="_Toc495491882"/>
      <w:bookmarkStart w:id="1127" w:name="_Toc495497661"/>
      <w:bookmarkStart w:id="1128" w:name="_Toc495671495"/>
      <w:bookmarkStart w:id="1129" w:name="_Toc495676096"/>
      <w:bookmarkStart w:id="1130" w:name="_Toc495678391"/>
      <w:bookmarkStart w:id="1131" w:name="_Toc495998388"/>
      <w:bookmarkStart w:id="1132" w:name="_Toc497741858"/>
      <w:bookmarkEnd w:id="1084"/>
      <w:r w:rsidRPr="00052447">
        <w:rPr>
          <w:lang w:eastAsia="en-AU"/>
        </w:rPr>
        <w:lastRenderedPageBreak/>
        <w:t>G</w:t>
      </w:r>
      <w:bookmarkEnd w:id="1107"/>
      <w:r w:rsidRPr="00052447">
        <w:rPr>
          <w:lang w:eastAsia="en-AU"/>
        </w:rPr>
        <w:t>eneral options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14:paraId="34C36147" w14:textId="77777777" w:rsidR="00052447" w:rsidRDefault="00052447" w:rsidP="00052447">
      <w:pPr>
        <w:pStyle w:val="BodyText-nospacebelow"/>
        <w:rPr>
          <w:lang w:eastAsia="en-AU"/>
        </w:rPr>
      </w:pPr>
      <w:r w:rsidRPr="00052447">
        <w:rPr>
          <w:lang w:eastAsia="en-AU"/>
        </w:rPr>
        <w:t>The general options available for public notice are as follows:</w:t>
      </w:r>
    </w:p>
    <w:p w14:paraId="4677A5F4" w14:textId="77777777" w:rsidR="00052447" w:rsidRPr="00052447" w:rsidRDefault="00052447" w:rsidP="00052447">
      <w:pPr>
        <w:pStyle w:val="BodyText-nospacebelow"/>
        <w:rPr>
          <w:lang w:eastAsia="en-AU"/>
        </w:rPr>
      </w:pPr>
    </w:p>
    <w:tbl>
      <w:tblPr>
        <w:tblStyle w:val="DLGCTable-Data"/>
        <w:tblW w:w="9351" w:type="dxa"/>
        <w:tblLook w:val="04A0" w:firstRow="1" w:lastRow="0" w:firstColumn="1" w:lastColumn="0" w:noHBand="0" w:noVBand="1"/>
      </w:tblPr>
      <w:tblGrid>
        <w:gridCol w:w="1688"/>
        <w:gridCol w:w="3410"/>
        <w:gridCol w:w="4253"/>
      </w:tblGrid>
      <w:tr w:rsidR="00052447" w:rsidRPr="00052447" w14:paraId="6364FCB1" w14:textId="77777777" w:rsidTr="00A7265E">
        <w:trPr>
          <w:cnfStyle w:val="100000000000" w:firstRow="1" w:lastRow="0" w:firstColumn="0" w:lastColumn="0" w:oddVBand="0" w:evenVBand="0" w:oddHBand="0" w:evenHBand="0" w:firstRowFirstColumn="0" w:firstRowLastColumn="0" w:lastRowFirstColumn="0" w:lastRowLastColumn="0"/>
          <w:trHeight w:val="442"/>
        </w:trPr>
        <w:tc>
          <w:tcPr>
            <w:tcW w:w="1688" w:type="dxa"/>
          </w:tcPr>
          <w:p w14:paraId="13938640" w14:textId="15CD3EEC" w:rsidR="00B221BD" w:rsidRPr="00052447" w:rsidRDefault="00052447" w:rsidP="00A7265E">
            <w:pPr>
              <w:pStyle w:val="BodyText-nospacebelow"/>
              <w:spacing w:before="0" w:line="276" w:lineRule="auto"/>
              <w:ind w:right="0"/>
              <w:rPr>
                <w:lang w:eastAsia="en-AU"/>
              </w:rPr>
            </w:pPr>
            <w:r w:rsidRPr="00052447">
              <w:rPr>
                <w:lang w:eastAsia="en-AU"/>
              </w:rPr>
              <w:t>Option</w:t>
            </w:r>
          </w:p>
        </w:tc>
        <w:tc>
          <w:tcPr>
            <w:tcW w:w="3410" w:type="dxa"/>
          </w:tcPr>
          <w:p w14:paraId="1D91F8E1" w14:textId="77777777" w:rsidR="00052447" w:rsidRPr="00052447" w:rsidRDefault="00052447" w:rsidP="00052447">
            <w:pPr>
              <w:pStyle w:val="BodyText-nospacebelow"/>
              <w:spacing w:before="0" w:line="276" w:lineRule="auto"/>
              <w:ind w:right="0"/>
              <w:rPr>
                <w:lang w:eastAsia="en-AU"/>
              </w:rPr>
            </w:pPr>
            <w:r w:rsidRPr="00052447">
              <w:rPr>
                <w:lang w:eastAsia="en-AU"/>
              </w:rPr>
              <w:t>Local notice requirements</w:t>
            </w:r>
          </w:p>
        </w:tc>
        <w:tc>
          <w:tcPr>
            <w:tcW w:w="4253" w:type="dxa"/>
          </w:tcPr>
          <w:p w14:paraId="040588FD" w14:textId="77777777" w:rsidR="00052447" w:rsidRPr="00052447" w:rsidRDefault="00052447" w:rsidP="00052447">
            <w:pPr>
              <w:pStyle w:val="BodyText-nospacebelow"/>
              <w:spacing w:before="0" w:line="276" w:lineRule="auto"/>
              <w:ind w:right="0"/>
              <w:rPr>
                <w:lang w:eastAsia="en-AU"/>
              </w:rPr>
            </w:pPr>
            <w:r w:rsidRPr="00052447">
              <w:rPr>
                <w:lang w:eastAsia="en-AU"/>
              </w:rPr>
              <w:t>State-wide notice requirements</w:t>
            </w:r>
          </w:p>
        </w:tc>
      </w:tr>
      <w:tr w:rsidR="00052447" w:rsidRPr="00052447" w14:paraId="49605703" w14:textId="77777777" w:rsidTr="00B221BD">
        <w:trPr>
          <w:trHeight w:val="700"/>
        </w:trPr>
        <w:tc>
          <w:tcPr>
            <w:tcW w:w="0" w:type="dxa"/>
            <w:vAlign w:val="center"/>
          </w:tcPr>
          <w:p w14:paraId="343F07A4" w14:textId="77777777" w:rsidR="00052447" w:rsidRPr="00052447" w:rsidRDefault="00052447" w:rsidP="00052447">
            <w:pPr>
              <w:pStyle w:val="BodyText-nospacebelow"/>
              <w:rPr>
                <w:lang w:eastAsia="en-AU"/>
              </w:rPr>
            </w:pPr>
            <w:r w:rsidRPr="00052447">
              <w:rPr>
                <w:lang w:eastAsia="en-AU"/>
              </w:rPr>
              <w:t>1</w:t>
            </w:r>
          </w:p>
        </w:tc>
        <w:tc>
          <w:tcPr>
            <w:tcW w:w="0" w:type="dxa"/>
            <w:gridSpan w:val="2"/>
            <w:vAlign w:val="center"/>
          </w:tcPr>
          <w:p w14:paraId="7114E349" w14:textId="7B8AC10A" w:rsidR="00052447" w:rsidRPr="00052447" w:rsidRDefault="00052447" w:rsidP="00B221BD">
            <w:pPr>
              <w:pStyle w:val="BodyText-nospacebelow"/>
              <w:spacing w:before="0" w:line="276" w:lineRule="auto"/>
              <w:ind w:right="0"/>
              <w:jc w:val="center"/>
              <w:rPr>
                <w:lang w:eastAsia="en-AU"/>
              </w:rPr>
            </w:pPr>
            <w:r w:rsidRPr="00052447">
              <w:rPr>
                <w:lang w:eastAsia="en-AU"/>
              </w:rPr>
              <w:t>No change to</w:t>
            </w:r>
            <w:r w:rsidR="00C84942">
              <w:rPr>
                <w:lang w:eastAsia="en-AU"/>
              </w:rPr>
              <w:t xml:space="preserve"> notice requirements</w:t>
            </w:r>
          </w:p>
        </w:tc>
      </w:tr>
      <w:tr w:rsidR="00052447" w:rsidRPr="00052447" w14:paraId="3748D073" w14:textId="77777777" w:rsidTr="00B221BD">
        <w:trPr>
          <w:trHeight w:val="700"/>
        </w:trPr>
        <w:tc>
          <w:tcPr>
            <w:tcW w:w="0" w:type="dxa"/>
            <w:vAlign w:val="center"/>
          </w:tcPr>
          <w:p w14:paraId="0FF6F2B9" w14:textId="77777777" w:rsidR="00052447" w:rsidRPr="00052447" w:rsidRDefault="00052447" w:rsidP="00052447">
            <w:pPr>
              <w:pStyle w:val="BodyText-nospacebelow"/>
              <w:spacing w:before="0" w:line="276" w:lineRule="auto"/>
              <w:ind w:right="0"/>
              <w:rPr>
                <w:lang w:eastAsia="en-AU"/>
              </w:rPr>
            </w:pPr>
            <w:r w:rsidRPr="00052447">
              <w:rPr>
                <w:lang w:eastAsia="en-AU"/>
              </w:rPr>
              <w:t>2</w:t>
            </w:r>
          </w:p>
        </w:tc>
        <w:tc>
          <w:tcPr>
            <w:tcW w:w="0" w:type="dxa"/>
            <w:vAlign w:val="center"/>
          </w:tcPr>
          <w:p w14:paraId="0FCA5483" w14:textId="71E015B9" w:rsidR="00052447" w:rsidRPr="00052447" w:rsidRDefault="00052447" w:rsidP="00052447">
            <w:pPr>
              <w:pStyle w:val="BodyText-nospacebelow"/>
              <w:spacing w:before="0" w:line="276" w:lineRule="auto"/>
              <w:ind w:right="0"/>
              <w:rPr>
                <w:lang w:eastAsia="en-AU"/>
              </w:rPr>
            </w:pPr>
            <w:r w:rsidRPr="00052447">
              <w:rPr>
                <w:lang w:eastAsia="en-AU"/>
              </w:rPr>
              <w:t xml:space="preserve">Print </w:t>
            </w:r>
            <w:r w:rsidRPr="00052447">
              <w:rPr>
                <w:b/>
                <w:lang w:eastAsia="en-AU"/>
              </w:rPr>
              <w:t>or</w:t>
            </w:r>
            <w:r w:rsidRPr="00052447">
              <w:rPr>
                <w:lang w:eastAsia="en-AU"/>
              </w:rPr>
              <w:t xml:space="preserve"> electronic</w:t>
            </w:r>
            <w:r w:rsidR="00F239C6">
              <w:rPr>
                <w:lang w:eastAsia="en-AU"/>
              </w:rPr>
              <w:t xml:space="preserve"> notices</w:t>
            </w:r>
          </w:p>
        </w:tc>
        <w:tc>
          <w:tcPr>
            <w:tcW w:w="0" w:type="dxa"/>
            <w:vAlign w:val="center"/>
          </w:tcPr>
          <w:p w14:paraId="6018ECFF" w14:textId="54749F5E" w:rsidR="00052447" w:rsidRPr="00052447" w:rsidRDefault="00052447" w:rsidP="00052447">
            <w:pPr>
              <w:pStyle w:val="BodyText-nospacebelow"/>
              <w:spacing w:before="0" w:line="276" w:lineRule="auto"/>
              <w:ind w:right="0"/>
              <w:rPr>
                <w:lang w:eastAsia="en-AU"/>
              </w:rPr>
            </w:pPr>
            <w:r w:rsidRPr="00052447">
              <w:rPr>
                <w:lang w:eastAsia="en-AU"/>
              </w:rPr>
              <w:t>No change to State-wide notice requirements</w:t>
            </w:r>
          </w:p>
        </w:tc>
      </w:tr>
      <w:tr w:rsidR="00052447" w:rsidRPr="00052447" w14:paraId="289AAA99" w14:textId="77777777" w:rsidTr="00B221BD">
        <w:trPr>
          <w:trHeight w:val="700"/>
        </w:trPr>
        <w:tc>
          <w:tcPr>
            <w:tcW w:w="0" w:type="dxa"/>
            <w:vAlign w:val="center"/>
          </w:tcPr>
          <w:p w14:paraId="7F718F22" w14:textId="77777777" w:rsidR="00052447" w:rsidRPr="00052447" w:rsidRDefault="00052447" w:rsidP="00052447">
            <w:pPr>
              <w:pStyle w:val="BodyText-nospacebelow"/>
              <w:spacing w:before="0" w:line="276" w:lineRule="auto"/>
              <w:ind w:right="0"/>
              <w:rPr>
                <w:lang w:eastAsia="en-AU"/>
              </w:rPr>
            </w:pPr>
            <w:r w:rsidRPr="00052447">
              <w:rPr>
                <w:lang w:eastAsia="en-AU"/>
              </w:rPr>
              <w:t>3</w:t>
            </w:r>
          </w:p>
        </w:tc>
        <w:tc>
          <w:tcPr>
            <w:tcW w:w="0" w:type="dxa"/>
            <w:vAlign w:val="center"/>
          </w:tcPr>
          <w:p w14:paraId="428D16DE" w14:textId="0F951B25" w:rsidR="00052447" w:rsidRPr="00052447" w:rsidRDefault="00052447" w:rsidP="00052447">
            <w:pPr>
              <w:pStyle w:val="BodyText-nospacebelow"/>
              <w:spacing w:before="0" w:line="276" w:lineRule="auto"/>
              <w:ind w:right="0"/>
              <w:rPr>
                <w:lang w:eastAsia="en-AU"/>
              </w:rPr>
            </w:pPr>
            <w:r w:rsidRPr="00052447">
              <w:rPr>
                <w:lang w:eastAsia="en-AU"/>
              </w:rPr>
              <w:t xml:space="preserve">Print </w:t>
            </w:r>
            <w:r w:rsidRPr="00052447">
              <w:rPr>
                <w:b/>
                <w:lang w:eastAsia="en-AU"/>
              </w:rPr>
              <w:t>or</w:t>
            </w:r>
            <w:r w:rsidRPr="00052447">
              <w:rPr>
                <w:lang w:eastAsia="en-AU"/>
              </w:rPr>
              <w:t xml:space="preserve"> electronic</w:t>
            </w:r>
            <w:r w:rsidR="00F239C6">
              <w:rPr>
                <w:lang w:eastAsia="en-AU"/>
              </w:rPr>
              <w:t xml:space="preserve"> notices</w:t>
            </w:r>
          </w:p>
        </w:tc>
        <w:tc>
          <w:tcPr>
            <w:tcW w:w="0" w:type="dxa"/>
            <w:vAlign w:val="center"/>
          </w:tcPr>
          <w:p w14:paraId="39B324E1" w14:textId="31FCE47A" w:rsidR="00052447" w:rsidRPr="00052447" w:rsidRDefault="00052447" w:rsidP="00052447">
            <w:pPr>
              <w:pStyle w:val="BodyText-nospacebelow"/>
              <w:spacing w:before="0" w:line="276" w:lineRule="auto"/>
              <w:ind w:right="0"/>
              <w:rPr>
                <w:lang w:eastAsia="en-AU"/>
              </w:rPr>
            </w:pPr>
            <w:r w:rsidRPr="00052447">
              <w:rPr>
                <w:lang w:eastAsia="en-AU"/>
              </w:rPr>
              <w:t xml:space="preserve">Print </w:t>
            </w:r>
            <w:r w:rsidRPr="00052447">
              <w:rPr>
                <w:b/>
                <w:lang w:eastAsia="en-AU"/>
              </w:rPr>
              <w:t>and</w:t>
            </w:r>
            <w:r w:rsidRPr="00052447">
              <w:rPr>
                <w:lang w:eastAsia="en-AU"/>
              </w:rPr>
              <w:t xml:space="preserve"> electronic </w:t>
            </w:r>
            <w:r w:rsidR="00F239C6">
              <w:rPr>
                <w:lang w:eastAsia="en-AU"/>
              </w:rPr>
              <w:t>notices</w:t>
            </w:r>
            <w:r w:rsidRPr="00052447">
              <w:rPr>
                <w:lang w:eastAsia="en-AU"/>
              </w:rPr>
              <w:t xml:space="preserve"> </w:t>
            </w:r>
          </w:p>
        </w:tc>
      </w:tr>
      <w:tr w:rsidR="00052447" w:rsidRPr="00052447" w14:paraId="38831514" w14:textId="77777777" w:rsidTr="00B221BD">
        <w:trPr>
          <w:trHeight w:val="700"/>
        </w:trPr>
        <w:tc>
          <w:tcPr>
            <w:tcW w:w="0" w:type="dxa"/>
            <w:vAlign w:val="center"/>
          </w:tcPr>
          <w:p w14:paraId="508F87C6" w14:textId="77777777" w:rsidR="00052447" w:rsidRPr="00052447" w:rsidRDefault="00052447" w:rsidP="00052447">
            <w:pPr>
              <w:pStyle w:val="BodyText-nospacebelow"/>
              <w:spacing w:before="0" w:line="276" w:lineRule="auto"/>
              <w:ind w:right="0"/>
              <w:rPr>
                <w:lang w:eastAsia="en-AU"/>
              </w:rPr>
            </w:pPr>
            <w:r w:rsidRPr="00052447">
              <w:rPr>
                <w:lang w:eastAsia="en-AU"/>
              </w:rPr>
              <w:t>4</w:t>
            </w:r>
          </w:p>
        </w:tc>
        <w:tc>
          <w:tcPr>
            <w:tcW w:w="0" w:type="dxa"/>
            <w:gridSpan w:val="2"/>
            <w:vAlign w:val="center"/>
          </w:tcPr>
          <w:p w14:paraId="2D5888C1" w14:textId="1912CCFE" w:rsidR="00052447" w:rsidRPr="00052447" w:rsidRDefault="00052447" w:rsidP="00B221BD">
            <w:pPr>
              <w:pStyle w:val="BodyText-nospacebelow"/>
              <w:spacing w:before="0" w:line="276" w:lineRule="auto"/>
              <w:ind w:right="0"/>
              <w:jc w:val="center"/>
              <w:rPr>
                <w:lang w:eastAsia="en-AU"/>
              </w:rPr>
            </w:pPr>
            <w:r w:rsidRPr="00052447">
              <w:rPr>
                <w:lang w:eastAsia="en-AU"/>
              </w:rPr>
              <w:t xml:space="preserve">Print </w:t>
            </w:r>
            <w:r w:rsidRPr="00B221BD">
              <w:rPr>
                <w:b/>
                <w:lang w:eastAsia="en-AU"/>
              </w:rPr>
              <w:t>or</w:t>
            </w:r>
            <w:r w:rsidRPr="00052447">
              <w:rPr>
                <w:lang w:eastAsia="en-AU"/>
              </w:rPr>
              <w:t xml:space="preserve"> electronic</w:t>
            </w:r>
            <w:r w:rsidR="00F239C6">
              <w:rPr>
                <w:lang w:eastAsia="en-AU"/>
              </w:rPr>
              <w:t xml:space="preserve"> notices</w:t>
            </w:r>
          </w:p>
        </w:tc>
      </w:tr>
      <w:tr w:rsidR="00052447" w:rsidRPr="00052447" w14:paraId="0AD2B066" w14:textId="77777777" w:rsidTr="00B221BD">
        <w:trPr>
          <w:trHeight w:val="700"/>
        </w:trPr>
        <w:tc>
          <w:tcPr>
            <w:tcW w:w="0" w:type="dxa"/>
            <w:vAlign w:val="center"/>
          </w:tcPr>
          <w:p w14:paraId="17CC6640" w14:textId="77777777" w:rsidR="00052447" w:rsidRPr="00052447" w:rsidRDefault="00052447" w:rsidP="00052447">
            <w:pPr>
              <w:pStyle w:val="BodyText-nospacebelow"/>
              <w:spacing w:before="0" w:line="276" w:lineRule="auto"/>
              <w:ind w:right="0"/>
              <w:rPr>
                <w:lang w:eastAsia="en-AU"/>
              </w:rPr>
            </w:pPr>
            <w:r w:rsidRPr="00052447">
              <w:rPr>
                <w:lang w:eastAsia="en-AU"/>
              </w:rPr>
              <w:t>5</w:t>
            </w:r>
          </w:p>
        </w:tc>
        <w:tc>
          <w:tcPr>
            <w:tcW w:w="0" w:type="dxa"/>
            <w:gridSpan w:val="2"/>
            <w:vAlign w:val="center"/>
          </w:tcPr>
          <w:p w14:paraId="177B71C1" w14:textId="6810427F" w:rsidR="00F239C6" w:rsidRDefault="00052447" w:rsidP="00B221BD">
            <w:pPr>
              <w:pStyle w:val="BodyText-nospacebelow"/>
              <w:spacing w:before="0" w:line="276" w:lineRule="auto"/>
              <w:ind w:right="0"/>
              <w:jc w:val="center"/>
              <w:rPr>
                <w:lang w:eastAsia="en-AU"/>
              </w:rPr>
            </w:pPr>
            <w:r w:rsidRPr="00052447">
              <w:rPr>
                <w:lang w:eastAsia="en-AU"/>
              </w:rPr>
              <w:t>Electronic notice required</w:t>
            </w:r>
          </w:p>
          <w:p w14:paraId="75C7BE0B" w14:textId="52D400D7" w:rsidR="00052447" w:rsidRPr="00052447" w:rsidRDefault="00052447" w:rsidP="00B221BD">
            <w:pPr>
              <w:pStyle w:val="BodyText-nospacebelow"/>
              <w:spacing w:before="0" w:line="276" w:lineRule="auto"/>
              <w:ind w:right="0"/>
              <w:jc w:val="center"/>
              <w:rPr>
                <w:lang w:eastAsia="en-AU"/>
              </w:rPr>
            </w:pPr>
            <w:r w:rsidRPr="00052447">
              <w:rPr>
                <w:lang w:eastAsia="en-AU"/>
              </w:rPr>
              <w:t xml:space="preserve">Additional print notices are </w:t>
            </w:r>
            <w:r w:rsidR="00F239C6">
              <w:rPr>
                <w:lang w:eastAsia="en-AU"/>
              </w:rPr>
              <w:t>optional</w:t>
            </w:r>
          </w:p>
        </w:tc>
      </w:tr>
      <w:tr w:rsidR="00052447" w:rsidRPr="00052447" w14:paraId="1BD365D8" w14:textId="77777777" w:rsidTr="00B221BD">
        <w:trPr>
          <w:trHeight w:val="700"/>
        </w:trPr>
        <w:tc>
          <w:tcPr>
            <w:tcW w:w="0" w:type="dxa"/>
            <w:vAlign w:val="center"/>
          </w:tcPr>
          <w:p w14:paraId="4FC5EB08" w14:textId="77777777" w:rsidR="00052447" w:rsidRPr="00052447" w:rsidRDefault="00052447" w:rsidP="00052447">
            <w:pPr>
              <w:pStyle w:val="BodyText-nospacebelow"/>
              <w:spacing w:before="0" w:line="276" w:lineRule="auto"/>
              <w:ind w:right="0"/>
              <w:rPr>
                <w:lang w:eastAsia="en-AU"/>
              </w:rPr>
            </w:pPr>
            <w:r w:rsidRPr="00052447">
              <w:rPr>
                <w:lang w:eastAsia="en-AU"/>
              </w:rPr>
              <w:t>6</w:t>
            </w:r>
          </w:p>
        </w:tc>
        <w:tc>
          <w:tcPr>
            <w:tcW w:w="0" w:type="dxa"/>
            <w:gridSpan w:val="2"/>
            <w:vAlign w:val="center"/>
          </w:tcPr>
          <w:p w14:paraId="76D671A9" w14:textId="2A3117DE" w:rsidR="00052447" w:rsidRPr="00052447" w:rsidRDefault="00052447" w:rsidP="00B221BD">
            <w:pPr>
              <w:pStyle w:val="BodyText-nospacebelow"/>
              <w:spacing w:before="0" w:line="276" w:lineRule="auto"/>
              <w:ind w:right="0"/>
              <w:jc w:val="center"/>
              <w:rPr>
                <w:lang w:eastAsia="en-AU"/>
              </w:rPr>
            </w:pPr>
            <w:r w:rsidRPr="00052447">
              <w:rPr>
                <w:lang w:eastAsia="en-AU"/>
              </w:rPr>
              <w:t xml:space="preserve">Print </w:t>
            </w:r>
            <w:r w:rsidRPr="00052447">
              <w:rPr>
                <w:b/>
                <w:lang w:eastAsia="en-AU"/>
              </w:rPr>
              <w:t>and</w:t>
            </w:r>
            <w:r w:rsidRPr="00052447">
              <w:rPr>
                <w:lang w:eastAsia="en-AU"/>
              </w:rPr>
              <w:t xml:space="preserve"> electronic notices</w:t>
            </w:r>
          </w:p>
        </w:tc>
      </w:tr>
      <w:tr w:rsidR="00052447" w:rsidRPr="00052447" w14:paraId="6EAAEEB6" w14:textId="77777777" w:rsidTr="00B221BD">
        <w:trPr>
          <w:trHeight w:val="700"/>
        </w:trPr>
        <w:tc>
          <w:tcPr>
            <w:tcW w:w="0" w:type="dxa"/>
            <w:vAlign w:val="center"/>
          </w:tcPr>
          <w:p w14:paraId="17F6D647" w14:textId="77777777" w:rsidR="00052447" w:rsidRPr="00052447" w:rsidRDefault="00052447" w:rsidP="00052447">
            <w:pPr>
              <w:pStyle w:val="BodyText-nospacebelow"/>
              <w:spacing w:before="0" w:line="276" w:lineRule="auto"/>
              <w:ind w:right="0"/>
              <w:rPr>
                <w:lang w:eastAsia="en-AU"/>
              </w:rPr>
            </w:pPr>
            <w:r w:rsidRPr="00052447">
              <w:rPr>
                <w:lang w:eastAsia="en-AU"/>
              </w:rPr>
              <w:t>7</w:t>
            </w:r>
          </w:p>
        </w:tc>
        <w:tc>
          <w:tcPr>
            <w:tcW w:w="0" w:type="dxa"/>
            <w:vAlign w:val="center"/>
          </w:tcPr>
          <w:p w14:paraId="73872E38" w14:textId="262A6559" w:rsidR="00052447" w:rsidRPr="00052447" w:rsidRDefault="00052447" w:rsidP="00052447">
            <w:pPr>
              <w:pStyle w:val="BodyText-nospacebelow"/>
              <w:spacing w:before="0" w:line="276" w:lineRule="auto"/>
              <w:ind w:right="0"/>
              <w:rPr>
                <w:lang w:eastAsia="en-AU"/>
              </w:rPr>
            </w:pPr>
            <w:r w:rsidRPr="00052447">
              <w:rPr>
                <w:lang w:eastAsia="en-AU"/>
              </w:rPr>
              <w:t>Electronic notice on local government website</w:t>
            </w:r>
          </w:p>
        </w:tc>
        <w:tc>
          <w:tcPr>
            <w:tcW w:w="0" w:type="dxa"/>
            <w:vAlign w:val="center"/>
          </w:tcPr>
          <w:p w14:paraId="2404FEAD" w14:textId="4F53B514" w:rsidR="00052447" w:rsidRPr="00052447" w:rsidRDefault="00052447">
            <w:pPr>
              <w:pStyle w:val="BodyText-nospacebelow"/>
              <w:spacing w:before="0" w:line="276" w:lineRule="auto"/>
              <w:ind w:left="0" w:right="0"/>
              <w:rPr>
                <w:lang w:eastAsia="en-AU"/>
              </w:rPr>
            </w:pPr>
            <w:r w:rsidRPr="00052447">
              <w:rPr>
                <w:lang w:eastAsia="en-AU"/>
              </w:rPr>
              <w:t xml:space="preserve">Electronic notice published on centralised website </w:t>
            </w:r>
          </w:p>
        </w:tc>
      </w:tr>
    </w:tbl>
    <w:p w14:paraId="2E94C157" w14:textId="77777777" w:rsidR="00052447" w:rsidRPr="00052447" w:rsidRDefault="00052447" w:rsidP="00052447">
      <w:pPr>
        <w:pStyle w:val="BodyText-nospacebelow"/>
        <w:rPr>
          <w:lang w:eastAsia="en-AU"/>
        </w:rPr>
      </w:pPr>
    </w:p>
    <w:p w14:paraId="1BC9FEF3" w14:textId="77777777" w:rsidR="00052447" w:rsidRPr="00052447" w:rsidRDefault="00052447" w:rsidP="00CF276F">
      <w:pPr>
        <w:pStyle w:val="Heading3"/>
        <w:jc w:val="both"/>
        <w:rPr>
          <w:lang w:eastAsia="en-AU"/>
        </w:rPr>
      </w:pPr>
      <w:bookmarkStart w:id="1133" w:name="_Toc487711045"/>
      <w:bookmarkStart w:id="1134" w:name="_Toc487727837"/>
      <w:bookmarkStart w:id="1135" w:name="_Toc487728208"/>
      <w:bookmarkStart w:id="1136" w:name="_Toc491097275"/>
      <w:bookmarkStart w:id="1137" w:name="_Toc491097665"/>
      <w:bookmarkStart w:id="1138" w:name="_Toc491857123"/>
      <w:bookmarkStart w:id="1139" w:name="_Toc491872743"/>
      <w:bookmarkStart w:id="1140" w:name="_Toc491873677"/>
      <w:bookmarkStart w:id="1141" w:name="_Toc491934305"/>
      <w:bookmarkStart w:id="1142" w:name="_Toc492368934"/>
      <w:bookmarkStart w:id="1143" w:name="_Toc492386661"/>
      <w:bookmarkStart w:id="1144" w:name="_Toc492468903"/>
      <w:bookmarkStart w:id="1145" w:name="_Toc492470579"/>
      <w:bookmarkStart w:id="1146" w:name="_Toc492471259"/>
      <w:bookmarkStart w:id="1147" w:name="_Toc492471381"/>
      <w:bookmarkStart w:id="1148" w:name="_Toc493746783"/>
      <w:bookmarkStart w:id="1149" w:name="_Toc493768915"/>
      <w:bookmarkStart w:id="1150" w:name="_Toc493859985"/>
      <w:bookmarkStart w:id="1151" w:name="_Toc495491883"/>
      <w:bookmarkStart w:id="1152" w:name="_Toc495497662"/>
      <w:bookmarkStart w:id="1153" w:name="_Toc495671496"/>
      <w:bookmarkStart w:id="1154" w:name="_Toc495676097"/>
      <w:bookmarkStart w:id="1155" w:name="_Toc495678392"/>
      <w:bookmarkStart w:id="1156" w:name="_Toc495998389"/>
      <w:bookmarkStart w:id="1157" w:name="_Toc497741859"/>
      <w:bookmarkStart w:id="1158" w:name="_Toc485132588"/>
      <w:bookmarkStart w:id="1159" w:name="_Toc485133460"/>
      <w:bookmarkStart w:id="1160" w:name="_Toc485739910"/>
      <w:bookmarkStart w:id="1161" w:name="_Toc485821406"/>
      <w:bookmarkStart w:id="1162" w:name="_Toc486318116"/>
      <w:bookmarkStart w:id="1163" w:name="_Toc486861277"/>
      <w:bookmarkStart w:id="1164" w:name="_Toc486926717"/>
      <w:bookmarkStart w:id="1165" w:name="_Toc487553383"/>
      <w:bookmarkStart w:id="1166" w:name="_Toc487625910"/>
      <w:r w:rsidRPr="00052447">
        <w:rPr>
          <w:lang w:eastAsia="en-AU"/>
        </w:rPr>
        <w:t>Specific options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2F4669AC" w14:textId="77777777" w:rsidR="00052447" w:rsidRDefault="00052447" w:rsidP="00CF276F">
      <w:pPr>
        <w:pStyle w:val="BodyText-nospacebelow"/>
        <w:jc w:val="both"/>
        <w:rPr>
          <w:lang w:eastAsia="en-AU"/>
        </w:rPr>
      </w:pPr>
      <w:r w:rsidRPr="00052447">
        <w:rPr>
          <w:lang w:eastAsia="en-AU"/>
        </w:rPr>
        <w:t xml:space="preserve">In addition to reviewing </w:t>
      </w:r>
      <w:r w:rsidR="00E36560">
        <w:rPr>
          <w:lang w:eastAsia="en-AU"/>
        </w:rPr>
        <w:t xml:space="preserve">how notices are </w:t>
      </w:r>
      <w:r w:rsidR="00B67C85">
        <w:rPr>
          <w:lang w:eastAsia="en-AU"/>
        </w:rPr>
        <w:t>made available</w:t>
      </w:r>
      <w:r w:rsidRPr="00052447">
        <w:rPr>
          <w:lang w:eastAsia="en-AU"/>
        </w:rPr>
        <w:t xml:space="preserve">, the question also arises </w:t>
      </w:r>
      <w:r w:rsidR="00B67C85">
        <w:rPr>
          <w:lang w:eastAsia="en-AU"/>
        </w:rPr>
        <w:t xml:space="preserve">as to </w:t>
      </w:r>
      <w:r w:rsidRPr="00052447">
        <w:rPr>
          <w:lang w:eastAsia="en-AU"/>
        </w:rPr>
        <w:t>whether a particular type of notice is still appropriate in its current form.</w:t>
      </w:r>
    </w:p>
    <w:p w14:paraId="3B50CA92" w14:textId="77777777" w:rsidR="00B67C85" w:rsidRPr="00052447" w:rsidRDefault="00B67C85" w:rsidP="00CF276F">
      <w:pPr>
        <w:pStyle w:val="BodyText-nospacebelow"/>
        <w:spacing w:after="60"/>
        <w:jc w:val="both"/>
        <w:rPr>
          <w:lang w:eastAsia="en-AU"/>
        </w:rPr>
      </w:pPr>
    </w:p>
    <w:p w14:paraId="257809C6" w14:textId="77777777" w:rsidR="00052447" w:rsidRPr="00052447" w:rsidRDefault="00052447" w:rsidP="00CF276F">
      <w:pPr>
        <w:pStyle w:val="BodyText-nospacebelow"/>
        <w:spacing w:after="60"/>
        <w:jc w:val="both"/>
        <w:rPr>
          <w:lang w:eastAsia="en-AU"/>
        </w:rPr>
      </w:pPr>
      <w:r w:rsidRPr="00052447">
        <w:rPr>
          <w:lang w:eastAsia="en-AU"/>
        </w:rPr>
        <w:t>For each type of notice, there are several options which are available:</w:t>
      </w:r>
    </w:p>
    <w:p w14:paraId="091BB664" w14:textId="1875E166" w:rsidR="00052447" w:rsidRPr="00052447" w:rsidRDefault="00052447" w:rsidP="00CF276F">
      <w:pPr>
        <w:pStyle w:val="BodyText-nospacebelow"/>
        <w:numPr>
          <w:ilvl w:val="0"/>
          <w:numId w:val="68"/>
        </w:numPr>
        <w:spacing w:after="60"/>
        <w:jc w:val="both"/>
        <w:rPr>
          <w:lang w:eastAsia="en-AU"/>
        </w:rPr>
      </w:pPr>
      <w:r w:rsidRPr="00052447">
        <w:rPr>
          <w:lang w:eastAsia="en-AU"/>
        </w:rPr>
        <w:t>The requirement can remain unchanged;</w:t>
      </w:r>
    </w:p>
    <w:p w14:paraId="0730DC6B" w14:textId="4E5D5D13" w:rsidR="00052447" w:rsidRPr="00052447" w:rsidRDefault="00052447" w:rsidP="00CF276F">
      <w:pPr>
        <w:pStyle w:val="BodyText-nospacebelow"/>
        <w:numPr>
          <w:ilvl w:val="0"/>
          <w:numId w:val="68"/>
        </w:numPr>
        <w:spacing w:after="60"/>
        <w:jc w:val="both"/>
        <w:rPr>
          <w:lang w:eastAsia="en-AU"/>
        </w:rPr>
      </w:pPr>
      <w:r w:rsidRPr="00052447">
        <w:rPr>
          <w:lang w:eastAsia="en-AU"/>
        </w:rPr>
        <w:t>The type of notice requ</w:t>
      </w:r>
      <w:r w:rsidR="00B15FF5">
        <w:rPr>
          <w:lang w:eastAsia="en-AU"/>
        </w:rPr>
        <w:t>ired by the Act may be changed</w:t>
      </w:r>
      <w:r w:rsidRPr="00052447">
        <w:rPr>
          <w:lang w:eastAsia="en-AU"/>
        </w:rPr>
        <w:t xml:space="preserve"> from state-wide notice to local notice;</w:t>
      </w:r>
    </w:p>
    <w:p w14:paraId="7884B049" w14:textId="2016341F" w:rsidR="00052447" w:rsidRPr="00052447" w:rsidRDefault="00052447" w:rsidP="00CF276F">
      <w:pPr>
        <w:pStyle w:val="BodyText-nospacebelow"/>
        <w:numPr>
          <w:ilvl w:val="0"/>
          <w:numId w:val="68"/>
        </w:numPr>
        <w:spacing w:after="60"/>
        <w:jc w:val="both"/>
        <w:rPr>
          <w:lang w:eastAsia="en-AU"/>
        </w:rPr>
      </w:pPr>
      <w:r w:rsidRPr="00052447">
        <w:rPr>
          <w:lang w:eastAsia="en-AU"/>
        </w:rPr>
        <w:t>The for</w:t>
      </w:r>
      <w:r w:rsidR="00B15FF5">
        <w:rPr>
          <w:lang w:eastAsia="en-AU"/>
        </w:rPr>
        <w:t xml:space="preserve">m of the notice can be changed </w:t>
      </w:r>
      <w:r w:rsidRPr="00052447">
        <w:rPr>
          <w:lang w:eastAsia="en-AU"/>
        </w:rPr>
        <w:t>from print to electronic;</w:t>
      </w:r>
    </w:p>
    <w:p w14:paraId="156BE24C" w14:textId="77777777" w:rsidR="00052447" w:rsidRPr="00052447" w:rsidRDefault="00052447" w:rsidP="00CF276F">
      <w:pPr>
        <w:pStyle w:val="BodyText-nospacebelow"/>
        <w:numPr>
          <w:ilvl w:val="0"/>
          <w:numId w:val="68"/>
        </w:numPr>
        <w:jc w:val="both"/>
        <w:rPr>
          <w:lang w:eastAsia="en-AU"/>
        </w:rPr>
      </w:pPr>
      <w:r w:rsidRPr="00052447">
        <w:rPr>
          <w:lang w:eastAsia="en-AU"/>
        </w:rPr>
        <w:t xml:space="preserve">The requirement to issue the notice may </w:t>
      </w:r>
      <w:r w:rsidR="00C96DCA">
        <w:rPr>
          <w:lang w:eastAsia="en-AU"/>
        </w:rPr>
        <w:t>no longer be necessary</w:t>
      </w:r>
      <w:r w:rsidRPr="00052447">
        <w:rPr>
          <w:lang w:eastAsia="en-AU"/>
        </w:rPr>
        <w:t>.</w:t>
      </w:r>
    </w:p>
    <w:p w14:paraId="66D54829" w14:textId="77777777" w:rsidR="00052447" w:rsidRPr="00052447" w:rsidRDefault="00052447" w:rsidP="00CF276F">
      <w:pPr>
        <w:pStyle w:val="BodyText-nospacebelow"/>
        <w:jc w:val="both"/>
        <w:rPr>
          <w:lang w:eastAsia="en-AU"/>
        </w:rPr>
      </w:pPr>
    </w:p>
    <w:p w14:paraId="1F3E42D6" w14:textId="77777777" w:rsidR="00052447" w:rsidRPr="00052447" w:rsidRDefault="00C96DCA" w:rsidP="00CF276F">
      <w:pPr>
        <w:pStyle w:val="BodyText-nospacebelow"/>
        <w:jc w:val="both"/>
        <w:rPr>
          <w:lang w:eastAsia="en-AU"/>
        </w:rPr>
      </w:pPr>
      <w:r>
        <w:rPr>
          <w:lang w:eastAsia="en-AU"/>
        </w:rPr>
        <w:t xml:space="preserve">How </w:t>
      </w:r>
      <w:r w:rsidR="00F239C6">
        <w:rPr>
          <w:lang w:eastAsia="en-AU"/>
        </w:rPr>
        <w:t xml:space="preserve">appropriate </w:t>
      </w:r>
      <w:r>
        <w:rPr>
          <w:lang w:eastAsia="en-AU"/>
        </w:rPr>
        <w:t>these options</w:t>
      </w:r>
      <w:r w:rsidR="00F239C6">
        <w:rPr>
          <w:lang w:eastAsia="en-AU"/>
        </w:rPr>
        <w:t xml:space="preserve"> </w:t>
      </w:r>
      <w:r>
        <w:rPr>
          <w:lang w:eastAsia="en-AU"/>
        </w:rPr>
        <w:t>are</w:t>
      </w:r>
      <w:r w:rsidR="00052447" w:rsidRPr="00052447">
        <w:rPr>
          <w:lang w:eastAsia="en-AU"/>
        </w:rPr>
        <w:t xml:space="preserve"> will depend on the type of notice and </w:t>
      </w:r>
      <w:r>
        <w:rPr>
          <w:lang w:eastAsia="en-AU"/>
        </w:rPr>
        <w:t>the reason for its issue</w:t>
      </w:r>
      <w:r w:rsidR="00052447" w:rsidRPr="00052447">
        <w:rPr>
          <w:lang w:eastAsia="en-AU"/>
        </w:rPr>
        <w:t xml:space="preserve">. </w:t>
      </w:r>
    </w:p>
    <w:bookmarkEnd w:id="1158"/>
    <w:bookmarkEnd w:id="1159"/>
    <w:bookmarkEnd w:id="1160"/>
    <w:bookmarkEnd w:id="1161"/>
    <w:bookmarkEnd w:id="1162"/>
    <w:bookmarkEnd w:id="1163"/>
    <w:bookmarkEnd w:id="1164"/>
    <w:bookmarkEnd w:id="1165"/>
    <w:bookmarkEnd w:id="1166"/>
    <w:p w14:paraId="3296BB79" w14:textId="77777777" w:rsidR="00052447" w:rsidRPr="00052447" w:rsidRDefault="00052447" w:rsidP="00052447">
      <w:pPr>
        <w:pStyle w:val="BodyText-nospacebelow"/>
        <w:rPr>
          <w:lang w:eastAsia="en-AU"/>
        </w:rPr>
      </w:pPr>
    </w:p>
    <w:p w14:paraId="5BA2DF7B" w14:textId="77777777" w:rsidR="00B67C85" w:rsidRDefault="00B67C85" w:rsidP="00B67C85">
      <w:pPr>
        <w:pStyle w:val="IntenseQuote"/>
        <w:rPr>
          <w:b/>
          <w:sz w:val="28"/>
        </w:rPr>
      </w:pPr>
      <w:r>
        <w:rPr>
          <w:b/>
          <w:sz w:val="28"/>
        </w:rPr>
        <w:t>Public notices: Guidance questions</w:t>
      </w:r>
    </w:p>
    <w:p w14:paraId="12645950" w14:textId="31F3C0E5" w:rsidR="00052447" w:rsidRDefault="00052447" w:rsidP="00DB759E">
      <w:pPr>
        <w:pStyle w:val="BodyText2-nospacebelow"/>
        <w:numPr>
          <w:ilvl w:val="0"/>
          <w:numId w:val="19"/>
        </w:numPr>
        <w:spacing w:after="120"/>
        <w:rPr>
          <w:lang w:eastAsia="en-AU"/>
        </w:rPr>
      </w:pPr>
      <w:r>
        <w:rPr>
          <w:lang w:eastAsia="en-AU"/>
        </w:rPr>
        <w:lastRenderedPageBreak/>
        <w:t xml:space="preserve">Which general option do you prefer for </w:t>
      </w:r>
      <w:r w:rsidR="00B67C85">
        <w:rPr>
          <w:lang w:eastAsia="en-AU"/>
        </w:rPr>
        <w:t xml:space="preserve">making </w:t>
      </w:r>
      <w:r>
        <w:rPr>
          <w:lang w:eastAsia="en-AU"/>
        </w:rPr>
        <w:t xml:space="preserve">local </w:t>
      </w:r>
      <w:r w:rsidR="00C84942">
        <w:rPr>
          <w:lang w:eastAsia="en-AU"/>
        </w:rPr>
        <w:t xml:space="preserve">public </w:t>
      </w:r>
      <w:r>
        <w:rPr>
          <w:lang w:eastAsia="en-AU"/>
        </w:rPr>
        <w:t>notices</w:t>
      </w:r>
      <w:r w:rsidR="00B67C85">
        <w:rPr>
          <w:lang w:eastAsia="en-AU"/>
        </w:rPr>
        <w:t xml:space="preserve"> available</w:t>
      </w:r>
      <w:r>
        <w:rPr>
          <w:lang w:eastAsia="en-AU"/>
        </w:rPr>
        <w:t>?  Why?</w:t>
      </w:r>
    </w:p>
    <w:p w14:paraId="2EC30D8F" w14:textId="1D769989" w:rsidR="00052447" w:rsidRDefault="00052447" w:rsidP="00DB759E">
      <w:pPr>
        <w:pStyle w:val="BodyText2-nospacebelow"/>
        <w:numPr>
          <w:ilvl w:val="0"/>
          <w:numId w:val="19"/>
        </w:numPr>
        <w:spacing w:after="120"/>
        <w:rPr>
          <w:lang w:eastAsia="en-AU"/>
        </w:rPr>
      </w:pPr>
      <w:r>
        <w:rPr>
          <w:lang w:eastAsia="en-AU"/>
        </w:rPr>
        <w:t xml:space="preserve">Which general option do you prefer for State-wide </w:t>
      </w:r>
      <w:r w:rsidR="00C84942">
        <w:rPr>
          <w:lang w:eastAsia="en-AU"/>
        </w:rPr>
        <w:t xml:space="preserve">public </w:t>
      </w:r>
      <w:r>
        <w:rPr>
          <w:lang w:eastAsia="en-AU"/>
        </w:rPr>
        <w:t>notices?  Why?</w:t>
      </w:r>
    </w:p>
    <w:p w14:paraId="0BEBE2F8" w14:textId="69ECDB68" w:rsidR="00052447" w:rsidRDefault="00C96DCA" w:rsidP="00DB759E">
      <w:pPr>
        <w:pStyle w:val="BodyText2-nospacebelow"/>
        <w:numPr>
          <w:ilvl w:val="0"/>
          <w:numId w:val="19"/>
        </w:numPr>
        <w:spacing w:after="120"/>
        <w:rPr>
          <w:lang w:eastAsia="en-AU"/>
        </w:rPr>
      </w:pPr>
      <w:r>
        <w:rPr>
          <w:lang w:eastAsia="en-AU"/>
        </w:rPr>
        <w:t>With reference to the list of public notices, d</w:t>
      </w:r>
      <w:r w:rsidR="00052447">
        <w:rPr>
          <w:lang w:eastAsia="en-AU"/>
        </w:rPr>
        <w:t>o you believe that the requirement for a particular notice should be changed?  Please provide details.</w:t>
      </w:r>
    </w:p>
    <w:p w14:paraId="736F0A86" w14:textId="77777777" w:rsidR="007E7377" w:rsidRDefault="00734712" w:rsidP="00DB759E">
      <w:pPr>
        <w:pStyle w:val="BodyText2-nospacebelow"/>
        <w:numPr>
          <w:ilvl w:val="0"/>
          <w:numId w:val="19"/>
        </w:numPr>
        <w:spacing w:after="120"/>
      </w:pPr>
      <w:r>
        <w:rPr>
          <w:lang w:eastAsia="en-AU"/>
        </w:rPr>
        <w:t>For the</w:t>
      </w:r>
      <w:r>
        <w:t xml:space="preserve"> State-wide notices in Attachment 3, are there alternative websites where any of this information could be made available?  </w:t>
      </w:r>
    </w:p>
    <w:p w14:paraId="05F3ACFF" w14:textId="77777777" w:rsidR="00052447" w:rsidRPr="00052447" w:rsidRDefault="00052447" w:rsidP="00052447">
      <w:pPr>
        <w:pStyle w:val="BodyText-nospacebelow"/>
      </w:pPr>
    </w:p>
    <w:p w14:paraId="70405EEB" w14:textId="77777777" w:rsidR="00025F7C" w:rsidRDefault="00025F7C" w:rsidP="003A1777">
      <w:pPr>
        <w:pStyle w:val="Heading2"/>
        <w:numPr>
          <w:ilvl w:val="1"/>
          <w:numId w:val="65"/>
        </w:numPr>
      </w:pPr>
      <w:bookmarkStart w:id="1167" w:name="_Toc493746784"/>
      <w:bookmarkStart w:id="1168" w:name="_Toc493768916"/>
      <w:bookmarkStart w:id="1169" w:name="_Toc493859986"/>
      <w:bookmarkStart w:id="1170" w:name="_Toc495491884"/>
      <w:bookmarkStart w:id="1171" w:name="_Toc495497663"/>
      <w:bookmarkStart w:id="1172" w:name="_Toc495671497"/>
      <w:bookmarkStart w:id="1173" w:name="_Toc495676098"/>
      <w:bookmarkStart w:id="1174" w:name="_Toc495678393"/>
      <w:bookmarkStart w:id="1175" w:name="_Toc495998390"/>
      <w:bookmarkStart w:id="1176" w:name="_Toc497741860"/>
      <w:r>
        <w:t>Information available for public inspection</w:t>
      </w:r>
      <w:bookmarkEnd w:id="1167"/>
      <w:bookmarkEnd w:id="1168"/>
      <w:bookmarkEnd w:id="1169"/>
      <w:bookmarkEnd w:id="1170"/>
      <w:bookmarkEnd w:id="1171"/>
      <w:bookmarkEnd w:id="1172"/>
      <w:bookmarkEnd w:id="1173"/>
      <w:bookmarkEnd w:id="1174"/>
      <w:bookmarkEnd w:id="1175"/>
      <w:bookmarkEnd w:id="1176"/>
    </w:p>
    <w:p w14:paraId="7086449F" w14:textId="77777777" w:rsidR="00025F7C" w:rsidRDefault="00E36560" w:rsidP="00CF276F">
      <w:pPr>
        <w:pStyle w:val="BodyText-nospacebelow"/>
        <w:jc w:val="both"/>
      </w:pPr>
      <w:r>
        <w:t>U</w:t>
      </w:r>
      <w:r w:rsidR="00025F7C" w:rsidRPr="00025F7C">
        <w:t xml:space="preserve">nder the Act there are a number of registers and documents that local governments are required to produce and maintain. These documents are required to be available for inspection at </w:t>
      </w:r>
      <w:r w:rsidR="00552B60">
        <w:t>the</w:t>
      </w:r>
      <w:r w:rsidRPr="00025F7C">
        <w:t xml:space="preserve"> </w:t>
      </w:r>
      <w:r w:rsidR="00025F7C" w:rsidRPr="00025F7C">
        <w:t xml:space="preserve">local government office on request. </w:t>
      </w:r>
    </w:p>
    <w:p w14:paraId="6A036D4A" w14:textId="77777777" w:rsidR="00025F7C" w:rsidRPr="00025F7C" w:rsidRDefault="00025F7C" w:rsidP="00CF276F">
      <w:pPr>
        <w:pStyle w:val="BodyText-nospacebelow"/>
        <w:jc w:val="both"/>
      </w:pPr>
    </w:p>
    <w:p w14:paraId="20848E85" w14:textId="77777777" w:rsidR="00025F7C" w:rsidRDefault="00CF37F1" w:rsidP="00CF276F">
      <w:pPr>
        <w:pStyle w:val="BodyText-nospacebelow"/>
        <w:jc w:val="both"/>
      </w:pPr>
      <w:r>
        <w:t>I</w:t>
      </w:r>
      <w:r w:rsidRPr="00025F7C">
        <w:t>nformation</w:t>
      </w:r>
      <w:r w:rsidR="00025F7C" w:rsidRPr="00025F7C">
        <w:t xml:space="preserve"> that is </w:t>
      </w:r>
      <w:r>
        <w:t xml:space="preserve">currently </w:t>
      </w:r>
      <w:r w:rsidR="00025F7C" w:rsidRPr="00025F7C">
        <w:t>required to be available to the public:</w:t>
      </w:r>
    </w:p>
    <w:p w14:paraId="185C479B" w14:textId="77777777" w:rsidR="00552B60" w:rsidRDefault="00552B60" w:rsidP="00CF276F">
      <w:pPr>
        <w:pStyle w:val="BodyText-nospacebelow"/>
        <w:jc w:val="both"/>
      </w:pPr>
    </w:p>
    <w:tbl>
      <w:tblPr>
        <w:tblStyle w:val="DLGCTable-Data"/>
        <w:tblW w:w="0" w:type="auto"/>
        <w:tblLook w:val="04A0" w:firstRow="1" w:lastRow="0" w:firstColumn="1" w:lastColumn="0" w:noHBand="0" w:noVBand="1"/>
      </w:tblPr>
      <w:tblGrid>
        <w:gridCol w:w="9016"/>
      </w:tblGrid>
      <w:tr w:rsidR="00025F7C" w:rsidRPr="00025F7C" w14:paraId="06EB8132" w14:textId="77777777" w:rsidTr="00C25BDE">
        <w:trPr>
          <w:cnfStyle w:val="100000000000" w:firstRow="1" w:lastRow="0" w:firstColumn="0" w:lastColumn="0" w:oddVBand="0" w:evenVBand="0" w:oddHBand="0" w:evenHBand="0" w:firstRowFirstColumn="0" w:firstRowLastColumn="0" w:lastRowFirstColumn="0" w:lastRowLastColumn="0"/>
        </w:trPr>
        <w:tc>
          <w:tcPr>
            <w:tcW w:w="9016" w:type="dxa"/>
          </w:tcPr>
          <w:p w14:paraId="2733BD22" w14:textId="77777777" w:rsidR="00025F7C" w:rsidRPr="00025F7C" w:rsidRDefault="00025F7C" w:rsidP="00552B60">
            <w:pPr>
              <w:pStyle w:val="BodyText-nospacebelow"/>
              <w:spacing w:after="100"/>
            </w:pPr>
            <w:r w:rsidRPr="00025F7C">
              <w:t xml:space="preserve">Information </w:t>
            </w:r>
            <w:r w:rsidR="00E36560">
              <w:t>r</w:t>
            </w:r>
            <w:r w:rsidRPr="00025F7C">
              <w:t xml:space="preserve">equired to be </w:t>
            </w:r>
            <w:r w:rsidR="00E36560">
              <w:t xml:space="preserve">made </w:t>
            </w:r>
            <w:r w:rsidRPr="00025F7C">
              <w:t>available</w:t>
            </w:r>
          </w:p>
        </w:tc>
      </w:tr>
      <w:tr w:rsidR="00025F7C" w:rsidRPr="00025F7C" w14:paraId="7B820B48" w14:textId="77777777" w:rsidTr="00CF37F1">
        <w:trPr>
          <w:trHeight w:val="340"/>
        </w:trPr>
        <w:tc>
          <w:tcPr>
            <w:tcW w:w="9016" w:type="dxa"/>
            <w:noWrap/>
            <w:hideMark/>
          </w:tcPr>
          <w:p w14:paraId="13C8055A" w14:textId="1F9CB10B" w:rsidR="00025F7C" w:rsidRPr="00025F7C" w:rsidRDefault="00025F7C" w:rsidP="00552B60">
            <w:pPr>
              <w:pStyle w:val="BodyText-nospacebelow"/>
              <w:spacing w:after="100"/>
            </w:pPr>
            <w:r w:rsidRPr="00025F7C">
              <w:t>Annual Report</w:t>
            </w:r>
          </w:p>
        </w:tc>
      </w:tr>
      <w:tr w:rsidR="00025F7C" w:rsidRPr="00025F7C" w14:paraId="2CBACBBD" w14:textId="77777777" w:rsidTr="00CF37F1">
        <w:trPr>
          <w:trHeight w:val="340"/>
        </w:trPr>
        <w:tc>
          <w:tcPr>
            <w:tcW w:w="9016" w:type="dxa"/>
            <w:noWrap/>
          </w:tcPr>
          <w:p w14:paraId="46F7D532" w14:textId="589D3190" w:rsidR="00025F7C" w:rsidRPr="00025F7C" w:rsidRDefault="00025F7C" w:rsidP="00552B60">
            <w:pPr>
              <w:pStyle w:val="BodyText-nospacebelow"/>
              <w:spacing w:after="100"/>
            </w:pPr>
            <w:r w:rsidRPr="00025F7C">
              <w:t>Annual Budget</w:t>
            </w:r>
          </w:p>
        </w:tc>
      </w:tr>
      <w:tr w:rsidR="00025F7C" w:rsidRPr="00025F7C" w14:paraId="0C87F454" w14:textId="77777777" w:rsidTr="00CF37F1">
        <w:trPr>
          <w:trHeight w:val="340"/>
        </w:trPr>
        <w:tc>
          <w:tcPr>
            <w:tcW w:w="9016" w:type="dxa"/>
            <w:noWrap/>
          </w:tcPr>
          <w:p w14:paraId="1526CCB5" w14:textId="30BB59CE" w:rsidR="00025F7C" w:rsidRPr="00025F7C" w:rsidRDefault="00025F7C" w:rsidP="00552B60">
            <w:pPr>
              <w:pStyle w:val="BodyText-nospacebelow"/>
              <w:spacing w:after="100"/>
            </w:pPr>
            <w:r w:rsidRPr="00025F7C">
              <w:t>Future plan for the district</w:t>
            </w:r>
          </w:p>
        </w:tc>
      </w:tr>
      <w:tr w:rsidR="00025F7C" w:rsidRPr="00025F7C" w14:paraId="76E711C3" w14:textId="77777777" w:rsidTr="00CF37F1">
        <w:trPr>
          <w:trHeight w:val="340"/>
        </w:trPr>
        <w:tc>
          <w:tcPr>
            <w:tcW w:w="9016" w:type="dxa"/>
            <w:noWrap/>
          </w:tcPr>
          <w:p w14:paraId="56B4F34F" w14:textId="60707F38" w:rsidR="00025F7C" w:rsidRPr="00025F7C" w:rsidRDefault="00025F7C" w:rsidP="00552B60">
            <w:pPr>
              <w:pStyle w:val="BodyText-nospacebelow"/>
              <w:spacing w:after="100"/>
            </w:pPr>
            <w:r w:rsidRPr="00025F7C">
              <w:t>Minutes of council, committee and elector meetings</w:t>
            </w:r>
          </w:p>
        </w:tc>
      </w:tr>
      <w:tr w:rsidR="00025F7C" w:rsidRPr="00025F7C" w14:paraId="5C288FF5" w14:textId="77777777" w:rsidTr="00CF37F1">
        <w:trPr>
          <w:trHeight w:val="340"/>
        </w:trPr>
        <w:tc>
          <w:tcPr>
            <w:tcW w:w="9016" w:type="dxa"/>
            <w:noWrap/>
          </w:tcPr>
          <w:p w14:paraId="19A14D8B" w14:textId="26037B1A" w:rsidR="00025F7C" w:rsidRPr="00025F7C" w:rsidRDefault="00025F7C" w:rsidP="00552B60">
            <w:pPr>
              <w:pStyle w:val="BodyText-nospacebelow"/>
              <w:spacing w:after="100"/>
            </w:pPr>
            <w:r w:rsidRPr="00025F7C">
              <w:t>Notice papers and agendas of meetings</w:t>
            </w:r>
          </w:p>
        </w:tc>
      </w:tr>
      <w:tr w:rsidR="00025F7C" w:rsidRPr="00025F7C" w14:paraId="56A35F82" w14:textId="77777777" w:rsidTr="00CF37F1">
        <w:trPr>
          <w:trHeight w:val="340"/>
        </w:trPr>
        <w:tc>
          <w:tcPr>
            <w:tcW w:w="9016" w:type="dxa"/>
            <w:noWrap/>
          </w:tcPr>
          <w:p w14:paraId="1B278844" w14:textId="0B4736C4" w:rsidR="00025F7C" w:rsidRPr="00025F7C" w:rsidRDefault="00025F7C" w:rsidP="00552B60">
            <w:pPr>
              <w:pStyle w:val="BodyText-nospacebelow"/>
              <w:spacing w:after="100"/>
            </w:pPr>
            <w:r w:rsidRPr="00025F7C">
              <w:t>Reports tabled at a council or committee meeting</w:t>
            </w:r>
          </w:p>
        </w:tc>
      </w:tr>
      <w:tr w:rsidR="00025F7C" w:rsidRPr="00025F7C" w14:paraId="74A3E569" w14:textId="77777777" w:rsidTr="00C25BDE">
        <w:trPr>
          <w:trHeight w:val="540"/>
        </w:trPr>
        <w:tc>
          <w:tcPr>
            <w:tcW w:w="9016" w:type="dxa"/>
            <w:noWrap/>
            <w:hideMark/>
          </w:tcPr>
          <w:p w14:paraId="5493F104" w14:textId="6F4CE01A" w:rsidR="00025F7C" w:rsidRPr="00025F7C" w:rsidRDefault="00025F7C" w:rsidP="00552B60">
            <w:pPr>
              <w:pStyle w:val="BodyText-nospacebelow"/>
              <w:spacing w:after="100"/>
            </w:pPr>
            <w:r w:rsidRPr="00025F7C">
              <w:t xml:space="preserve">Primary and Annual returns – for </w:t>
            </w:r>
            <w:r w:rsidR="00246B9A">
              <w:t>elected member</w:t>
            </w:r>
            <w:r w:rsidRPr="00025F7C">
              <w:t>s</w:t>
            </w:r>
          </w:p>
          <w:p w14:paraId="4A920AC8" w14:textId="59D93277" w:rsidR="00025F7C" w:rsidRPr="00025F7C" w:rsidRDefault="00025F7C" w:rsidP="00552B60">
            <w:pPr>
              <w:pStyle w:val="BodyText-nospacebelow"/>
              <w:spacing w:after="100"/>
            </w:pPr>
            <w:r w:rsidRPr="00025F7C">
              <w:t xml:space="preserve">Includes – </w:t>
            </w:r>
            <w:r w:rsidRPr="00025F7C">
              <w:tab/>
            </w:r>
            <w:r w:rsidR="007743D8">
              <w:t>S</w:t>
            </w:r>
            <w:r w:rsidRPr="00025F7C">
              <w:t>ources of income</w:t>
            </w:r>
          </w:p>
          <w:p w14:paraId="5FB47CD0" w14:textId="77777777" w:rsidR="00025F7C" w:rsidRPr="00025F7C" w:rsidRDefault="00025F7C" w:rsidP="00552B60">
            <w:pPr>
              <w:pStyle w:val="BodyText-nospacebelow"/>
              <w:spacing w:after="100"/>
            </w:pPr>
            <w:r w:rsidRPr="00025F7C">
              <w:tab/>
            </w:r>
            <w:r w:rsidRPr="00025F7C">
              <w:tab/>
              <w:t>Trusts</w:t>
            </w:r>
          </w:p>
          <w:p w14:paraId="2A250F74" w14:textId="77777777" w:rsidR="00025F7C" w:rsidRPr="00025F7C" w:rsidRDefault="00025F7C" w:rsidP="00552B60">
            <w:pPr>
              <w:pStyle w:val="BodyText-nospacebelow"/>
              <w:spacing w:after="100"/>
            </w:pPr>
            <w:r w:rsidRPr="00025F7C">
              <w:tab/>
            </w:r>
            <w:r w:rsidRPr="00025F7C">
              <w:tab/>
              <w:t>Debts</w:t>
            </w:r>
          </w:p>
          <w:p w14:paraId="6ACEB173" w14:textId="7C71E701" w:rsidR="00025F7C" w:rsidRPr="00025F7C" w:rsidRDefault="00025F7C" w:rsidP="00552B60">
            <w:pPr>
              <w:pStyle w:val="BodyText-nospacebelow"/>
              <w:spacing w:after="100"/>
            </w:pPr>
            <w:r w:rsidRPr="00025F7C">
              <w:tab/>
            </w:r>
            <w:r w:rsidRPr="00025F7C">
              <w:tab/>
              <w:t>Property holdings</w:t>
            </w:r>
          </w:p>
          <w:p w14:paraId="167A8097" w14:textId="5D44CEAA" w:rsidR="00025F7C" w:rsidRPr="00025F7C" w:rsidRDefault="00025F7C" w:rsidP="00552B60">
            <w:pPr>
              <w:pStyle w:val="BodyText-nospacebelow"/>
              <w:spacing w:after="100"/>
            </w:pPr>
            <w:r w:rsidRPr="00025F7C">
              <w:tab/>
            </w:r>
            <w:r w:rsidRPr="00025F7C">
              <w:tab/>
              <w:t>Interests and positions in corporations</w:t>
            </w:r>
          </w:p>
        </w:tc>
      </w:tr>
      <w:tr w:rsidR="00025F7C" w:rsidRPr="00025F7C" w14:paraId="295A53D6" w14:textId="77777777" w:rsidTr="00CF37F1">
        <w:trPr>
          <w:trHeight w:val="340"/>
        </w:trPr>
        <w:tc>
          <w:tcPr>
            <w:tcW w:w="9016" w:type="dxa"/>
            <w:noWrap/>
            <w:hideMark/>
          </w:tcPr>
          <w:p w14:paraId="4EA4F510" w14:textId="5EBD77BB" w:rsidR="00025F7C" w:rsidRPr="00025F7C" w:rsidRDefault="00025F7C" w:rsidP="00552B60">
            <w:pPr>
              <w:pStyle w:val="BodyText-nospacebelow"/>
              <w:spacing w:after="100"/>
            </w:pPr>
            <w:r w:rsidRPr="00025F7C">
              <w:t>Discretionary disclosures generally</w:t>
            </w:r>
          </w:p>
        </w:tc>
      </w:tr>
      <w:tr w:rsidR="00025F7C" w:rsidRPr="00025F7C" w14:paraId="356F7F01" w14:textId="77777777" w:rsidTr="00CF37F1">
        <w:trPr>
          <w:trHeight w:val="340"/>
        </w:trPr>
        <w:tc>
          <w:tcPr>
            <w:tcW w:w="9016" w:type="dxa"/>
            <w:noWrap/>
          </w:tcPr>
          <w:p w14:paraId="094EF73C" w14:textId="3B9092E4" w:rsidR="00025F7C" w:rsidRPr="00025F7C" w:rsidRDefault="00025F7C" w:rsidP="00552B60">
            <w:pPr>
              <w:pStyle w:val="BodyText-nospacebelow"/>
              <w:spacing w:after="100"/>
            </w:pPr>
            <w:r w:rsidRPr="00025F7C">
              <w:t>Gifts (already required to be on the website)</w:t>
            </w:r>
          </w:p>
        </w:tc>
      </w:tr>
      <w:tr w:rsidR="00025F7C" w:rsidRPr="00025F7C" w14:paraId="643DA680" w14:textId="77777777" w:rsidTr="00CF37F1">
        <w:trPr>
          <w:trHeight w:val="340"/>
        </w:trPr>
        <w:tc>
          <w:tcPr>
            <w:tcW w:w="9016" w:type="dxa"/>
            <w:noWrap/>
          </w:tcPr>
          <w:p w14:paraId="11682AC6" w14:textId="6590BFD3" w:rsidR="00025F7C" w:rsidRPr="00025F7C" w:rsidRDefault="00025F7C" w:rsidP="00552B60">
            <w:pPr>
              <w:pStyle w:val="BodyText-nospacebelow"/>
              <w:spacing w:after="100"/>
            </w:pPr>
            <w:r w:rsidRPr="00025F7C">
              <w:lastRenderedPageBreak/>
              <w:t>Electoral gifts register</w:t>
            </w:r>
          </w:p>
        </w:tc>
      </w:tr>
      <w:tr w:rsidR="00025F7C" w:rsidRPr="00025F7C" w14:paraId="49AE3018" w14:textId="77777777" w:rsidTr="00CF37F1">
        <w:trPr>
          <w:trHeight w:val="75"/>
        </w:trPr>
        <w:tc>
          <w:tcPr>
            <w:tcW w:w="9016" w:type="dxa"/>
            <w:noWrap/>
            <w:hideMark/>
          </w:tcPr>
          <w:p w14:paraId="2C295BA9" w14:textId="46A4FA47" w:rsidR="00025F7C" w:rsidRPr="00025F7C" w:rsidRDefault="00025F7C" w:rsidP="00552B60">
            <w:pPr>
              <w:pStyle w:val="BodyText-nospacebelow"/>
              <w:spacing w:after="100"/>
            </w:pPr>
            <w:r w:rsidRPr="00025F7C">
              <w:t>Disclosure of travel contributions (already required to be on the website)</w:t>
            </w:r>
          </w:p>
        </w:tc>
      </w:tr>
      <w:tr w:rsidR="00025F7C" w:rsidRPr="00025F7C" w14:paraId="264F21B3" w14:textId="77777777" w:rsidTr="00CF37F1">
        <w:trPr>
          <w:trHeight w:val="381"/>
        </w:trPr>
        <w:tc>
          <w:tcPr>
            <w:tcW w:w="9016" w:type="dxa"/>
            <w:noWrap/>
            <w:hideMark/>
          </w:tcPr>
          <w:p w14:paraId="3A77F06C" w14:textId="7827CECD" w:rsidR="00025F7C" w:rsidRPr="00025F7C" w:rsidRDefault="00025F7C" w:rsidP="00552B60">
            <w:pPr>
              <w:pStyle w:val="BodyText-nospacebelow"/>
              <w:spacing w:after="100"/>
            </w:pPr>
            <w:r w:rsidRPr="00025F7C">
              <w:t>Allowance for deputy mayor or deputy president</w:t>
            </w:r>
          </w:p>
        </w:tc>
      </w:tr>
      <w:tr w:rsidR="00025F7C" w:rsidRPr="00025F7C" w14:paraId="758755E7" w14:textId="77777777" w:rsidTr="00CF37F1">
        <w:trPr>
          <w:trHeight w:val="247"/>
        </w:trPr>
        <w:tc>
          <w:tcPr>
            <w:tcW w:w="9016" w:type="dxa"/>
            <w:noWrap/>
            <w:hideMark/>
          </w:tcPr>
          <w:p w14:paraId="44CC87ED" w14:textId="134DB735" w:rsidR="00025F7C" w:rsidRPr="00025F7C" w:rsidRDefault="00025F7C" w:rsidP="00552B60">
            <w:pPr>
              <w:pStyle w:val="BodyText-nospacebelow"/>
              <w:spacing w:after="100"/>
            </w:pPr>
            <w:r w:rsidRPr="00025F7C">
              <w:t>Payments for certain committee members</w:t>
            </w:r>
          </w:p>
        </w:tc>
      </w:tr>
      <w:tr w:rsidR="00025F7C" w:rsidRPr="00025F7C" w14:paraId="26D21116" w14:textId="77777777" w:rsidTr="00C25BDE">
        <w:tc>
          <w:tcPr>
            <w:tcW w:w="9016" w:type="dxa"/>
          </w:tcPr>
          <w:p w14:paraId="63F771B5" w14:textId="02E962CC" w:rsidR="00025F7C" w:rsidRPr="00025F7C" w:rsidRDefault="00025F7C" w:rsidP="00552B60">
            <w:pPr>
              <w:pStyle w:val="BodyText-nospacebelow"/>
              <w:spacing w:after="100"/>
            </w:pPr>
            <w:r w:rsidRPr="00025F7C">
              <w:t>Codes of Conduct</w:t>
            </w:r>
          </w:p>
        </w:tc>
      </w:tr>
      <w:tr w:rsidR="00025F7C" w:rsidRPr="00025F7C" w14:paraId="1183DAEA" w14:textId="77777777" w:rsidTr="00C25BDE">
        <w:tc>
          <w:tcPr>
            <w:tcW w:w="9016" w:type="dxa"/>
          </w:tcPr>
          <w:p w14:paraId="63E634C8" w14:textId="733E274D" w:rsidR="00025F7C" w:rsidRPr="00025F7C" w:rsidRDefault="00025F7C" w:rsidP="00552B60">
            <w:pPr>
              <w:pStyle w:val="BodyText-nospacebelow"/>
              <w:spacing w:after="100"/>
            </w:pPr>
            <w:r w:rsidRPr="00025F7C">
              <w:t xml:space="preserve">Complaints register (concerning </w:t>
            </w:r>
            <w:r w:rsidR="00246B9A">
              <w:t>elected member</w:t>
            </w:r>
            <w:r w:rsidRPr="00025F7C">
              <w:t>s)</w:t>
            </w:r>
          </w:p>
        </w:tc>
      </w:tr>
      <w:tr w:rsidR="00025F7C" w:rsidRPr="00025F7C" w14:paraId="5168A073" w14:textId="77777777" w:rsidTr="00C25BDE">
        <w:tc>
          <w:tcPr>
            <w:tcW w:w="9016" w:type="dxa"/>
          </w:tcPr>
          <w:p w14:paraId="0A71F8F6" w14:textId="7A84B55F" w:rsidR="00025F7C" w:rsidRPr="00025F7C" w:rsidRDefault="00025F7C" w:rsidP="00552B60">
            <w:pPr>
              <w:pStyle w:val="BodyText-nospacebelow"/>
              <w:spacing w:after="100"/>
            </w:pPr>
            <w:r w:rsidRPr="00025F7C">
              <w:t>Contracts of employment of the CEO and other senior local government employees</w:t>
            </w:r>
          </w:p>
        </w:tc>
      </w:tr>
      <w:tr w:rsidR="00025F7C" w:rsidRPr="00025F7C" w14:paraId="780242B6" w14:textId="77777777" w:rsidTr="00C25BDE">
        <w:tc>
          <w:tcPr>
            <w:tcW w:w="9016" w:type="dxa"/>
          </w:tcPr>
          <w:p w14:paraId="35E046A0" w14:textId="310DACD4" w:rsidR="00025F7C" w:rsidRPr="00025F7C" w:rsidRDefault="00025F7C" w:rsidP="00552B60">
            <w:pPr>
              <w:pStyle w:val="BodyText-nospacebelow"/>
              <w:spacing w:after="100"/>
            </w:pPr>
            <w:r w:rsidRPr="00025F7C">
              <w:t>Register of delegations to committees, CEO and employees</w:t>
            </w:r>
          </w:p>
        </w:tc>
      </w:tr>
      <w:tr w:rsidR="00025F7C" w:rsidRPr="00025F7C" w14:paraId="1356D5B8" w14:textId="77777777" w:rsidTr="00C25BDE">
        <w:tc>
          <w:tcPr>
            <w:tcW w:w="9016" w:type="dxa"/>
          </w:tcPr>
          <w:p w14:paraId="09C6311D" w14:textId="301E7E19" w:rsidR="00025F7C" w:rsidRPr="00025F7C" w:rsidRDefault="00025F7C" w:rsidP="00552B60">
            <w:pPr>
              <w:pStyle w:val="BodyText-nospacebelow"/>
              <w:spacing w:after="100"/>
            </w:pPr>
            <w:r w:rsidRPr="00025F7C">
              <w:t>Schedule of fees and charges</w:t>
            </w:r>
          </w:p>
        </w:tc>
      </w:tr>
      <w:tr w:rsidR="00025F7C" w:rsidRPr="00025F7C" w14:paraId="275EF40B" w14:textId="77777777" w:rsidTr="00C25BDE">
        <w:tc>
          <w:tcPr>
            <w:tcW w:w="9016" w:type="dxa"/>
          </w:tcPr>
          <w:p w14:paraId="05519F75" w14:textId="5795A085" w:rsidR="00025F7C" w:rsidRPr="00025F7C" w:rsidRDefault="00025F7C" w:rsidP="00552B60">
            <w:pPr>
              <w:pStyle w:val="BodyText-nospacebelow"/>
              <w:spacing w:after="100"/>
            </w:pPr>
            <w:r w:rsidRPr="00025F7C">
              <w:t>Proposed local laws</w:t>
            </w:r>
          </w:p>
        </w:tc>
      </w:tr>
      <w:tr w:rsidR="00025F7C" w:rsidRPr="00025F7C" w14:paraId="21C6AAEA" w14:textId="77777777" w:rsidTr="00C25BDE">
        <w:tc>
          <w:tcPr>
            <w:tcW w:w="9016" w:type="dxa"/>
          </w:tcPr>
          <w:p w14:paraId="00C507BE" w14:textId="0B358DEF" w:rsidR="00025F7C" w:rsidRPr="00025F7C" w:rsidRDefault="00DD74F4" w:rsidP="00552B60">
            <w:pPr>
              <w:pStyle w:val="BodyText-nospacebelow"/>
              <w:spacing w:after="100"/>
            </w:pPr>
            <w:r>
              <w:t>Gazetted l</w:t>
            </w:r>
            <w:r w:rsidR="00025F7C" w:rsidRPr="00025F7C">
              <w:t>ocal laws (and any other law that has been adopted by the district)</w:t>
            </w:r>
          </w:p>
        </w:tc>
      </w:tr>
      <w:tr w:rsidR="00025F7C" w:rsidRPr="00025F7C" w14:paraId="1A9EAE3F" w14:textId="77777777" w:rsidTr="00C25BDE">
        <w:tc>
          <w:tcPr>
            <w:tcW w:w="9016" w:type="dxa"/>
          </w:tcPr>
          <w:p w14:paraId="5D9790E6" w14:textId="3513AB76" w:rsidR="00025F7C" w:rsidRPr="00025F7C" w:rsidRDefault="00025F7C" w:rsidP="00552B60">
            <w:pPr>
              <w:pStyle w:val="BodyText-nospacebelow"/>
              <w:spacing w:after="100"/>
            </w:pPr>
            <w:r w:rsidRPr="00025F7C">
              <w:t>Rates record</w:t>
            </w:r>
          </w:p>
        </w:tc>
      </w:tr>
      <w:tr w:rsidR="00025F7C" w:rsidRPr="00025F7C" w14:paraId="1D11365C" w14:textId="77777777" w:rsidTr="00C25BDE">
        <w:tc>
          <w:tcPr>
            <w:tcW w:w="9016" w:type="dxa"/>
          </w:tcPr>
          <w:p w14:paraId="548F6B38" w14:textId="17C5C4E8" w:rsidR="00025F7C" w:rsidRPr="00025F7C" w:rsidRDefault="00025F7C" w:rsidP="00552B60">
            <w:pPr>
              <w:pStyle w:val="BodyText-nospacebelow"/>
              <w:spacing w:after="100"/>
            </w:pPr>
            <w:r w:rsidRPr="00025F7C">
              <w:t>Electoral roll</w:t>
            </w:r>
          </w:p>
        </w:tc>
      </w:tr>
      <w:tr w:rsidR="00025F7C" w:rsidRPr="00025F7C" w14:paraId="384C250A" w14:textId="77777777" w:rsidTr="00C25BDE">
        <w:tc>
          <w:tcPr>
            <w:tcW w:w="9016" w:type="dxa"/>
          </w:tcPr>
          <w:p w14:paraId="385F3A4B" w14:textId="725CA6C4" w:rsidR="00025F7C" w:rsidRPr="00025F7C" w:rsidRDefault="00025F7C" w:rsidP="00552B60">
            <w:pPr>
              <w:pStyle w:val="BodyText-nospacebelow"/>
              <w:spacing w:after="100"/>
            </w:pPr>
            <w:r w:rsidRPr="00025F7C">
              <w:t>Tenders register</w:t>
            </w:r>
          </w:p>
        </w:tc>
      </w:tr>
    </w:tbl>
    <w:p w14:paraId="5C35C9A5" w14:textId="77777777" w:rsidR="00CF37F1" w:rsidRDefault="00CF37F1" w:rsidP="00CF37F1">
      <w:pPr>
        <w:pStyle w:val="BodyText-nospacebelow"/>
      </w:pPr>
      <w:bookmarkStart w:id="1177" w:name="_Toc493746785"/>
    </w:p>
    <w:p w14:paraId="1685B70E" w14:textId="77FF05E3" w:rsidR="00CF37F1" w:rsidRPr="00025F7C" w:rsidRDefault="00CF37F1" w:rsidP="00CF276F">
      <w:pPr>
        <w:pStyle w:val="BodyText-nospacebelow"/>
        <w:jc w:val="both"/>
      </w:pPr>
      <w:r w:rsidRPr="00025F7C">
        <w:t>Currently the only documents that are required to be placed upon a local government’s website are the gifts register and contributions of travel register</w:t>
      </w:r>
      <w:r w:rsidR="001A04CC">
        <w:t>, an</w:t>
      </w:r>
      <w:r w:rsidR="007743D8">
        <w:t>d annual report</w:t>
      </w:r>
      <w:r w:rsidR="001A04CC">
        <w:t xml:space="preserve"> following the amendments to the auditing provisions.</w:t>
      </w:r>
    </w:p>
    <w:p w14:paraId="22CC4E15" w14:textId="77777777" w:rsidR="00CF37F1" w:rsidRDefault="00CF37F1" w:rsidP="00CF276F">
      <w:pPr>
        <w:pStyle w:val="BodyText-nospacebelow"/>
        <w:jc w:val="both"/>
      </w:pPr>
    </w:p>
    <w:p w14:paraId="12DC45BC" w14:textId="77777777" w:rsidR="00CF37F1" w:rsidRDefault="00CF37F1" w:rsidP="00CF276F">
      <w:pPr>
        <w:pStyle w:val="BodyText-nospacebelow"/>
        <w:jc w:val="both"/>
      </w:pPr>
      <w:r>
        <w:t>I</w:t>
      </w:r>
      <w:r w:rsidRPr="00025F7C">
        <w:t xml:space="preserve">t may also be </w:t>
      </w:r>
      <w:r>
        <w:t>appropriate</w:t>
      </w:r>
      <w:r w:rsidRPr="00025F7C">
        <w:t xml:space="preserve"> to make additional information available to enhance the transparency of local governments. </w:t>
      </w:r>
    </w:p>
    <w:p w14:paraId="76B2630D" w14:textId="77777777" w:rsidR="00025F7C" w:rsidRPr="00025F7C" w:rsidRDefault="00025F7C" w:rsidP="00025F7C">
      <w:pPr>
        <w:pStyle w:val="Heading2"/>
      </w:pPr>
      <w:bookmarkStart w:id="1178" w:name="_Toc493768917"/>
      <w:bookmarkStart w:id="1179" w:name="_Toc493859987"/>
      <w:bookmarkStart w:id="1180" w:name="_Toc495491885"/>
      <w:bookmarkStart w:id="1181" w:name="_Toc495497664"/>
      <w:bookmarkStart w:id="1182" w:name="_Toc495671498"/>
      <w:bookmarkStart w:id="1183" w:name="_Toc495676099"/>
      <w:bookmarkStart w:id="1184" w:name="_Toc495678394"/>
      <w:bookmarkStart w:id="1185" w:name="_Toc495998391"/>
      <w:bookmarkStart w:id="1186" w:name="_Toc497741861"/>
      <w:r w:rsidRPr="00025F7C">
        <w:t>Across Australia</w:t>
      </w:r>
      <w:bookmarkEnd w:id="1177"/>
      <w:bookmarkEnd w:id="1178"/>
      <w:bookmarkEnd w:id="1179"/>
      <w:bookmarkEnd w:id="1180"/>
      <w:bookmarkEnd w:id="1181"/>
      <w:bookmarkEnd w:id="1182"/>
      <w:bookmarkEnd w:id="1183"/>
      <w:bookmarkEnd w:id="1184"/>
      <w:bookmarkEnd w:id="1185"/>
      <w:bookmarkEnd w:id="1186"/>
      <w:r w:rsidRPr="00025F7C">
        <w:t xml:space="preserve"> </w:t>
      </w:r>
    </w:p>
    <w:p w14:paraId="348EDC5D" w14:textId="77777777" w:rsidR="00025F7C" w:rsidRDefault="00E36560" w:rsidP="00025F7C">
      <w:pPr>
        <w:pStyle w:val="BodyText-nospacebelow"/>
      </w:pPr>
      <w:r>
        <w:t>I</w:t>
      </w:r>
      <w:r w:rsidR="00025F7C" w:rsidRPr="00025F7C">
        <w:t>nformation required to be available in other States include</w:t>
      </w:r>
      <w:r>
        <w:t>s</w:t>
      </w:r>
      <w:r w:rsidR="00025F7C" w:rsidRPr="00025F7C">
        <w:t>:</w:t>
      </w:r>
    </w:p>
    <w:p w14:paraId="67A8B253" w14:textId="77777777" w:rsidR="00025F7C" w:rsidRPr="00025F7C" w:rsidRDefault="00025F7C" w:rsidP="00025F7C">
      <w:pPr>
        <w:pStyle w:val="BodyText-nospacebelow"/>
      </w:pPr>
    </w:p>
    <w:tbl>
      <w:tblPr>
        <w:tblStyle w:val="DLGCTable-Data"/>
        <w:tblW w:w="0" w:type="auto"/>
        <w:tblLook w:val="04A0" w:firstRow="1" w:lastRow="0" w:firstColumn="1" w:lastColumn="0" w:noHBand="0" w:noVBand="1"/>
      </w:tblPr>
      <w:tblGrid>
        <w:gridCol w:w="9016"/>
      </w:tblGrid>
      <w:tr w:rsidR="00025F7C" w:rsidRPr="00025F7C" w14:paraId="75A8144F" w14:textId="77777777" w:rsidTr="00A654F9">
        <w:trPr>
          <w:cnfStyle w:val="100000000000" w:firstRow="1" w:lastRow="0" w:firstColumn="0" w:lastColumn="0" w:oddVBand="0" w:evenVBand="0" w:oddHBand="0" w:evenHBand="0" w:firstRowFirstColumn="0" w:firstRowLastColumn="0" w:lastRowFirstColumn="0" w:lastRowLastColumn="0"/>
        </w:trPr>
        <w:tc>
          <w:tcPr>
            <w:tcW w:w="9016" w:type="dxa"/>
          </w:tcPr>
          <w:p w14:paraId="4DCE127D" w14:textId="77777777" w:rsidR="00025F7C" w:rsidRPr="00025F7C" w:rsidRDefault="00025F7C" w:rsidP="00CF37F1">
            <w:pPr>
              <w:pStyle w:val="BodyText-nospacebelow"/>
              <w:spacing w:after="100"/>
            </w:pPr>
            <w:r w:rsidRPr="00025F7C">
              <w:t>Additional Information</w:t>
            </w:r>
          </w:p>
        </w:tc>
      </w:tr>
      <w:tr w:rsidR="00025F7C" w:rsidRPr="00025F7C" w14:paraId="027EF217" w14:textId="77777777" w:rsidTr="00A654F9">
        <w:trPr>
          <w:trHeight w:val="300"/>
        </w:trPr>
        <w:tc>
          <w:tcPr>
            <w:tcW w:w="9016" w:type="dxa"/>
            <w:noWrap/>
            <w:hideMark/>
          </w:tcPr>
          <w:p w14:paraId="4C1FFECE" w14:textId="0D91CA22" w:rsidR="00025F7C" w:rsidRPr="00025F7C" w:rsidRDefault="00025F7C" w:rsidP="00CF37F1">
            <w:pPr>
              <w:pStyle w:val="BodyText-nospacebelow"/>
              <w:spacing w:after="100"/>
            </w:pPr>
            <w:r w:rsidRPr="00025F7C">
              <w:t>Rates information generally</w:t>
            </w:r>
          </w:p>
        </w:tc>
      </w:tr>
      <w:tr w:rsidR="00025F7C" w:rsidRPr="00025F7C" w14:paraId="136DBE14" w14:textId="77777777" w:rsidTr="00A654F9">
        <w:trPr>
          <w:trHeight w:val="300"/>
        </w:trPr>
        <w:tc>
          <w:tcPr>
            <w:tcW w:w="9016" w:type="dxa"/>
            <w:noWrap/>
            <w:hideMark/>
          </w:tcPr>
          <w:p w14:paraId="5B1A1A3F" w14:textId="1B432A9B" w:rsidR="00025F7C" w:rsidRPr="00025F7C" w:rsidRDefault="00025F7C" w:rsidP="00CF37F1">
            <w:pPr>
              <w:pStyle w:val="BodyText-nospacebelow"/>
              <w:spacing w:after="100"/>
            </w:pPr>
            <w:r w:rsidRPr="00025F7C">
              <w:lastRenderedPageBreak/>
              <w:t>District maps that contain ward boundaries</w:t>
            </w:r>
          </w:p>
        </w:tc>
      </w:tr>
      <w:tr w:rsidR="00025F7C" w:rsidRPr="00025F7C" w14:paraId="507EF73E" w14:textId="77777777" w:rsidTr="00A654F9">
        <w:trPr>
          <w:trHeight w:val="300"/>
        </w:trPr>
        <w:tc>
          <w:tcPr>
            <w:tcW w:w="9016" w:type="dxa"/>
            <w:noWrap/>
          </w:tcPr>
          <w:p w14:paraId="7421D1EA" w14:textId="32769781" w:rsidR="00025F7C" w:rsidRPr="00025F7C" w:rsidRDefault="00025F7C" w:rsidP="00CF37F1">
            <w:pPr>
              <w:pStyle w:val="BodyText-nospacebelow"/>
              <w:spacing w:after="100"/>
            </w:pPr>
            <w:r w:rsidRPr="00025F7C">
              <w:t xml:space="preserve">Adverse findings by the Standards Panel or State Administrative Tribunal against </w:t>
            </w:r>
            <w:r w:rsidR="00246B9A">
              <w:t>elected member</w:t>
            </w:r>
            <w:r w:rsidRPr="00025F7C">
              <w:t>s</w:t>
            </w:r>
          </w:p>
        </w:tc>
      </w:tr>
    </w:tbl>
    <w:p w14:paraId="31DFDB78" w14:textId="77777777" w:rsidR="00025F7C" w:rsidRPr="00025F7C" w:rsidRDefault="00025F7C" w:rsidP="00025F7C">
      <w:pPr>
        <w:pStyle w:val="BodyText-nospacebelow"/>
      </w:pPr>
    </w:p>
    <w:p w14:paraId="73F34B2E" w14:textId="77777777" w:rsidR="009558F4" w:rsidRPr="00025F7C" w:rsidRDefault="009558F4" w:rsidP="00025F7C">
      <w:pPr>
        <w:pStyle w:val="BodyText-nospacebelow"/>
      </w:pPr>
    </w:p>
    <w:p w14:paraId="57981394" w14:textId="77777777" w:rsidR="00025F7C" w:rsidRDefault="00025F7C" w:rsidP="00CF276F">
      <w:pPr>
        <w:pStyle w:val="BodyText-nospacebelow"/>
        <w:jc w:val="both"/>
      </w:pPr>
      <w:r w:rsidRPr="00025F7C">
        <w:t xml:space="preserve">Broadly speaking the impacts </w:t>
      </w:r>
      <w:r w:rsidR="008B48ED">
        <w:t xml:space="preserve">of requiring information to be made available on the </w:t>
      </w:r>
      <w:r w:rsidR="008B48ED" w:rsidRPr="00025F7C">
        <w:t>local government</w:t>
      </w:r>
      <w:r w:rsidR="008B48ED">
        <w:t>’s</w:t>
      </w:r>
      <w:r w:rsidR="008B48ED" w:rsidRPr="00025F7C">
        <w:t xml:space="preserve"> website </w:t>
      </w:r>
      <w:r w:rsidRPr="00025F7C">
        <w:t>are assessed as follows:</w:t>
      </w:r>
    </w:p>
    <w:p w14:paraId="0033F5F4" w14:textId="77777777" w:rsidR="009558F4" w:rsidRPr="00025F7C" w:rsidRDefault="009558F4" w:rsidP="00025F7C">
      <w:pPr>
        <w:pStyle w:val="BodyText-nospacebelow"/>
      </w:pPr>
    </w:p>
    <w:tbl>
      <w:tblPr>
        <w:tblStyle w:val="DLGCTable-Data"/>
        <w:tblW w:w="9067" w:type="dxa"/>
        <w:tblLook w:val="04A0" w:firstRow="1" w:lastRow="0" w:firstColumn="1" w:lastColumn="0" w:noHBand="0" w:noVBand="1"/>
      </w:tblPr>
      <w:tblGrid>
        <w:gridCol w:w="4531"/>
        <w:gridCol w:w="4536"/>
      </w:tblGrid>
      <w:tr w:rsidR="00025F7C" w:rsidRPr="00025F7C" w14:paraId="1A91BEE3" w14:textId="77777777" w:rsidTr="00C25BDE">
        <w:trPr>
          <w:cnfStyle w:val="100000000000" w:firstRow="1" w:lastRow="0" w:firstColumn="0" w:lastColumn="0" w:oddVBand="0" w:evenVBand="0" w:oddHBand="0" w:evenHBand="0" w:firstRowFirstColumn="0" w:firstRowLastColumn="0" w:lastRowFirstColumn="0" w:lastRowLastColumn="0"/>
        </w:trPr>
        <w:tc>
          <w:tcPr>
            <w:tcW w:w="4531" w:type="dxa"/>
          </w:tcPr>
          <w:p w14:paraId="646F354E" w14:textId="77777777" w:rsidR="00025F7C" w:rsidRPr="00025F7C" w:rsidRDefault="00025F7C" w:rsidP="00BE0EA9">
            <w:pPr>
              <w:pStyle w:val="BodyText-nospacebelow"/>
              <w:spacing w:after="100"/>
            </w:pPr>
            <w:r w:rsidRPr="00025F7C">
              <w:t>Benefits of electronic registers</w:t>
            </w:r>
          </w:p>
        </w:tc>
        <w:tc>
          <w:tcPr>
            <w:tcW w:w="4536" w:type="dxa"/>
          </w:tcPr>
          <w:p w14:paraId="195CDCDD" w14:textId="77777777" w:rsidR="00025F7C" w:rsidRPr="00025F7C" w:rsidRDefault="00025F7C" w:rsidP="00BE0EA9">
            <w:pPr>
              <w:pStyle w:val="BodyText-nospacebelow"/>
              <w:spacing w:after="100"/>
            </w:pPr>
            <w:r w:rsidRPr="00025F7C">
              <w:t>Drawback of electronic register</w:t>
            </w:r>
          </w:p>
        </w:tc>
      </w:tr>
      <w:tr w:rsidR="00025F7C" w:rsidRPr="00025F7C" w14:paraId="0720F5BA" w14:textId="77777777" w:rsidTr="00C25BDE">
        <w:trPr>
          <w:trHeight w:val="1302"/>
        </w:trPr>
        <w:tc>
          <w:tcPr>
            <w:tcW w:w="4531" w:type="dxa"/>
          </w:tcPr>
          <w:p w14:paraId="6454D192" w14:textId="703A7174" w:rsidR="00025F7C" w:rsidRPr="00025F7C" w:rsidRDefault="00025F7C" w:rsidP="00BE0EA9">
            <w:pPr>
              <w:pStyle w:val="BodyText-nospacebelow"/>
              <w:spacing w:after="100"/>
            </w:pPr>
            <w:r w:rsidRPr="00025F7C">
              <w:t xml:space="preserve">Accessible and convenient for the general population </w:t>
            </w:r>
            <w:r w:rsidR="009E5148">
              <w:t>without having to</w:t>
            </w:r>
            <w:r w:rsidRPr="00025F7C">
              <w:t xml:space="preserve"> attend a local government office</w:t>
            </w:r>
          </w:p>
          <w:p w14:paraId="24F8B657" w14:textId="1DB2C406" w:rsidR="00025F7C" w:rsidRPr="00025F7C" w:rsidRDefault="00025F7C" w:rsidP="00BE0EA9">
            <w:pPr>
              <w:pStyle w:val="BodyText-nospacebelow"/>
              <w:spacing w:after="100"/>
            </w:pPr>
            <w:r w:rsidRPr="00025F7C">
              <w:t xml:space="preserve">Available to be viewed from any location </w:t>
            </w:r>
            <w:r w:rsidR="009E5148">
              <w:t>with internet access</w:t>
            </w:r>
          </w:p>
          <w:p w14:paraId="7477FB73" w14:textId="7D10E630" w:rsidR="00025F7C" w:rsidRPr="00025F7C" w:rsidRDefault="009E5148" w:rsidP="00BE0EA9">
            <w:pPr>
              <w:pStyle w:val="BodyText-nospacebelow"/>
              <w:spacing w:after="100"/>
            </w:pPr>
            <w:r>
              <w:t>More l</w:t>
            </w:r>
            <w:r w:rsidR="00025F7C" w:rsidRPr="00025F7C">
              <w:t>ikely to be viewed by members of the local community</w:t>
            </w:r>
          </w:p>
          <w:p w14:paraId="39F64E6F" w14:textId="0A9F0450" w:rsidR="00025F7C" w:rsidRPr="00025F7C" w:rsidRDefault="00025F7C" w:rsidP="00BE0EA9">
            <w:pPr>
              <w:pStyle w:val="BodyText-nospacebelow"/>
              <w:spacing w:after="100"/>
            </w:pPr>
            <w:r w:rsidRPr="00025F7C">
              <w:t>Can operate in conjunction with accessibility software</w:t>
            </w:r>
          </w:p>
          <w:p w14:paraId="392BC247" w14:textId="24CE1BEE" w:rsidR="00025F7C" w:rsidRPr="00025F7C" w:rsidRDefault="00025F7C" w:rsidP="00BE0EA9">
            <w:pPr>
              <w:pStyle w:val="BodyText-nospacebelow"/>
              <w:spacing w:after="100"/>
            </w:pPr>
            <w:r w:rsidRPr="00025F7C">
              <w:t>Modernises sector standards for local governments</w:t>
            </w:r>
          </w:p>
          <w:p w14:paraId="5EC90258" w14:textId="732A42FB" w:rsidR="00025F7C" w:rsidRPr="00025F7C" w:rsidRDefault="00025F7C" w:rsidP="00BE0EA9">
            <w:pPr>
              <w:pStyle w:val="BodyText-nospacebelow"/>
              <w:spacing w:after="100"/>
            </w:pPr>
            <w:r w:rsidRPr="00025F7C">
              <w:t>Potentially reduces staff time in providing access to the registers at the office</w:t>
            </w:r>
          </w:p>
        </w:tc>
        <w:tc>
          <w:tcPr>
            <w:tcW w:w="4536" w:type="dxa"/>
          </w:tcPr>
          <w:p w14:paraId="606BE107" w14:textId="458577C8" w:rsidR="00025F7C" w:rsidRPr="00025F7C" w:rsidRDefault="00025F7C" w:rsidP="00BE0EA9">
            <w:pPr>
              <w:pStyle w:val="BodyText-nospacebelow"/>
              <w:spacing w:after="100"/>
            </w:pPr>
            <w:r w:rsidRPr="00025F7C">
              <w:t>Increased IT costs</w:t>
            </w:r>
          </w:p>
          <w:p w14:paraId="25A4BB70" w14:textId="208B1020" w:rsidR="00025F7C" w:rsidRPr="00025F7C" w:rsidRDefault="00025F7C" w:rsidP="00BE0EA9">
            <w:pPr>
              <w:pStyle w:val="BodyText-nospacebelow"/>
              <w:spacing w:after="100"/>
            </w:pPr>
            <w:r w:rsidRPr="00025F7C">
              <w:t>Requires IT service via internal staff or contractor</w:t>
            </w:r>
          </w:p>
          <w:p w14:paraId="3BB76EC3" w14:textId="132A82EB" w:rsidR="00025F7C" w:rsidRPr="00025F7C" w:rsidRDefault="00025F7C" w:rsidP="00BE0EA9">
            <w:pPr>
              <w:pStyle w:val="BodyText-nospacebelow"/>
              <w:spacing w:after="100"/>
            </w:pPr>
            <w:r w:rsidRPr="00025F7C">
              <w:t>Makes local governments more dependent on website operations</w:t>
            </w:r>
          </w:p>
        </w:tc>
      </w:tr>
    </w:tbl>
    <w:p w14:paraId="167F8D9B" w14:textId="77777777" w:rsidR="00025F7C" w:rsidRPr="00025F7C" w:rsidRDefault="00025F7C" w:rsidP="00025F7C">
      <w:pPr>
        <w:pStyle w:val="BodyText-nospacebelow"/>
      </w:pPr>
    </w:p>
    <w:p w14:paraId="36682D27" w14:textId="77777777" w:rsidR="00025F7C" w:rsidRDefault="00025F7C" w:rsidP="00CF276F">
      <w:pPr>
        <w:pStyle w:val="BodyText-nospacebelow"/>
        <w:jc w:val="both"/>
      </w:pPr>
      <w:r w:rsidRPr="00025F7C">
        <w:t xml:space="preserve">The </w:t>
      </w:r>
      <w:r w:rsidR="008B48ED">
        <w:t>impact</w:t>
      </w:r>
      <w:r w:rsidRPr="00025F7C">
        <w:t xml:space="preserve"> that electronic disclosure will have depends on how the information is provided. </w:t>
      </w:r>
    </w:p>
    <w:p w14:paraId="559913B3" w14:textId="77777777" w:rsidR="00025F7C" w:rsidRPr="00025F7C" w:rsidRDefault="00025F7C" w:rsidP="00CF276F">
      <w:pPr>
        <w:pStyle w:val="Heading3"/>
        <w:jc w:val="both"/>
      </w:pPr>
      <w:bookmarkStart w:id="1187" w:name="_Toc491097279"/>
      <w:bookmarkStart w:id="1188" w:name="_Toc491097669"/>
      <w:bookmarkStart w:id="1189" w:name="_Toc491857127"/>
      <w:bookmarkStart w:id="1190" w:name="_Toc491872747"/>
      <w:bookmarkStart w:id="1191" w:name="_Toc491873681"/>
      <w:bookmarkStart w:id="1192" w:name="_Toc491934309"/>
      <w:bookmarkStart w:id="1193" w:name="_Toc492368938"/>
      <w:bookmarkStart w:id="1194" w:name="_Toc492386665"/>
      <w:bookmarkStart w:id="1195" w:name="_Toc492468907"/>
      <w:bookmarkStart w:id="1196" w:name="_Toc492470583"/>
      <w:bookmarkStart w:id="1197" w:name="_Toc492471263"/>
      <w:bookmarkStart w:id="1198" w:name="_Toc492471385"/>
      <w:bookmarkStart w:id="1199" w:name="_Toc493746786"/>
      <w:bookmarkStart w:id="1200" w:name="_Toc493768918"/>
      <w:bookmarkStart w:id="1201" w:name="_Toc493859988"/>
      <w:bookmarkStart w:id="1202" w:name="_Toc495491886"/>
      <w:bookmarkStart w:id="1203" w:name="_Toc495497665"/>
      <w:bookmarkStart w:id="1204" w:name="_Toc495671499"/>
      <w:bookmarkStart w:id="1205" w:name="_Toc495676100"/>
      <w:bookmarkStart w:id="1206" w:name="_Toc495678395"/>
      <w:bookmarkStart w:id="1207" w:name="_Toc495998392"/>
      <w:bookmarkStart w:id="1208" w:name="_Toc497741862"/>
      <w:r w:rsidRPr="00025F7C">
        <w:t>General options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14:paraId="6C958E65" w14:textId="77777777" w:rsidR="00025F7C" w:rsidRPr="00025F7C" w:rsidRDefault="00025F7C" w:rsidP="00CF276F">
      <w:pPr>
        <w:pStyle w:val="BodyText-nospacebelow"/>
        <w:jc w:val="both"/>
      </w:pPr>
      <w:r w:rsidRPr="00025F7C">
        <w:t>The options available are as follows:</w:t>
      </w:r>
      <w:r w:rsidR="00BF74B4">
        <w:t xml:space="preserve">  </w:t>
      </w:r>
    </w:p>
    <w:p w14:paraId="4084A6C3" w14:textId="77777777" w:rsidR="00025F7C" w:rsidRPr="00025F7C" w:rsidRDefault="00025F7C" w:rsidP="00CF276F">
      <w:pPr>
        <w:pStyle w:val="BodyText-nospacebelow"/>
        <w:numPr>
          <w:ilvl w:val="0"/>
          <w:numId w:val="69"/>
        </w:numPr>
        <w:jc w:val="both"/>
      </w:pPr>
      <w:r w:rsidRPr="00025F7C">
        <w:t>The r</w:t>
      </w:r>
      <w:r w:rsidR="00BF74B4">
        <w:t xml:space="preserve">equirement can remain unchanged:  </w:t>
      </w:r>
      <w:r w:rsidRPr="00025F7C">
        <w:t xml:space="preserve">Information is provided </w:t>
      </w:r>
      <w:r w:rsidR="009E5148">
        <w:t xml:space="preserve">in person </w:t>
      </w:r>
      <w:r w:rsidRPr="00025F7C">
        <w:t>on demand, with placement on a website discretionary.</w:t>
      </w:r>
    </w:p>
    <w:p w14:paraId="3BFE5A3C" w14:textId="77777777" w:rsidR="00025F7C" w:rsidRPr="00025F7C" w:rsidRDefault="00025F7C" w:rsidP="00CF276F">
      <w:pPr>
        <w:pStyle w:val="BodyText-nospacebelow"/>
        <w:jc w:val="both"/>
      </w:pPr>
    </w:p>
    <w:p w14:paraId="27D89002" w14:textId="77777777" w:rsidR="00025F7C" w:rsidRPr="00025F7C" w:rsidRDefault="00025F7C" w:rsidP="00CF276F">
      <w:pPr>
        <w:pStyle w:val="BodyText-nospacebelow"/>
        <w:numPr>
          <w:ilvl w:val="0"/>
          <w:numId w:val="69"/>
        </w:numPr>
        <w:jc w:val="both"/>
      </w:pPr>
      <w:r w:rsidRPr="00025F7C">
        <w:t>A hybrid approach depending on</w:t>
      </w:r>
      <w:r w:rsidR="003E7F1A">
        <w:t xml:space="preserve"> the nature of the information:  </w:t>
      </w:r>
      <w:r w:rsidR="009E5148">
        <w:t>Some information is required to be placed on a local government website, while other more sensitive information is only provided in person.</w:t>
      </w:r>
      <w:r w:rsidR="009E5148" w:rsidRPr="00025F7C" w:rsidDel="009E5148">
        <w:t xml:space="preserve"> </w:t>
      </w:r>
    </w:p>
    <w:p w14:paraId="3A1958E5" w14:textId="77777777" w:rsidR="00025F7C" w:rsidRPr="00025F7C" w:rsidRDefault="00025F7C" w:rsidP="00CF276F">
      <w:pPr>
        <w:pStyle w:val="BodyText-nospacebelow"/>
        <w:ind w:left="1080"/>
        <w:jc w:val="both"/>
      </w:pPr>
    </w:p>
    <w:p w14:paraId="79741D8F" w14:textId="1BECBE40" w:rsidR="00025F7C" w:rsidRPr="00025F7C" w:rsidRDefault="00025F7C" w:rsidP="00CF276F">
      <w:pPr>
        <w:pStyle w:val="BodyText-nospacebelow"/>
        <w:numPr>
          <w:ilvl w:val="0"/>
          <w:numId w:val="69"/>
        </w:numPr>
        <w:jc w:val="both"/>
      </w:pPr>
      <w:r w:rsidRPr="00025F7C">
        <w:lastRenderedPageBreak/>
        <w:t>Electronic disclosure replaces physical registers completely:</w:t>
      </w:r>
      <w:r w:rsidR="00BE0EA9">
        <w:t xml:space="preserve">  </w:t>
      </w:r>
      <w:r w:rsidR="009E5148">
        <w:t xml:space="preserve">All information is provided on a local government website and no information is provided in person. </w:t>
      </w:r>
      <w:r w:rsidRPr="00025F7C">
        <w:t>This would represent a significant increase in the availability of information to the public.</w:t>
      </w:r>
    </w:p>
    <w:p w14:paraId="769EE504" w14:textId="77777777" w:rsidR="00025F7C" w:rsidRPr="00025F7C" w:rsidRDefault="00025F7C" w:rsidP="00CF276F">
      <w:pPr>
        <w:pStyle w:val="BodyText-nospacebelow"/>
        <w:jc w:val="both"/>
      </w:pPr>
    </w:p>
    <w:p w14:paraId="48C4C436" w14:textId="77777777" w:rsidR="00025F7C" w:rsidRPr="00025F7C" w:rsidRDefault="00025F7C" w:rsidP="00CF276F">
      <w:pPr>
        <w:pStyle w:val="BodyText-nospacebelow"/>
        <w:numPr>
          <w:ilvl w:val="0"/>
          <w:numId w:val="69"/>
        </w:numPr>
        <w:jc w:val="both"/>
      </w:pPr>
      <w:r w:rsidRPr="00025F7C">
        <w:t xml:space="preserve">Electronic </w:t>
      </w:r>
      <w:r w:rsidR="009E5148">
        <w:t>disclosure</w:t>
      </w:r>
      <w:r w:rsidR="009E5148" w:rsidRPr="00025F7C">
        <w:t xml:space="preserve"> </w:t>
      </w:r>
      <w:r w:rsidR="009E5148">
        <w:t>is</w:t>
      </w:r>
      <w:r w:rsidR="009E5148" w:rsidRPr="00025F7C">
        <w:t xml:space="preserve"> </w:t>
      </w:r>
      <w:r w:rsidRPr="00025F7C">
        <w:t xml:space="preserve">required </w:t>
      </w:r>
      <w:r w:rsidR="009E5148">
        <w:t xml:space="preserve">for all information, </w:t>
      </w:r>
      <w:r w:rsidRPr="00025F7C">
        <w:t xml:space="preserve">in addition to </w:t>
      </w:r>
      <w:r w:rsidR="009E5148">
        <w:t>providing it in person</w:t>
      </w:r>
      <w:r w:rsidRPr="00025F7C">
        <w:t>:</w:t>
      </w:r>
      <w:r w:rsidR="00BE0EA9">
        <w:t xml:space="preserve">  </w:t>
      </w:r>
      <w:r w:rsidRPr="00025F7C">
        <w:t>This will increase the level of transparency</w:t>
      </w:r>
      <w:r w:rsidR="00BE0EA9">
        <w:t>,</w:t>
      </w:r>
      <w:r w:rsidRPr="00025F7C">
        <w:t xml:space="preserve"> although </w:t>
      </w:r>
      <w:r w:rsidR="00BE0EA9">
        <w:t xml:space="preserve">it </w:t>
      </w:r>
      <w:r w:rsidRPr="00025F7C">
        <w:t>may create additional costs to publish the information online</w:t>
      </w:r>
      <w:r w:rsidR="00BE0EA9">
        <w:t>.</w:t>
      </w:r>
      <w:r w:rsidRPr="00025F7C">
        <w:t xml:space="preserve"> </w:t>
      </w:r>
      <w:r w:rsidR="00BE0EA9">
        <w:t xml:space="preserve">  A local </w:t>
      </w:r>
      <w:r w:rsidRPr="00025F7C">
        <w:t xml:space="preserve">government could </w:t>
      </w:r>
      <w:r w:rsidR="00BE0EA9">
        <w:t xml:space="preserve">simply </w:t>
      </w:r>
      <w:r w:rsidRPr="00025F7C">
        <w:t xml:space="preserve">print out the information if requested </w:t>
      </w:r>
      <w:r w:rsidR="00BE0EA9">
        <w:t>for it in person</w:t>
      </w:r>
      <w:r w:rsidRPr="00025F7C">
        <w:t>.</w:t>
      </w:r>
    </w:p>
    <w:p w14:paraId="3FA82BE6" w14:textId="77777777" w:rsidR="00025F7C" w:rsidRPr="00025F7C" w:rsidRDefault="00025F7C" w:rsidP="00025F7C">
      <w:pPr>
        <w:pStyle w:val="BodyText-nospacebelow"/>
      </w:pPr>
    </w:p>
    <w:p w14:paraId="1A166AD9" w14:textId="77777777" w:rsidR="00CF276F" w:rsidRDefault="00CF276F">
      <w:pPr>
        <w:rPr>
          <w:b/>
          <w:bCs/>
          <w:iCs/>
          <w:sz w:val="28"/>
        </w:rPr>
      </w:pPr>
      <w:r>
        <w:rPr>
          <w:b/>
          <w:sz w:val="28"/>
        </w:rPr>
        <w:br w:type="page"/>
      </w:r>
    </w:p>
    <w:p w14:paraId="31A9000E" w14:textId="77777777" w:rsidR="00BE0EA9" w:rsidRDefault="00BE0EA9" w:rsidP="00BE0EA9">
      <w:pPr>
        <w:pStyle w:val="IntenseQuote"/>
        <w:rPr>
          <w:b/>
          <w:sz w:val="28"/>
        </w:rPr>
      </w:pPr>
      <w:r>
        <w:rPr>
          <w:b/>
          <w:sz w:val="28"/>
        </w:rPr>
        <w:lastRenderedPageBreak/>
        <w:t xml:space="preserve">Information </w:t>
      </w:r>
      <w:r w:rsidR="007743D8">
        <w:rPr>
          <w:b/>
          <w:sz w:val="28"/>
        </w:rPr>
        <w:t xml:space="preserve">available </w:t>
      </w:r>
      <w:r>
        <w:rPr>
          <w:b/>
          <w:sz w:val="28"/>
        </w:rPr>
        <w:t>for public inspection: Guidance questions</w:t>
      </w:r>
    </w:p>
    <w:p w14:paraId="3B73E956" w14:textId="77777777" w:rsidR="009558F4" w:rsidRDefault="007F54A8" w:rsidP="00DB759E">
      <w:pPr>
        <w:pStyle w:val="BodyText2-nospacebelow"/>
        <w:numPr>
          <w:ilvl w:val="0"/>
          <w:numId w:val="19"/>
        </w:numPr>
        <w:spacing w:after="120"/>
      </w:pPr>
      <w:r>
        <w:t xml:space="preserve">Using </w:t>
      </w:r>
      <w:r>
        <w:rPr>
          <w:lang w:eastAsia="en-AU"/>
        </w:rPr>
        <w:t>the</w:t>
      </w:r>
      <w:r>
        <w:t xml:space="preserve"> following table, advise how you think information should be made available:  </w:t>
      </w:r>
    </w:p>
    <w:p w14:paraId="68CB5052" w14:textId="77777777" w:rsidR="001228B3" w:rsidRDefault="001228B3" w:rsidP="001228B3">
      <w:pPr>
        <w:pStyle w:val="BodyText2-nospacebelow"/>
        <w:ind w:left="720"/>
      </w:pPr>
    </w:p>
    <w:tbl>
      <w:tblPr>
        <w:tblStyle w:val="DLGCTable-Data"/>
        <w:tblpPr w:leftFromText="180" w:rightFromText="180" w:vertAnchor="text" w:tblpX="-567" w:tblpY="1"/>
        <w:tblOverlap w:val="never"/>
        <w:tblW w:w="10490" w:type="dxa"/>
        <w:tblLayout w:type="fixed"/>
        <w:tblLook w:val="04A0" w:firstRow="1" w:lastRow="0" w:firstColumn="1" w:lastColumn="0" w:noHBand="0" w:noVBand="1"/>
      </w:tblPr>
      <w:tblGrid>
        <w:gridCol w:w="1843"/>
        <w:gridCol w:w="3119"/>
        <w:gridCol w:w="1417"/>
        <w:gridCol w:w="1559"/>
        <w:gridCol w:w="1134"/>
        <w:gridCol w:w="1418"/>
      </w:tblGrid>
      <w:tr w:rsidR="007E5BED" w:rsidRPr="00651B92" w14:paraId="6613C7B0" w14:textId="7AD2A857" w:rsidTr="00310E0A">
        <w:trPr>
          <w:cnfStyle w:val="100000000000" w:firstRow="1" w:lastRow="0" w:firstColumn="0" w:lastColumn="0" w:oddVBand="0" w:evenVBand="0" w:oddHBand="0" w:evenHBand="0" w:firstRowFirstColumn="0" w:firstRowLastColumn="0" w:lastRowFirstColumn="0" w:lastRowLastColumn="0"/>
          <w:trHeight w:val="20"/>
        </w:trPr>
        <w:tc>
          <w:tcPr>
            <w:tcW w:w="1843" w:type="dxa"/>
          </w:tcPr>
          <w:p w14:paraId="5AD54FF3" w14:textId="6ADDE2C0" w:rsidR="007E5BED" w:rsidRPr="00651B92" w:rsidRDefault="007E5BED" w:rsidP="00310E0A">
            <w:pPr>
              <w:pStyle w:val="BodyText-nospacebelow"/>
              <w:spacing w:after="100"/>
            </w:pPr>
            <w:r w:rsidRPr="00651B92">
              <w:t>Provision</w:t>
            </w:r>
          </w:p>
        </w:tc>
        <w:tc>
          <w:tcPr>
            <w:tcW w:w="3119" w:type="dxa"/>
          </w:tcPr>
          <w:p w14:paraId="44690846" w14:textId="77777777" w:rsidR="007E5BED" w:rsidRPr="00651B92" w:rsidRDefault="007E5BED" w:rsidP="00310E0A">
            <w:pPr>
              <w:pStyle w:val="BodyText-nospacebelow"/>
              <w:spacing w:after="100"/>
            </w:pPr>
            <w:r>
              <w:t>Documents</w:t>
            </w:r>
          </w:p>
        </w:tc>
        <w:tc>
          <w:tcPr>
            <w:tcW w:w="1417" w:type="dxa"/>
          </w:tcPr>
          <w:p w14:paraId="0C6F4DF5" w14:textId="77777777" w:rsidR="007E5BED" w:rsidRPr="00651B92" w:rsidRDefault="007E5BED" w:rsidP="00310E0A">
            <w:pPr>
              <w:pStyle w:val="BodyText-nospacebelow"/>
              <w:spacing w:after="100"/>
            </w:pPr>
            <w:r>
              <w:t>In person only</w:t>
            </w:r>
          </w:p>
        </w:tc>
        <w:tc>
          <w:tcPr>
            <w:tcW w:w="1559" w:type="dxa"/>
          </w:tcPr>
          <w:p w14:paraId="250E7264" w14:textId="77777777" w:rsidR="007E5BED" w:rsidRPr="00651B92" w:rsidRDefault="007E5BED" w:rsidP="00310E0A">
            <w:pPr>
              <w:pStyle w:val="BodyText-nospacebelow"/>
              <w:spacing w:after="100"/>
            </w:pPr>
            <w:r w:rsidRPr="00651B92">
              <w:t>Website only</w:t>
            </w:r>
          </w:p>
        </w:tc>
        <w:tc>
          <w:tcPr>
            <w:tcW w:w="1134" w:type="dxa"/>
          </w:tcPr>
          <w:p w14:paraId="36473D9F" w14:textId="77777777" w:rsidR="007E5BED" w:rsidRPr="00651B92" w:rsidRDefault="007E5BED" w:rsidP="00310E0A">
            <w:pPr>
              <w:pStyle w:val="BodyText-nospacebelow"/>
              <w:spacing w:after="100"/>
            </w:pPr>
            <w:r w:rsidRPr="00651B92">
              <w:t>Both</w:t>
            </w:r>
          </w:p>
        </w:tc>
        <w:tc>
          <w:tcPr>
            <w:tcW w:w="1418" w:type="dxa"/>
          </w:tcPr>
          <w:p w14:paraId="7E910E5C" w14:textId="2D1DBFD1" w:rsidR="007E5BED" w:rsidRPr="00651B92" w:rsidRDefault="007E5BED" w:rsidP="00310E0A">
            <w:pPr>
              <w:pStyle w:val="BodyText-nospacebelow"/>
              <w:spacing w:after="100"/>
            </w:pPr>
            <w:r>
              <w:t>Neither</w:t>
            </w:r>
          </w:p>
        </w:tc>
      </w:tr>
      <w:tr w:rsidR="007E5BED" w:rsidRPr="00651B92" w14:paraId="4B00BE8C" w14:textId="5D1C2D13" w:rsidTr="00310E0A">
        <w:trPr>
          <w:trHeight w:val="20"/>
        </w:trPr>
        <w:tc>
          <w:tcPr>
            <w:tcW w:w="1843" w:type="dxa"/>
          </w:tcPr>
          <w:p w14:paraId="1FE09D5B" w14:textId="77777777" w:rsidR="007E5BED" w:rsidRPr="00651B92" w:rsidRDefault="007E5BED" w:rsidP="00310E0A">
            <w:pPr>
              <w:pStyle w:val="BodyText-nospacebelow"/>
              <w:spacing w:after="100"/>
            </w:pPr>
            <w:r w:rsidRPr="00651B92">
              <w:t>Section 5.53</w:t>
            </w:r>
          </w:p>
        </w:tc>
        <w:tc>
          <w:tcPr>
            <w:tcW w:w="3119" w:type="dxa"/>
          </w:tcPr>
          <w:p w14:paraId="07016D8D" w14:textId="390FDE92" w:rsidR="007E5BED" w:rsidRPr="00651B92" w:rsidRDefault="007E5BED" w:rsidP="00310E0A">
            <w:pPr>
              <w:pStyle w:val="BodyText-nospacebelow"/>
              <w:spacing w:after="100"/>
            </w:pPr>
            <w:r w:rsidRPr="00651B92">
              <w:t>Annual Report</w:t>
            </w:r>
          </w:p>
        </w:tc>
        <w:tc>
          <w:tcPr>
            <w:tcW w:w="1417" w:type="dxa"/>
          </w:tcPr>
          <w:p w14:paraId="5CD46442" w14:textId="77777777" w:rsidR="007E5BED" w:rsidRPr="00651B92" w:rsidRDefault="007E5BED" w:rsidP="00310E0A">
            <w:pPr>
              <w:pStyle w:val="BodyText-nospacebelow"/>
            </w:pPr>
          </w:p>
        </w:tc>
        <w:tc>
          <w:tcPr>
            <w:tcW w:w="1559" w:type="dxa"/>
          </w:tcPr>
          <w:p w14:paraId="5B170DFE" w14:textId="77777777" w:rsidR="007E5BED" w:rsidRPr="00651B92" w:rsidRDefault="007E5BED" w:rsidP="00310E0A">
            <w:pPr>
              <w:pStyle w:val="BodyText-nospacebelow"/>
            </w:pPr>
          </w:p>
        </w:tc>
        <w:tc>
          <w:tcPr>
            <w:tcW w:w="1134" w:type="dxa"/>
          </w:tcPr>
          <w:p w14:paraId="1E80B732" w14:textId="77777777" w:rsidR="007E5BED" w:rsidRPr="00651B92" w:rsidRDefault="007E5BED" w:rsidP="00310E0A">
            <w:pPr>
              <w:pStyle w:val="BodyText-nospacebelow"/>
            </w:pPr>
          </w:p>
        </w:tc>
        <w:tc>
          <w:tcPr>
            <w:tcW w:w="1418" w:type="dxa"/>
          </w:tcPr>
          <w:p w14:paraId="1CFA28D1" w14:textId="77777777" w:rsidR="007E5BED" w:rsidRPr="00651B92" w:rsidRDefault="007E5BED" w:rsidP="00310E0A">
            <w:pPr>
              <w:pStyle w:val="BodyText-nospacebelow"/>
            </w:pPr>
          </w:p>
        </w:tc>
      </w:tr>
      <w:tr w:rsidR="007E5BED" w:rsidRPr="00651B92" w14:paraId="6D7C5DE1" w14:textId="557F74FC" w:rsidTr="00310E0A">
        <w:trPr>
          <w:trHeight w:val="20"/>
        </w:trPr>
        <w:tc>
          <w:tcPr>
            <w:tcW w:w="1843" w:type="dxa"/>
          </w:tcPr>
          <w:p w14:paraId="769AE257" w14:textId="77777777" w:rsidR="007E5BED" w:rsidRPr="00651B92" w:rsidRDefault="007E5BED" w:rsidP="00310E0A">
            <w:pPr>
              <w:pStyle w:val="BodyText-nospacebelow"/>
              <w:spacing w:after="100"/>
            </w:pPr>
            <w:r w:rsidRPr="00651B92">
              <w:t>Section 5.75 &amp; 5.76</w:t>
            </w:r>
          </w:p>
        </w:tc>
        <w:tc>
          <w:tcPr>
            <w:tcW w:w="3119" w:type="dxa"/>
          </w:tcPr>
          <w:p w14:paraId="2EEA0982" w14:textId="2092D308" w:rsidR="007E5BED" w:rsidRPr="00651B92" w:rsidRDefault="007E5BED" w:rsidP="00310E0A">
            <w:pPr>
              <w:pStyle w:val="BodyText-nospacebelow"/>
              <w:spacing w:after="100"/>
            </w:pPr>
            <w:r w:rsidRPr="00651B92">
              <w:t xml:space="preserve">Primary and Annual returns – for </w:t>
            </w:r>
            <w:r w:rsidR="00246B9A">
              <w:t>Elected member</w:t>
            </w:r>
            <w:r w:rsidRPr="00651B92">
              <w:t>s</w:t>
            </w:r>
          </w:p>
          <w:p w14:paraId="637B9B43" w14:textId="7BD8F0E7" w:rsidR="007E5BED" w:rsidRPr="00651B92" w:rsidRDefault="007E5BED" w:rsidP="00310E0A">
            <w:pPr>
              <w:pStyle w:val="BodyText-nospacebelow"/>
              <w:spacing w:after="100"/>
            </w:pPr>
            <w:r w:rsidRPr="00651B92">
              <w:t>Includes –</w:t>
            </w:r>
            <w:r>
              <w:t xml:space="preserve"> </w:t>
            </w:r>
            <w:r w:rsidRPr="00651B92">
              <w:t>sources of income</w:t>
            </w:r>
          </w:p>
          <w:p w14:paraId="18004DC8" w14:textId="0C79F548" w:rsidR="007E5BED" w:rsidRPr="00651B92" w:rsidRDefault="007E5BED" w:rsidP="00310E0A">
            <w:pPr>
              <w:pStyle w:val="BodyText-nospacebelow"/>
              <w:spacing w:after="100"/>
            </w:pPr>
            <w:r>
              <w:t xml:space="preserve">  </w:t>
            </w:r>
            <w:r w:rsidRPr="00651B92">
              <w:t>Trusts</w:t>
            </w:r>
          </w:p>
          <w:p w14:paraId="5EB4AF78" w14:textId="3DC38AB2" w:rsidR="007E5BED" w:rsidRPr="00651B92" w:rsidRDefault="007E5BED" w:rsidP="00310E0A">
            <w:pPr>
              <w:pStyle w:val="BodyText-nospacebelow"/>
              <w:spacing w:after="100"/>
            </w:pPr>
            <w:r>
              <w:t xml:space="preserve">  </w:t>
            </w:r>
            <w:r w:rsidRPr="00651B92">
              <w:t>Debts</w:t>
            </w:r>
          </w:p>
          <w:p w14:paraId="54BC892D" w14:textId="5071B569" w:rsidR="007E5BED" w:rsidRPr="00651B92" w:rsidRDefault="007E5BED" w:rsidP="00310E0A">
            <w:pPr>
              <w:pStyle w:val="BodyText-nospacebelow"/>
              <w:spacing w:after="100"/>
            </w:pPr>
            <w:r>
              <w:t xml:space="preserve">  </w:t>
            </w:r>
            <w:r w:rsidRPr="00651B92">
              <w:t>Property</w:t>
            </w:r>
            <w:r>
              <w:t xml:space="preserve"> h</w:t>
            </w:r>
            <w:r w:rsidRPr="00651B92">
              <w:t>oldin</w:t>
            </w:r>
            <w:r>
              <w:t>gs.</w:t>
            </w:r>
          </w:p>
          <w:p w14:paraId="5FE7637B" w14:textId="5504DEEF" w:rsidR="007E5BED" w:rsidRPr="00651B92" w:rsidRDefault="007E5BED" w:rsidP="00310E0A">
            <w:pPr>
              <w:pStyle w:val="BodyText-nospacebelow"/>
              <w:spacing w:after="100"/>
            </w:pPr>
            <w:r>
              <w:t xml:space="preserve">  </w:t>
            </w:r>
            <w:r w:rsidRPr="00651B92">
              <w:t>Interests and</w:t>
            </w:r>
            <w:r>
              <w:t xml:space="preserve"> </w:t>
            </w:r>
            <w:r w:rsidRPr="00651B92">
              <w:t>positions in</w:t>
            </w:r>
            <w:r>
              <w:t xml:space="preserve"> c</w:t>
            </w:r>
            <w:r w:rsidRPr="00651B92">
              <w:t>orporations</w:t>
            </w:r>
            <w:r>
              <w:t>.</w:t>
            </w:r>
          </w:p>
        </w:tc>
        <w:tc>
          <w:tcPr>
            <w:tcW w:w="1417" w:type="dxa"/>
          </w:tcPr>
          <w:p w14:paraId="4AE0413F" w14:textId="77777777" w:rsidR="007E5BED" w:rsidRPr="00651B92" w:rsidRDefault="007E5BED" w:rsidP="00310E0A">
            <w:pPr>
              <w:pStyle w:val="BodyText-nospacebelow"/>
            </w:pPr>
          </w:p>
        </w:tc>
        <w:tc>
          <w:tcPr>
            <w:tcW w:w="1559" w:type="dxa"/>
          </w:tcPr>
          <w:p w14:paraId="1833E661" w14:textId="77777777" w:rsidR="007E5BED" w:rsidRPr="00651B92" w:rsidRDefault="007E5BED" w:rsidP="00310E0A">
            <w:pPr>
              <w:pStyle w:val="BodyText-nospacebelow"/>
            </w:pPr>
          </w:p>
        </w:tc>
        <w:tc>
          <w:tcPr>
            <w:tcW w:w="1134" w:type="dxa"/>
          </w:tcPr>
          <w:p w14:paraId="1A19DE93" w14:textId="77777777" w:rsidR="007E5BED" w:rsidRPr="00651B92" w:rsidRDefault="007E5BED" w:rsidP="00310E0A">
            <w:pPr>
              <w:pStyle w:val="BodyText-nospacebelow"/>
            </w:pPr>
          </w:p>
        </w:tc>
        <w:tc>
          <w:tcPr>
            <w:tcW w:w="1418" w:type="dxa"/>
          </w:tcPr>
          <w:p w14:paraId="15B7C1FD" w14:textId="77777777" w:rsidR="007E5BED" w:rsidRPr="00651B92" w:rsidRDefault="007E5BED" w:rsidP="00310E0A">
            <w:pPr>
              <w:pStyle w:val="BodyText-nospacebelow"/>
            </w:pPr>
          </w:p>
        </w:tc>
      </w:tr>
      <w:tr w:rsidR="007E5BED" w:rsidRPr="00651B92" w14:paraId="5E97F6C7" w14:textId="74D4DC27" w:rsidTr="00310E0A">
        <w:trPr>
          <w:trHeight w:val="20"/>
        </w:trPr>
        <w:tc>
          <w:tcPr>
            <w:tcW w:w="1843" w:type="dxa"/>
          </w:tcPr>
          <w:p w14:paraId="572A6E95" w14:textId="77777777" w:rsidR="007E5BED" w:rsidRPr="00651B92" w:rsidRDefault="007E5BED" w:rsidP="00310E0A">
            <w:pPr>
              <w:pStyle w:val="BodyText-nospacebelow"/>
              <w:spacing w:after="100"/>
            </w:pPr>
            <w:r w:rsidRPr="00651B92">
              <w:t>Section 5.87</w:t>
            </w:r>
          </w:p>
        </w:tc>
        <w:tc>
          <w:tcPr>
            <w:tcW w:w="3119" w:type="dxa"/>
          </w:tcPr>
          <w:p w14:paraId="11E12F0F" w14:textId="367BA16E" w:rsidR="007E5BED" w:rsidRPr="00651B92" w:rsidRDefault="007E5BED" w:rsidP="00310E0A">
            <w:pPr>
              <w:pStyle w:val="BodyText-nospacebelow"/>
              <w:spacing w:after="100"/>
            </w:pPr>
            <w:r w:rsidRPr="00651B92">
              <w:t>Discretionary disclosures generally</w:t>
            </w:r>
          </w:p>
        </w:tc>
        <w:tc>
          <w:tcPr>
            <w:tcW w:w="1417" w:type="dxa"/>
          </w:tcPr>
          <w:p w14:paraId="06D71FA1" w14:textId="77777777" w:rsidR="007E5BED" w:rsidRPr="00651B92" w:rsidRDefault="007E5BED" w:rsidP="00310E0A">
            <w:pPr>
              <w:pStyle w:val="BodyText-nospacebelow"/>
            </w:pPr>
          </w:p>
        </w:tc>
        <w:tc>
          <w:tcPr>
            <w:tcW w:w="1559" w:type="dxa"/>
          </w:tcPr>
          <w:p w14:paraId="05E51A6A" w14:textId="77777777" w:rsidR="007E5BED" w:rsidRPr="00651B92" w:rsidRDefault="007E5BED" w:rsidP="00310E0A">
            <w:pPr>
              <w:pStyle w:val="BodyText-nospacebelow"/>
            </w:pPr>
          </w:p>
        </w:tc>
        <w:tc>
          <w:tcPr>
            <w:tcW w:w="1134" w:type="dxa"/>
          </w:tcPr>
          <w:p w14:paraId="41330D74" w14:textId="77777777" w:rsidR="007E5BED" w:rsidRPr="00651B92" w:rsidRDefault="007E5BED" w:rsidP="00310E0A">
            <w:pPr>
              <w:pStyle w:val="BodyText-nospacebelow"/>
            </w:pPr>
          </w:p>
        </w:tc>
        <w:tc>
          <w:tcPr>
            <w:tcW w:w="1418" w:type="dxa"/>
          </w:tcPr>
          <w:p w14:paraId="250EC07A" w14:textId="77777777" w:rsidR="007E5BED" w:rsidRPr="00651B92" w:rsidRDefault="007E5BED" w:rsidP="00310E0A">
            <w:pPr>
              <w:pStyle w:val="BodyText-nospacebelow"/>
            </w:pPr>
          </w:p>
        </w:tc>
      </w:tr>
      <w:tr w:rsidR="007E5BED" w:rsidRPr="00651B92" w14:paraId="340EE877" w14:textId="29F468CE" w:rsidTr="00310E0A">
        <w:trPr>
          <w:trHeight w:val="20"/>
        </w:trPr>
        <w:tc>
          <w:tcPr>
            <w:tcW w:w="1843" w:type="dxa"/>
          </w:tcPr>
          <w:p w14:paraId="06E30FC1" w14:textId="77777777" w:rsidR="007E5BED" w:rsidRPr="00651B92" w:rsidRDefault="007E5BED" w:rsidP="00310E0A">
            <w:pPr>
              <w:pStyle w:val="BodyText-nospacebelow"/>
              <w:spacing w:after="100"/>
            </w:pPr>
            <w:r w:rsidRPr="00651B92">
              <w:t>Section 5.82</w:t>
            </w:r>
          </w:p>
        </w:tc>
        <w:tc>
          <w:tcPr>
            <w:tcW w:w="3119" w:type="dxa"/>
          </w:tcPr>
          <w:p w14:paraId="4FE02253" w14:textId="1CD7F484" w:rsidR="007E5BED" w:rsidRPr="00651B92" w:rsidRDefault="007E5BED" w:rsidP="00310E0A">
            <w:pPr>
              <w:pStyle w:val="BodyText-nospacebelow"/>
              <w:spacing w:after="100"/>
            </w:pPr>
            <w:r w:rsidRPr="00651B92">
              <w:t>Gifts (already required to be on the website)</w:t>
            </w:r>
          </w:p>
        </w:tc>
        <w:tc>
          <w:tcPr>
            <w:tcW w:w="1417" w:type="dxa"/>
          </w:tcPr>
          <w:p w14:paraId="6491A15E" w14:textId="77777777" w:rsidR="007E5BED" w:rsidRPr="00651B92" w:rsidRDefault="007E5BED" w:rsidP="00310E0A">
            <w:pPr>
              <w:pStyle w:val="BodyText-nospacebelow"/>
            </w:pPr>
          </w:p>
        </w:tc>
        <w:tc>
          <w:tcPr>
            <w:tcW w:w="1559" w:type="dxa"/>
          </w:tcPr>
          <w:p w14:paraId="41E87D79" w14:textId="77777777" w:rsidR="007E5BED" w:rsidRPr="00651B92" w:rsidRDefault="007E5BED" w:rsidP="00310E0A">
            <w:pPr>
              <w:pStyle w:val="BodyText-nospacebelow"/>
            </w:pPr>
          </w:p>
        </w:tc>
        <w:tc>
          <w:tcPr>
            <w:tcW w:w="1134" w:type="dxa"/>
          </w:tcPr>
          <w:p w14:paraId="0F225B22" w14:textId="77777777" w:rsidR="007E5BED" w:rsidRPr="00651B92" w:rsidRDefault="007E5BED" w:rsidP="00310E0A">
            <w:pPr>
              <w:pStyle w:val="BodyText-nospacebelow"/>
            </w:pPr>
          </w:p>
        </w:tc>
        <w:tc>
          <w:tcPr>
            <w:tcW w:w="1418" w:type="dxa"/>
          </w:tcPr>
          <w:p w14:paraId="20656A46" w14:textId="77777777" w:rsidR="007E5BED" w:rsidRPr="00651B92" w:rsidRDefault="007E5BED" w:rsidP="00310E0A">
            <w:pPr>
              <w:pStyle w:val="BodyText-nospacebelow"/>
            </w:pPr>
          </w:p>
        </w:tc>
      </w:tr>
      <w:tr w:rsidR="007E5BED" w:rsidRPr="00651B92" w14:paraId="508416FE" w14:textId="15253A81" w:rsidTr="00310E0A">
        <w:trPr>
          <w:trHeight w:val="20"/>
        </w:trPr>
        <w:tc>
          <w:tcPr>
            <w:tcW w:w="1843" w:type="dxa"/>
          </w:tcPr>
          <w:p w14:paraId="3AF8F127" w14:textId="77777777" w:rsidR="007E5BED" w:rsidRPr="00651B92" w:rsidRDefault="007E5BED" w:rsidP="00310E0A">
            <w:pPr>
              <w:pStyle w:val="BodyText-nospacebelow"/>
              <w:spacing w:after="100"/>
            </w:pPr>
            <w:r w:rsidRPr="00651B92">
              <w:t>Section 5.83</w:t>
            </w:r>
          </w:p>
        </w:tc>
        <w:tc>
          <w:tcPr>
            <w:tcW w:w="3119" w:type="dxa"/>
          </w:tcPr>
          <w:p w14:paraId="7B48296D" w14:textId="511F0785" w:rsidR="007E5BED" w:rsidRPr="00651B92" w:rsidRDefault="007E5BED" w:rsidP="00310E0A">
            <w:pPr>
              <w:pStyle w:val="BodyText-nospacebelow"/>
              <w:spacing w:after="100"/>
            </w:pPr>
            <w:r w:rsidRPr="00651B92">
              <w:t>Disclosure of travel contributions (already required to be on the website)</w:t>
            </w:r>
          </w:p>
        </w:tc>
        <w:tc>
          <w:tcPr>
            <w:tcW w:w="1417" w:type="dxa"/>
          </w:tcPr>
          <w:p w14:paraId="1A6A26A6" w14:textId="77777777" w:rsidR="007E5BED" w:rsidRPr="00651B92" w:rsidRDefault="007E5BED" w:rsidP="00310E0A">
            <w:pPr>
              <w:pStyle w:val="BodyText-nospacebelow"/>
            </w:pPr>
          </w:p>
        </w:tc>
        <w:tc>
          <w:tcPr>
            <w:tcW w:w="1559" w:type="dxa"/>
          </w:tcPr>
          <w:p w14:paraId="75595F15" w14:textId="77777777" w:rsidR="007E5BED" w:rsidRPr="00651B92" w:rsidRDefault="007E5BED" w:rsidP="00310E0A">
            <w:pPr>
              <w:pStyle w:val="BodyText-nospacebelow"/>
            </w:pPr>
          </w:p>
        </w:tc>
        <w:tc>
          <w:tcPr>
            <w:tcW w:w="1134" w:type="dxa"/>
          </w:tcPr>
          <w:p w14:paraId="00A18BFD" w14:textId="77777777" w:rsidR="007E5BED" w:rsidRPr="00651B92" w:rsidRDefault="007E5BED" w:rsidP="00310E0A">
            <w:pPr>
              <w:pStyle w:val="BodyText-nospacebelow"/>
            </w:pPr>
          </w:p>
        </w:tc>
        <w:tc>
          <w:tcPr>
            <w:tcW w:w="1418" w:type="dxa"/>
          </w:tcPr>
          <w:p w14:paraId="50422B59" w14:textId="77777777" w:rsidR="007E5BED" w:rsidRPr="00651B92" w:rsidRDefault="007E5BED" w:rsidP="00310E0A">
            <w:pPr>
              <w:pStyle w:val="BodyText-nospacebelow"/>
            </w:pPr>
          </w:p>
        </w:tc>
      </w:tr>
      <w:tr w:rsidR="007E5BED" w:rsidRPr="00651B92" w14:paraId="621C8AA7" w14:textId="426BD554" w:rsidTr="00310E0A">
        <w:trPr>
          <w:trHeight w:val="20"/>
        </w:trPr>
        <w:tc>
          <w:tcPr>
            <w:tcW w:w="1843" w:type="dxa"/>
          </w:tcPr>
          <w:p w14:paraId="7672DCF2" w14:textId="77777777" w:rsidR="007E5BED" w:rsidRPr="00651B92" w:rsidRDefault="007E5BED" w:rsidP="00310E0A">
            <w:pPr>
              <w:pStyle w:val="BodyText-nospacebelow"/>
              <w:spacing w:after="100"/>
            </w:pPr>
            <w:r w:rsidRPr="00651B92">
              <w:t>Elections</w:t>
            </w:r>
            <w:r>
              <w:t xml:space="preserve"> </w:t>
            </w:r>
            <w:r w:rsidRPr="00651B92">
              <w:t>Reg</w:t>
            </w:r>
            <w:r>
              <w:t>ulations</w:t>
            </w:r>
            <w:r w:rsidRPr="00651B92">
              <w:t xml:space="preserve"> 30H</w:t>
            </w:r>
          </w:p>
        </w:tc>
        <w:tc>
          <w:tcPr>
            <w:tcW w:w="3119" w:type="dxa"/>
          </w:tcPr>
          <w:p w14:paraId="2F9330F1" w14:textId="3731FEA6" w:rsidR="007E5BED" w:rsidRPr="00651B92" w:rsidRDefault="007E5BED" w:rsidP="00310E0A">
            <w:pPr>
              <w:pStyle w:val="BodyText-nospacebelow"/>
              <w:spacing w:after="100"/>
            </w:pPr>
            <w:r w:rsidRPr="00651B92">
              <w:t>Electoral gifts register</w:t>
            </w:r>
          </w:p>
        </w:tc>
        <w:tc>
          <w:tcPr>
            <w:tcW w:w="1417" w:type="dxa"/>
          </w:tcPr>
          <w:p w14:paraId="3CC95F4C" w14:textId="77777777" w:rsidR="007E5BED" w:rsidRPr="00651B92" w:rsidRDefault="007E5BED" w:rsidP="00310E0A">
            <w:pPr>
              <w:pStyle w:val="BodyText-nospacebelow"/>
            </w:pPr>
          </w:p>
        </w:tc>
        <w:tc>
          <w:tcPr>
            <w:tcW w:w="1559" w:type="dxa"/>
          </w:tcPr>
          <w:p w14:paraId="1459C6F8" w14:textId="77777777" w:rsidR="007E5BED" w:rsidRPr="00651B92" w:rsidRDefault="007E5BED" w:rsidP="00310E0A">
            <w:pPr>
              <w:pStyle w:val="BodyText-nospacebelow"/>
            </w:pPr>
          </w:p>
        </w:tc>
        <w:tc>
          <w:tcPr>
            <w:tcW w:w="1134" w:type="dxa"/>
          </w:tcPr>
          <w:p w14:paraId="5332E232" w14:textId="77777777" w:rsidR="007E5BED" w:rsidRPr="00651B92" w:rsidRDefault="007E5BED" w:rsidP="00310E0A">
            <w:pPr>
              <w:pStyle w:val="BodyText-nospacebelow"/>
            </w:pPr>
          </w:p>
        </w:tc>
        <w:tc>
          <w:tcPr>
            <w:tcW w:w="1418" w:type="dxa"/>
          </w:tcPr>
          <w:p w14:paraId="3DE3C97D" w14:textId="77777777" w:rsidR="007E5BED" w:rsidRPr="00651B92" w:rsidRDefault="007E5BED" w:rsidP="00310E0A">
            <w:pPr>
              <w:pStyle w:val="BodyText-nospacebelow"/>
            </w:pPr>
          </w:p>
        </w:tc>
      </w:tr>
      <w:tr w:rsidR="007E5BED" w:rsidRPr="00651B92" w14:paraId="18038D91" w14:textId="7EE38515" w:rsidTr="00310E0A">
        <w:trPr>
          <w:trHeight w:val="20"/>
        </w:trPr>
        <w:tc>
          <w:tcPr>
            <w:tcW w:w="1843" w:type="dxa"/>
          </w:tcPr>
          <w:p w14:paraId="7C00177C" w14:textId="77777777" w:rsidR="007E5BED" w:rsidRPr="00651B92" w:rsidRDefault="007E5BED" w:rsidP="00310E0A">
            <w:pPr>
              <w:pStyle w:val="BodyText-nospacebelow"/>
              <w:spacing w:after="100"/>
            </w:pPr>
            <w:r w:rsidRPr="00651B92">
              <w:t>Section 5.98A</w:t>
            </w:r>
          </w:p>
        </w:tc>
        <w:tc>
          <w:tcPr>
            <w:tcW w:w="3119" w:type="dxa"/>
          </w:tcPr>
          <w:p w14:paraId="2A91E2B0" w14:textId="104A6AAC" w:rsidR="007E5BED" w:rsidRPr="00651B92" w:rsidRDefault="007E5BED" w:rsidP="00310E0A">
            <w:pPr>
              <w:pStyle w:val="BodyText-nospacebelow"/>
              <w:spacing w:after="100"/>
            </w:pPr>
            <w:r w:rsidRPr="00651B92">
              <w:t>Allowance for deputy mayor or deputy president</w:t>
            </w:r>
          </w:p>
        </w:tc>
        <w:tc>
          <w:tcPr>
            <w:tcW w:w="1417" w:type="dxa"/>
          </w:tcPr>
          <w:p w14:paraId="39B2507B" w14:textId="77777777" w:rsidR="007E5BED" w:rsidRPr="00651B92" w:rsidRDefault="007E5BED" w:rsidP="00310E0A">
            <w:pPr>
              <w:pStyle w:val="BodyText-nospacebelow"/>
            </w:pPr>
          </w:p>
        </w:tc>
        <w:tc>
          <w:tcPr>
            <w:tcW w:w="1559" w:type="dxa"/>
          </w:tcPr>
          <w:p w14:paraId="08C650A9" w14:textId="77777777" w:rsidR="007E5BED" w:rsidRPr="00651B92" w:rsidRDefault="007E5BED" w:rsidP="00310E0A">
            <w:pPr>
              <w:pStyle w:val="BodyText-nospacebelow"/>
            </w:pPr>
          </w:p>
        </w:tc>
        <w:tc>
          <w:tcPr>
            <w:tcW w:w="1134" w:type="dxa"/>
          </w:tcPr>
          <w:p w14:paraId="3B110BEE" w14:textId="77777777" w:rsidR="007E5BED" w:rsidRPr="00651B92" w:rsidRDefault="007E5BED" w:rsidP="00310E0A">
            <w:pPr>
              <w:pStyle w:val="BodyText-nospacebelow"/>
            </w:pPr>
          </w:p>
        </w:tc>
        <w:tc>
          <w:tcPr>
            <w:tcW w:w="1418" w:type="dxa"/>
          </w:tcPr>
          <w:p w14:paraId="7975813E" w14:textId="77777777" w:rsidR="007E5BED" w:rsidRPr="00651B92" w:rsidRDefault="007E5BED" w:rsidP="00310E0A">
            <w:pPr>
              <w:pStyle w:val="BodyText-nospacebelow"/>
            </w:pPr>
          </w:p>
        </w:tc>
      </w:tr>
      <w:tr w:rsidR="007E5BED" w:rsidRPr="00651B92" w14:paraId="4FF54000" w14:textId="0EDD359A" w:rsidTr="00310E0A">
        <w:trPr>
          <w:trHeight w:val="20"/>
        </w:trPr>
        <w:tc>
          <w:tcPr>
            <w:tcW w:w="1843" w:type="dxa"/>
          </w:tcPr>
          <w:p w14:paraId="5B5AC0ED" w14:textId="77777777" w:rsidR="007E5BED" w:rsidRPr="00651B92" w:rsidRDefault="007E5BED" w:rsidP="00310E0A">
            <w:pPr>
              <w:pStyle w:val="BodyText-nospacebelow"/>
              <w:spacing w:after="100"/>
            </w:pPr>
            <w:r w:rsidRPr="00651B92">
              <w:t>Section 5.100</w:t>
            </w:r>
          </w:p>
        </w:tc>
        <w:tc>
          <w:tcPr>
            <w:tcW w:w="3119" w:type="dxa"/>
          </w:tcPr>
          <w:p w14:paraId="43A8285A" w14:textId="5CDEA0BB" w:rsidR="007E5BED" w:rsidRPr="00651B92" w:rsidRDefault="007E5BED" w:rsidP="00310E0A">
            <w:pPr>
              <w:pStyle w:val="BodyText-nospacebelow"/>
              <w:spacing w:after="100"/>
            </w:pPr>
            <w:r w:rsidRPr="00651B92">
              <w:t>Payments for certain committee members</w:t>
            </w:r>
          </w:p>
        </w:tc>
        <w:tc>
          <w:tcPr>
            <w:tcW w:w="1417" w:type="dxa"/>
          </w:tcPr>
          <w:p w14:paraId="2520DFE3" w14:textId="77777777" w:rsidR="007E5BED" w:rsidRPr="00651B92" w:rsidRDefault="007E5BED" w:rsidP="00310E0A">
            <w:pPr>
              <w:pStyle w:val="BodyText-nospacebelow"/>
            </w:pPr>
          </w:p>
        </w:tc>
        <w:tc>
          <w:tcPr>
            <w:tcW w:w="1559" w:type="dxa"/>
          </w:tcPr>
          <w:p w14:paraId="7939BD1C" w14:textId="77777777" w:rsidR="007E5BED" w:rsidRPr="00651B92" w:rsidRDefault="007E5BED" w:rsidP="00310E0A">
            <w:pPr>
              <w:pStyle w:val="BodyText-nospacebelow"/>
            </w:pPr>
          </w:p>
        </w:tc>
        <w:tc>
          <w:tcPr>
            <w:tcW w:w="1134" w:type="dxa"/>
          </w:tcPr>
          <w:p w14:paraId="3718DD79" w14:textId="77777777" w:rsidR="007E5BED" w:rsidRPr="00651B92" w:rsidRDefault="007E5BED" w:rsidP="00310E0A">
            <w:pPr>
              <w:pStyle w:val="BodyText-nospacebelow"/>
            </w:pPr>
          </w:p>
        </w:tc>
        <w:tc>
          <w:tcPr>
            <w:tcW w:w="1418" w:type="dxa"/>
          </w:tcPr>
          <w:p w14:paraId="575E002E" w14:textId="77777777" w:rsidR="007E5BED" w:rsidRPr="00651B92" w:rsidRDefault="007E5BED" w:rsidP="00310E0A">
            <w:pPr>
              <w:pStyle w:val="BodyText-nospacebelow"/>
            </w:pPr>
          </w:p>
        </w:tc>
      </w:tr>
      <w:tr w:rsidR="007E5BED" w:rsidRPr="00651B92" w14:paraId="4B7B5627" w14:textId="17D14F68" w:rsidTr="00310E0A">
        <w:trPr>
          <w:trHeight w:val="20"/>
        </w:trPr>
        <w:tc>
          <w:tcPr>
            <w:tcW w:w="1843" w:type="dxa"/>
          </w:tcPr>
          <w:p w14:paraId="0EA52010" w14:textId="2F949DC2" w:rsidR="007E5BED" w:rsidRPr="00651B92" w:rsidRDefault="007E5BED" w:rsidP="00310E0A">
            <w:pPr>
              <w:pStyle w:val="BodyText-nospacebelow"/>
              <w:spacing w:after="100"/>
            </w:pPr>
            <w:r w:rsidRPr="00651B92">
              <w:t>F</w:t>
            </w:r>
            <w:r>
              <w:t>unctions and General</w:t>
            </w:r>
            <w:r w:rsidRPr="00651B92">
              <w:t xml:space="preserve"> Reg</w:t>
            </w:r>
            <w:r>
              <w:t xml:space="preserve">ulations </w:t>
            </w:r>
            <w:r w:rsidRPr="00651B92">
              <w:t xml:space="preserve"> 17</w:t>
            </w:r>
          </w:p>
        </w:tc>
        <w:tc>
          <w:tcPr>
            <w:tcW w:w="3119" w:type="dxa"/>
          </w:tcPr>
          <w:p w14:paraId="6FCBB40A" w14:textId="61609D05" w:rsidR="007E5BED" w:rsidRPr="00651B92" w:rsidRDefault="007E5BED" w:rsidP="00310E0A">
            <w:pPr>
              <w:pStyle w:val="BodyText-nospacebelow"/>
              <w:spacing w:after="100"/>
            </w:pPr>
            <w:r w:rsidRPr="00651B92">
              <w:t>Tenders register</w:t>
            </w:r>
          </w:p>
        </w:tc>
        <w:tc>
          <w:tcPr>
            <w:tcW w:w="1417" w:type="dxa"/>
          </w:tcPr>
          <w:p w14:paraId="74C6E69B" w14:textId="77777777" w:rsidR="007E5BED" w:rsidRPr="00651B92" w:rsidRDefault="007E5BED" w:rsidP="00310E0A">
            <w:pPr>
              <w:pStyle w:val="BodyText-nospacebelow"/>
            </w:pPr>
          </w:p>
        </w:tc>
        <w:tc>
          <w:tcPr>
            <w:tcW w:w="1559" w:type="dxa"/>
          </w:tcPr>
          <w:p w14:paraId="0D89B5A2" w14:textId="77777777" w:rsidR="007E5BED" w:rsidRPr="00651B92" w:rsidRDefault="007E5BED" w:rsidP="00310E0A">
            <w:pPr>
              <w:pStyle w:val="BodyText-nospacebelow"/>
            </w:pPr>
          </w:p>
        </w:tc>
        <w:tc>
          <w:tcPr>
            <w:tcW w:w="1134" w:type="dxa"/>
          </w:tcPr>
          <w:p w14:paraId="7709BBEC" w14:textId="77777777" w:rsidR="007E5BED" w:rsidRPr="00651B92" w:rsidRDefault="007E5BED" w:rsidP="00310E0A">
            <w:pPr>
              <w:pStyle w:val="BodyText-nospacebelow"/>
            </w:pPr>
          </w:p>
        </w:tc>
        <w:tc>
          <w:tcPr>
            <w:tcW w:w="1418" w:type="dxa"/>
          </w:tcPr>
          <w:p w14:paraId="53E01847" w14:textId="77777777" w:rsidR="007E5BED" w:rsidRPr="00651B92" w:rsidRDefault="007E5BED" w:rsidP="00310E0A">
            <w:pPr>
              <w:pStyle w:val="BodyText-nospacebelow"/>
            </w:pPr>
          </w:p>
        </w:tc>
      </w:tr>
      <w:tr w:rsidR="007E5BED" w:rsidRPr="00651B92" w14:paraId="25D5647F" w14:textId="4A83E4B9" w:rsidTr="00310E0A">
        <w:trPr>
          <w:trHeight w:val="20"/>
        </w:trPr>
        <w:tc>
          <w:tcPr>
            <w:tcW w:w="1843" w:type="dxa"/>
          </w:tcPr>
          <w:p w14:paraId="55A4F51A" w14:textId="77777777" w:rsidR="007E5BED" w:rsidRPr="00651B92" w:rsidRDefault="007E5BED" w:rsidP="00310E0A">
            <w:pPr>
              <w:pStyle w:val="BodyText-nospacebelow"/>
              <w:spacing w:after="100"/>
            </w:pPr>
            <w:r w:rsidRPr="00651B92">
              <w:t>Section 5.94 &amp; Admin</w:t>
            </w:r>
            <w:r>
              <w:t>istration</w:t>
            </w:r>
            <w:r w:rsidRPr="00651B92">
              <w:t xml:space="preserve"> Reg</w:t>
            </w:r>
            <w:r>
              <w:t>ulations</w:t>
            </w:r>
            <w:r w:rsidRPr="00651B92">
              <w:t xml:space="preserve"> 29</w:t>
            </w:r>
          </w:p>
        </w:tc>
        <w:tc>
          <w:tcPr>
            <w:tcW w:w="3119" w:type="dxa"/>
          </w:tcPr>
          <w:p w14:paraId="345BC59B" w14:textId="7E234177" w:rsidR="007E5BED" w:rsidRPr="00651B92" w:rsidRDefault="007E5BED" w:rsidP="00310E0A">
            <w:pPr>
              <w:pStyle w:val="BodyText-nospacebelow"/>
              <w:spacing w:after="100"/>
            </w:pPr>
            <w:r w:rsidRPr="00651B92">
              <w:t>Register of delegations to committees, CEO and employees</w:t>
            </w:r>
          </w:p>
        </w:tc>
        <w:tc>
          <w:tcPr>
            <w:tcW w:w="1417" w:type="dxa"/>
          </w:tcPr>
          <w:p w14:paraId="3FB89902" w14:textId="77777777" w:rsidR="007E5BED" w:rsidRPr="00651B92" w:rsidRDefault="007E5BED" w:rsidP="00310E0A">
            <w:pPr>
              <w:pStyle w:val="BodyText-nospacebelow"/>
            </w:pPr>
          </w:p>
        </w:tc>
        <w:tc>
          <w:tcPr>
            <w:tcW w:w="1559" w:type="dxa"/>
          </w:tcPr>
          <w:p w14:paraId="27D2C96E" w14:textId="77777777" w:rsidR="007E5BED" w:rsidRPr="00651B92" w:rsidRDefault="007E5BED" w:rsidP="00310E0A">
            <w:pPr>
              <w:pStyle w:val="BodyText-nospacebelow"/>
            </w:pPr>
          </w:p>
        </w:tc>
        <w:tc>
          <w:tcPr>
            <w:tcW w:w="1134" w:type="dxa"/>
          </w:tcPr>
          <w:p w14:paraId="5C86436C" w14:textId="77777777" w:rsidR="007E5BED" w:rsidRPr="00651B92" w:rsidRDefault="007E5BED" w:rsidP="00310E0A">
            <w:pPr>
              <w:pStyle w:val="BodyText-nospacebelow"/>
            </w:pPr>
          </w:p>
        </w:tc>
        <w:tc>
          <w:tcPr>
            <w:tcW w:w="1418" w:type="dxa"/>
          </w:tcPr>
          <w:p w14:paraId="40EA7296" w14:textId="77777777" w:rsidR="007E5BED" w:rsidRPr="00651B92" w:rsidRDefault="007E5BED" w:rsidP="00310E0A">
            <w:pPr>
              <w:pStyle w:val="BodyText-nospacebelow"/>
            </w:pPr>
          </w:p>
        </w:tc>
      </w:tr>
      <w:tr w:rsidR="007E5BED" w:rsidRPr="00651B92" w14:paraId="27602337" w14:textId="360EDE23" w:rsidTr="00310E0A">
        <w:trPr>
          <w:trHeight w:val="20"/>
        </w:trPr>
        <w:tc>
          <w:tcPr>
            <w:tcW w:w="1843" w:type="dxa"/>
          </w:tcPr>
          <w:p w14:paraId="067D22F3" w14:textId="77777777" w:rsidR="007E5BED" w:rsidRPr="00651B92" w:rsidRDefault="007E5BED" w:rsidP="00310E0A">
            <w:pPr>
              <w:pStyle w:val="BodyText-nospacebelow"/>
              <w:spacing w:after="100"/>
            </w:pPr>
          </w:p>
        </w:tc>
        <w:tc>
          <w:tcPr>
            <w:tcW w:w="3119" w:type="dxa"/>
          </w:tcPr>
          <w:p w14:paraId="09B26A58" w14:textId="75C50D69" w:rsidR="007E5BED" w:rsidRPr="00651B92" w:rsidRDefault="007E5BED" w:rsidP="00310E0A">
            <w:pPr>
              <w:pStyle w:val="BodyText-nospacebelow"/>
              <w:spacing w:after="100"/>
            </w:pPr>
            <w:r w:rsidRPr="00651B92">
              <w:t>Minutes of council, committee and elector meetings</w:t>
            </w:r>
          </w:p>
        </w:tc>
        <w:tc>
          <w:tcPr>
            <w:tcW w:w="1417" w:type="dxa"/>
          </w:tcPr>
          <w:p w14:paraId="1CA66FF0" w14:textId="77777777" w:rsidR="007E5BED" w:rsidRPr="00651B92" w:rsidRDefault="007E5BED" w:rsidP="00310E0A">
            <w:pPr>
              <w:pStyle w:val="BodyText-nospacebelow"/>
            </w:pPr>
          </w:p>
        </w:tc>
        <w:tc>
          <w:tcPr>
            <w:tcW w:w="1559" w:type="dxa"/>
          </w:tcPr>
          <w:p w14:paraId="382105FB" w14:textId="77777777" w:rsidR="007E5BED" w:rsidRPr="00651B92" w:rsidRDefault="007E5BED" w:rsidP="00310E0A">
            <w:pPr>
              <w:pStyle w:val="BodyText-nospacebelow"/>
            </w:pPr>
          </w:p>
        </w:tc>
        <w:tc>
          <w:tcPr>
            <w:tcW w:w="1134" w:type="dxa"/>
          </w:tcPr>
          <w:p w14:paraId="65EF4613" w14:textId="77777777" w:rsidR="007E5BED" w:rsidRPr="00651B92" w:rsidRDefault="007E5BED" w:rsidP="00310E0A">
            <w:pPr>
              <w:pStyle w:val="BodyText-nospacebelow"/>
            </w:pPr>
          </w:p>
        </w:tc>
        <w:tc>
          <w:tcPr>
            <w:tcW w:w="1418" w:type="dxa"/>
          </w:tcPr>
          <w:p w14:paraId="736CB230" w14:textId="77777777" w:rsidR="007E5BED" w:rsidRPr="00651B92" w:rsidRDefault="007E5BED" w:rsidP="00310E0A">
            <w:pPr>
              <w:pStyle w:val="BodyText-nospacebelow"/>
            </w:pPr>
          </w:p>
        </w:tc>
      </w:tr>
      <w:tr w:rsidR="007E5BED" w:rsidRPr="00651B92" w14:paraId="67335FE5" w14:textId="230912CA" w:rsidTr="00310E0A">
        <w:trPr>
          <w:trHeight w:val="20"/>
        </w:trPr>
        <w:tc>
          <w:tcPr>
            <w:tcW w:w="1843" w:type="dxa"/>
          </w:tcPr>
          <w:p w14:paraId="2E33C66E" w14:textId="77777777" w:rsidR="007E5BED" w:rsidRPr="00651B92" w:rsidRDefault="007E5BED" w:rsidP="00310E0A">
            <w:pPr>
              <w:pStyle w:val="BodyText-nospacebelow"/>
              <w:spacing w:after="100"/>
            </w:pPr>
          </w:p>
        </w:tc>
        <w:tc>
          <w:tcPr>
            <w:tcW w:w="3119" w:type="dxa"/>
          </w:tcPr>
          <w:p w14:paraId="13502E73" w14:textId="3B687587" w:rsidR="007E5BED" w:rsidRPr="00651B92" w:rsidRDefault="007E5BED" w:rsidP="00310E0A">
            <w:pPr>
              <w:pStyle w:val="BodyText-nospacebelow"/>
              <w:spacing w:after="100"/>
            </w:pPr>
            <w:r w:rsidRPr="00651B92">
              <w:t>Future plan for the district</w:t>
            </w:r>
          </w:p>
        </w:tc>
        <w:tc>
          <w:tcPr>
            <w:tcW w:w="1417" w:type="dxa"/>
          </w:tcPr>
          <w:p w14:paraId="0612A602" w14:textId="77777777" w:rsidR="007E5BED" w:rsidRPr="00651B92" w:rsidRDefault="007E5BED" w:rsidP="00310E0A">
            <w:pPr>
              <w:pStyle w:val="BodyText-nospacebelow"/>
            </w:pPr>
          </w:p>
        </w:tc>
        <w:tc>
          <w:tcPr>
            <w:tcW w:w="1559" w:type="dxa"/>
          </w:tcPr>
          <w:p w14:paraId="14773EFF" w14:textId="77777777" w:rsidR="007E5BED" w:rsidRPr="00651B92" w:rsidRDefault="007E5BED" w:rsidP="00310E0A">
            <w:pPr>
              <w:pStyle w:val="BodyText-nospacebelow"/>
            </w:pPr>
          </w:p>
        </w:tc>
        <w:tc>
          <w:tcPr>
            <w:tcW w:w="1134" w:type="dxa"/>
          </w:tcPr>
          <w:p w14:paraId="3DB86CD1" w14:textId="77777777" w:rsidR="007E5BED" w:rsidRPr="00651B92" w:rsidRDefault="007E5BED" w:rsidP="00310E0A">
            <w:pPr>
              <w:pStyle w:val="BodyText-nospacebelow"/>
            </w:pPr>
          </w:p>
        </w:tc>
        <w:tc>
          <w:tcPr>
            <w:tcW w:w="1418" w:type="dxa"/>
          </w:tcPr>
          <w:p w14:paraId="2E229CA3" w14:textId="77777777" w:rsidR="007E5BED" w:rsidRPr="00651B92" w:rsidRDefault="007E5BED" w:rsidP="00310E0A">
            <w:pPr>
              <w:pStyle w:val="BodyText-nospacebelow"/>
            </w:pPr>
          </w:p>
        </w:tc>
      </w:tr>
      <w:tr w:rsidR="007E5BED" w:rsidRPr="00651B92" w14:paraId="21789A2C" w14:textId="4CF56FA6" w:rsidTr="00310E0A">
        <w:trPr>
          <w:trHeight w:val="20"/>
        </w:trPr>
        <w:tc>
          <w:tcPr>
            <w:tcW w:w="1843" w:type="dxa"/>
          </w:tcPr>
          <w:p w14:paraId="38F2C974" w14:textId="77777777" w:rsidR="007E5BED" w:rsidRPr="00651B92" w:rsidRDefault="007E5BED" w:rsidP="00310E0A">
            <w:pPr>
              <w:pStyle w:val="BodyText-nospacebelow"/>
              <w:spacing w:after="100"/>
            </w:pPr>
          </w:p>
        </w:tc>
        <w:tc>
          <w:tcPr>
            <w:tcW w:w="3119" w:type="dxa"/>
          </w:tcPr>
          <w:p w14:paraId="55274B3E" w14:textId="3211F4CF" w:rsidR="007E5BED" w:rsidRPr="00651B92" w:rsidRDefault="007E5BED" w:rsidP="00310E0A">
            <w:pPr>
              <w:pStyle w:val="BodyText-nospacebelow"/>
              <w:spacing w:after="100"/>
            </w:pPr>
            <w:r w:rsidRPr="00651B92">
              <w:t>Annual Budget</w:t>
            </w:r>
          </w:p>
        </w:tc>
        <w:tc>
          <w:tcPr>
            <w:tcW w:w="1417" w:type="dxa"/>
          </w:tcPr>
          <w:p w14:paraId="5F7E7D23" w14:textId="77777777" w:rsidR="007E5BED" w:rsidRPr="00651B92" w:rsidRDefault="007E5BED" w:rsidP="00310E0A">
            <w:pPr>
              <w:pStyle w:val="BodyText-nospacebelow"/>
            </w:pPr>
          </w:p>
        </w:tc>
        <w:tc>
          <w:tcPr>
            <w:tcW w:w="1559" w:type="dxa"/>
          </w:tcPr>
          <w:p w14:paraId="12938BF9" w14:textId="77777777" w:rsidR="007E5BED" w:rsidRPr="00651B92" w:rsidRDefault="007E5BED" w:rsidP="00310E0A">
            <w:pPr>
              <w:pStyle w:val="BodyText-nospacebelow"/>
            </w:pPr>
          </w:p>
        </w:tc>
        <w:tc>
          <w:tcPr>
            <w:tcW w:w="1134" w:type="dxa"/>
          </w:tcPr>
          <w:p w14:paraId="416D8448" w14:textId="77777777" w:rsidR="007E5BED" w:rsidRPr="00651B92" w:rsidRDefault="007E5BED" w:rsidP="00310E0A">
            <w:pPr>
              <w:pStyle w:val="BodyText-nospacebelow"/>
            </w:pPr>
          </w:p>
        </w:tc>
        <w:tc>
          <w:tcPr>
            <w:tcW w:w="1418" w:type="dxa"/>
          </w:tcPr>
          <w:p w14:paraId="7EC91ABD" w14:textId="77777777" w:rsidR="007E5BED" w:rsidRPr="00651B92" w:rsidRDefault="007E5BED" w:rsidP="00310E0A">
            <w:pPr>
              <w:pStyle w:val="BodyText-nospacebelow"/>
            </w:pPr>
          </w:p>
        </w:tc>
      </w:tr>
      <w:tr w:rsidR="007E5BED" w:rsidRPr="00651B92" w14:paraId="08EDD4A1" w14:textId="41A236D0" w:rsidTr="00310E0A">
        <w:trPr>
          <w:trHeight w:val="20"/>
        </w:trPr>
        <w:tc>
          <w:tcPr>
            <w:tcW w:w="1843" w:type="dxa"/>
          </w:tcPr>
          <w:p w14:paraId="2ABF3F8F" w14:textId="77777777" w:rsidR="007E5BED" w:rsidRPr="00651B92" w:rsidRDefault="007E5BED" w:rsidP="00310E0A">
            <w:pPr>
              <w:pStyle w:val="BodyText-nospacebelow"/>
              <w:spacing w:after="100"/>
            </w:pPr>
          </w:p>
        </w:tc>
        <w:tc>
          <w:tcPr>
            <w:tcW w:w="3119" w:type="dxa"/>
          </w:tcPr>
          <w:p w14:paraId="05F625EC" w14:textId="5C266A40" w:rsidR="007E5BED" w:rsidRPr="00651B92" w:rsidRDefault="007E5BED" w:rsidP="00310E0A">
            <w:pPr>
              <w:pStyle w:val="BodyText-nospacebelow"/>
              <w:spacing w:after="100"/>
            </w:pPr>
            <w:r w:rsidRPr="00651B92">
              <w:t>Notice papers and agendas of meetings</w:t>
            </w:r>
          </w:p>
        </w:tc>
        <w:tc>
          <w:tcPr>
            <w:tcW w:w="1417" w:type="dxa"/>
          </w:tcPr>
          <w:p w14:paraId="4F198176" w14:textId="77777777" w:rsidR="007E5BED" w:rsidRPr="00651B92" w:rsidRDefault="007E5BED" w:rsidP="00310E0A">
            <w:pPr>
              <w:pStyle w:val="BodyText-nospacebelow"/>
            </w:pPr>
          </w:p>
        </w:tc>
        <w:tc>
          <w:tcPr>
            <w:tcW w:w="1559" w:type="dxa"/>
          </w:tcPr>
          <w:p w14:paraId="20886496" w14:textId="77777777" w:rsidR="007E5BED" w:rsidRPr="00651B92" w:rsidRDefault="007E5BED" w:rsidP="00310E0A">
            <w:pPr>
              <w:pStyle w:val="BodyText-nospacebelow"/>
            </w:pPr>
          </w:p>
        </w:tc>
        <w:tc>
          <w:tcPr>
            <w:tcW w:w="1134" w:type="dxa"/>
          </w:tcPr>
          <w:p w14:paraId="2B87845E" w14:textId="77777777" w:rsidR="007E5BED" w:rsidRPr="00651B92" w:rsidRDefault="007E5BED" w:rsidP="00310E0A">
            <w:pPr>
              <w:pStyle w:val="BodyText-nospacebelow"/>
            </w:pPr>
          </w:p>
        </w:tc>
        <w:tc>
          <w:tcPr>
            <w:tcW w:w="1418" w:type="dxa"/>
          </w:tcPr>
          <w:p w14:paraId="071D9A44" w14:textId="77777777" w:rsidR="007E5BED" w:rsidRPr="00651B92" w:rsidRDefault="007E5BED" w:rsidP="00310E0A">
            <w:pPr>
              <w:pStyle w:val="BodyText-nospacebelow"/>
            </w:pPr>
          </w:p>
        </w:tc>
      </w:tr>
      <w:tr w:rsidR="007E5BED" w:rsidRPr="00651B92" w14:paraId="5324BC08" w14:textId="754CD6B0" w:rsidTr="00310E0A">
        <w:trPr>
          <w:trHeight w:val="20"/>
        </w:trPr>
        <w:tc>
          <w:tcPr>
            <w:tcW w:w="1843" w:type="dxa"/>
          </w:tcPr>
          <w:p w14:paraId="2702ED18" w14:textId="77777777" w:rsidR="007E5BED" w:rsidRPr="00651B92" w:rsidRDefault="007E5BED" w:rsidP="00310E0A">
            <w:pPr>
              <w:pStyle w:val="BodyText-nospacebelow"/>
              <w:spacing w:after="100"/>
            </w:pPr>
          </w:p>
        </w:tc>
        <w:tc>
          <w:tcPr>
            <w:tcW w:w="3119" w:type="dxa"/>
          </w:tcPr>
          <w:p w14:paraId="364E8BEF" w14:textId="714C81FC" w:rsidR="007E5BED" w:rsidRPr="00651B92" w:rsidRDefault="007E5BED" w:rsidP="00310E0A">
            <w:pPr>
              <w:pStyle w:val="BodyText-nospacebelow"/>
              <w:spacing w:after="100"/>
            </w:pPr>
            <w:r w:rsidRPr="00651B92">
              <w:t>Reports tabled at a council or committee meeting</w:t>
            </w:r>
          </w:p>
        </w:tc>
        <w:tc>
          <w:tcPr>
            <w:tcW w:w="1417" w:type="dxa"/>
          </w:tcPr>
          <w:p w14:paraId="7E5B1DF9" w14:textId="77777777" w:rsidR="007E5BED" w:rsidRPr="00651B92" w:rsidRDefault="007E5BED" w:rsidP="00310E0A">
            <w:pPr>
              <w:pStyle w:val="BodyText-nospacebelow"/>
            </w:pPr>
          </w:p>
        </w:tc>
        <w:tc>
          <w:tcPr>
            <w:tcW w:w="1559" w:type="dxa"/>
          </w:tcPr>
          <w:p w14:paraId="0899C49C" w14:textId="77777777" w:rsidR="007E5BED" w:rsidRPr="00651B92" w:rsidRDefault="007E5BED" w:rsidP="00310E0A">
            <w:pPr>
              <w:pStyle w:val="BodyText-nospacebelow"/>
            </w:pPr>
          </w:p>
        </w:tc>
        <w:tc>
          <w:tcPr>
            <w:tcW w:w="1134" w:type="dxa"/>
          </w:tcPr>
          <w:p w14:paraId="0E183E8F" w14:textId="77777777" w:rsidR="007E5BED" w:rsidRPr="00651B92" w:rsidRDefault="007E5BED" w:rsidP="00310E0A">
            <w:pPr>
              <w:pStyle w:val="BodyText-nospacebelow"/>
            </w:pPr>
          </w:p>
        </w:tc>
        <w:tc>
          <w:tcPr>
            <w:tcW w:w="1418" w:type="dxa"/>
          </w:tcPr>
          <w:p w14:paraId="1FD52449" w14:textId="77777777" w:rsidR="007E5BED" w:rsidRPr="00651B92" w:rsidRDefault="007E5BED" w:rsidP="00310E0A">
            <w:pPr>
              <w:pStyle w:val="BodyText-nospacebelow"/>
            </w:pPr>
          </w:p>
        </w:tc>
      </w:tr>
      <w:tr w:rsidR="007E5BED" w:rsidRPr="00651B92" w14:paraId="215B5C5E" w14:textId="79470CD1" w:rsidTr="00310E0A">
        <w:trPr>
          <w:trHeight w:val="20"/>
        </w:trPr>
        <w:tc>
          <w:tcPr>
            <w:tcW w:w="1843" w:type="dxa"/>
          </w:tcPr>
          <w:p w14:paraId="434E4EB4" w14:textId="77777777" w:rsidR="007E5BED" w:rsidRPr="00651B92" w:rsidRDefault="007E5BED" w:rsidP="00310E0A">
            <w:pPr>
              <w:pStyle w:val="BodyText-nospacebelow"/>
              <w:spacing w:after="100"/>
            </w:pPr>
          </w:p>
        </w:tc>
        <w:tc>
          <w:tcPr>
            <w:tcW w:w="3119" w:type="dxa"/>
          </w:tcPr>
          <w:p w14:paraId="2E2E3A64" w14:textId="3E9F47AB" w:rsidR="007E5BED" w:rsidRPr="00651B92" w:rsidRDefault="007E5BED" w:rsidP="00310E0A">
            <w:pPr>
              <w:pStyle w:val="BodyText-nospacebelow"/>
              <w:spacing w:after="100"/>
            </w:pPr>
            <w:r w:rsidRPr="00651B92">
              <w:t xml:space="preserve">Complaints register (concerning </w:t>
            </w:r>
            <w:r w:rsidR="00246B9A">
              <w:t>elected member</w:t>
            </w:r>
            <w:r w:rsidRPr="00651B92">
              <w:t>s)</w:t>
            </w:r>
          </w:p>
        </w:tc>
        <w:tc>
          <w:tcPr>
            <w:tcW w:w="1417" w:type="dxa"/>
          </w:tcPr>
          <w:p w14:paraId="3E82D07D" w14:textId="77777777" w:rsidR="007E5BED" w:rsidRPr="00651B92" w:rsidRDefault="007E5BED" w:rsidP="00310E0A">
            <w:pPr>
              <w:pStyle w:val="BodyText-nospacebelow"/>
            </w:pPr>
          </w:p>
        </w:tc>
        <w:tc>
          <w:tcPr>
            <w:tcW w:w="1559" w:type="dxa"/>
          </w:tcPr>
          <w:p w14:paraId="3B853429" w14:textId="77777777" w:rsidR="007E5BED" w:rsidRPr="00651B92" w:rsidRDefault="007E5BED" w:rsidP="00310E0A">
            <w:pPr>
              <w:pStyle w:val="BodyText-nospacebelow"/>
            </w:pPr>
          </w:p>
        </w:tc>
        <w:tc>
          <w:tcPr>
            <w:tcW w:w="1134" w:type="dxa"/>
          </w:tcPr>
          <w:p w14:paraId="002EE031" w14:textId="77777777" w:rsidR="007E5BED" w:rsidRPr="00651B92" w:rsidRDefault="007E5BED" w:rsidP="00310E0A">
            <w:pPr>
              <w:pStyle w:val="BodyText-nospacebelow"/>
            </w:pPr>
          </w:p>
        </w:tc>
        <w:tc>
          <w:tcPr>
            <w:tcW w:w="1418" w:type="dxa"/>
          </w:tcPr>
          <w:p w14:paraId="35C3B28D" w14:textId="77777777" w:rsidR="007E5BED" w:rsidRPr="00651B92" w:rsidRDefault="007E5BED" w:rsidP="00310E0A">
            <w:pPr>
              <w:pStyle w:val="BodyText-nospacebelow"/>
            </w:pPr>
          </w:p>
        </w:tc>
      </w:tr>
      <w:tr w:rsidR="007E5BED" w:rsidRPr="00651B92" w14:paraId="504D5A4A" w14:textId="735FB9FD" w:rsidTr="00310E0A">
        <w:trPr>
          <w:trHeight w:val="20"/>
        </w:trPr>
        <w:tc>
          <w:tcPr>
            <w:tcW w:w="1843" w:type="dxa"/>
          </w:tcPr>
          <w:p w14:paraId="48F34E34" w14:textId="77777777" w:rsidR="007E5BED" w:rsidRPr="00651B92" w:rsidRDefault="007E5BED" w:rsidP="00310E0A">
            <w:pPr>
              <w:pStyle w:val="BodyText-nospacebelow"/>
              <w:spacing w:after="100"/>
            </w:pPr>
          </w:p>
        </w:tc>
        <w:tc>
          <w:tcPr>
            <w:tcW w:w="3119" w:type="dxa"/>
          </w:tcPr>
          <w:p w14:paraId="390BF0C4" w14:textId="232407EC" w:rsidR="007E5BED" w:rsidRPr="00651B92" w:rsidRDefault="007E5BED" w:rsidP="00310E0A">
            <w:pPr>
              <w:pStyle w:val="BodyText-nospacebelow"/>
              <w:spacing w:after="100"/>
            </w:pPr>
            <w:r w:rsidRPr="00651B92">
              <w:t>Contracts of employment of the CEO and other senior local government employees</w:t>
            </w:r>
          </w:p>
        </w:tc>
        <w:tc>
          <w:tcPr>
            <w:tcW w:w="1417" w:type="dxa"/>
          </w:tcPr>
          <w:p w14:paraId="1A205ACF" w14:textId="77777777" w:rsidR="007E5BED" w:rsidRPr="00651B92" w:rsidRDefault="007E5BED" w:rsidP="00310E0A">
            <w:pPr>
              <w:pStyle w:val="BodyText-nospacebelow"/>
            </w:pPr>
          </w:p>
        </w:tc>
        <w:tc>
          <w:tcPr>
            <w:tcW w:w="1559" w:type="dxa"/>
          </w:tcPr>
          <w:p w14:paraId="6648753D" w14:textId="77777777" w:rsidR="007E5BED" w:rsidRPr="00651B92" w:rsidRDefault="007E5BED" w:rsidP="00310E0A">
            <w:pPr>
              <w:pStyle w:val="BodyText-nospacebelow"/>
            </w:pPr>
          </w:p>
        </w:tc>
        <w:tc>
          <w:tcPr>
            <w:tcW w:w="1134" w:type="dxa"/>
          </w:tcPr>
          <w:p w14:paraId="04C68E4A" w14:textId="77777777" w:rsidR="007E5BED" w:rsidRPr="00651B92" w:rsidRDefault="007E5BED" w:rsidP="00310E0A">
            <w:pPr>
              <w:pStyle w:val="BodyText-nospacebelow"/>
            </w:pPr>
          </w:p>
        </w:tc>
        <w:tc>
          <w:tcPr>
            <w:tcW w:w="1418" w:type="dxa"/>
          </w:tcPr>
          <w:p w14:paraId="3A6F01E4" w14:textId="77777777" w:rsidR="007E5BED" w:rsidRPr="00651B92" w:rsidRDefault="007E5BED" w:rsidP="00310E0A">
            <w:pPr>
              <w:pStyle w:val="BodyText-nospacebelow"/>
            </w:pPr>
          </w:p>
        </w:tc>
      </w:tr>
      <w:tr w:rsidR="007E5BED" w:rsidRPr="00651B92" w14:paraId="4FE764B8" w14:textId="3392B9FB" w:rsidTr="00310E0A">
        <w:trPr>
          <w:trHeight w:val="20"/>
        </w:trPr>
        <w:tc>
          <w:tcPr>
            <w:tcW w:w="1843" w:type="dxa"/>
          </w:tcPr>
          <w:p w14:paraId="428DA592" w14:textId="77777777" w:rsidR="007E5BED" w:rsidRPr="00651B92" w:rsidRDefault="007E5BED" w:rsidP="00310E0A">
            <w:pPr>
              <w:pStyle w:val="BodyText-nospacebelow"/>
              <w:spacing w:after="100"/>
            </w:pPr>
          </w:p>
        </w:tc>
        <w:tc>
          <w:tcPr>
            <w:tcW w:w="3119" w:type="dxa"/>
          </w:tcPr>
          <w:p w14:paraId="4F159FF7" w14:textId="0E49E3C7" w:rsidR="007E5BED" w:rsidRPr="00651B92" w:rsidRDefault="007E5BED" w:rsidP="00310E0A">
            <w:pPr>
              <w:pStyle w:val="BodyText-nospacebelow"/>
              <w:spacing w:after="100"/>
            </w:pPr>
            <w:r w:rsidRPr="00651B92">
              <w:t>Schedule of fees and charges</w:t>
            </w:r>
          </w:p>
        </w:tc>
        <w:tc>
          <w:tcPr>
            <w:tcW w:w="1417" w:type="dxa"/>
          </w:tcPr>
          <w:p w14:paraId="0BA69CFA" w14:textId="77777777" w:rsidR="007E5BED" w:rsidRPr="00651B92" w:rsidRDefault="007E5BED" w:rsidP="00310E0A">
            <w:pPr>
              <w:pStyle w:val="BodyText-nospacebelow"/>
            </w:pPr>
          </w:p>
        </w:tc>
        <w:tc>
          <w:tcPr>
            <w:tcW w:w="1559" w:type="dxa"/>
          </w:tcPr>
          <w:p w14:paraId="11E0D8EC" w14:textId="77777777" w:rsidR="007E5BED" w:rsidRPr="00651B92" w:rsidRDefault="007E5BED" w:rsidP="00310E0A">
            <w:pPr>
              <w:pStyle w:val="BodyText-nospacebelow"/>
            </w:pPr>
          </w:p>
        </w:tc>
        <w:tc>
          <w:tcPr>
            <w:tcW w:w="1134" w:type="dxa"/>
          </w:tcPr>
          <w:p w14:paraId="79EE8EC0" w14:textId="77777777" w:rsidR="007E5BED" w:rsidRPr="00651B92" w:rsidRDefault="007E5BED" w:rsidP="00310E0A">
            <w:pPr>
              <w:pStyle w:val="BodyText-nospacebelow"/>
            </w:pPr>
          </w:p>
        </w:tc>
        <w:tc>
          <w:tcPr>
            <w:tcW w:w="1418" w:type="dxa"/>
          </w:tcPr>
          <w:p w14:paraId="1EF596AC" w14:textId="77777777" w:rsidR="007E5BED" w:rsidRPr="00651B92" w:rsidRDefault="007E5BED" w:rsidP="00310E0A">
            <w:pPr>
              <w:pStyle w:val="BodyText-nospacebelow"/>
            </w:pPr>
          </w:p>
        </w:tc>
      </w:tr>
      <w:tr w:rsidR="007E5BED" w:rsidRPr="00651B92" w14:paraId="70F9B58C" w14:textId="445AFDEE" w:rsidTr="00310E0A">
        <w:trPr>
          <w:trHeight w:val="20"/>
        </w:trPr>
        <w:tc>
          <w:tcPr>
            <w:tcW w:w="1843" w:type="dxa"/>
          </w:tcPr>
          <w:p w14:paraId="7B0FC22E" w14:textId="77777777" w:rsidR="007E5BED" w:rsidRPr="00651B92" w:rsidRDefault="007E5BED" w:rsidP="00310E0A">
            <w:pPr>
              <w:pStyle w:val="BodyText-nospacebelow"/>
              <w:spacing w:after="100"/>
            </w:pPr>
          </w:p>
        </w:tc>
        <w:tc>
          <w:tcPr>
            <w:tcW w:w="3119" w:type="dxa"/>
          </w:tcPr>
          <w:p w14:paraId="269948A9" w14:textId="498D53EE" w:rsidR="007E5BED" w:rsidRPr="00651B92" w:rsidRDefault="007E5BED" w:rsidP="00310E0A">
            <w:pPr>
              <w:pStyle w:val="BodyText-nospacebelow"/>
              <w:spacing w:after="100"/>
            </w:pPr>
            <w:r w:rsidRPr="00651B92">
              <w:t>Proposed local laws</w:t>
            </w:r>
          </w:p>
        </w:tc>
        <w:tc>
          <w:tcPr>
            <w:tcW w:w="1417" w:type="dxa"/>
          </w:tcPr>
          <w:p w14:paraId="61854F3D" w14:textId="77777777" w:rsidR="007E5BED" w:rsidRPr="00651B92" w:rsidRDefault="007E5BED" w:rsidP="00310E0A">
            <w:pPr>
              <w:pStyle w:val="BodyText-nospacebelow"/>
            </w:pPr>
          </w:p>
        </w:tc>
        <w:tc>
          <w:tcPr>
            <w:tcW w:w="1559" w:type="dxa"/>
          </w:tcPr>
          <w:p w14:paraId="523DBAD0" w14:textId="77777777" w:rsidR="007E5BED" w:rsidRPr="00651B92" w:rsidRDefault="007E5BED" w:rsidP="00310E0A">
            <w:pPr>
              <w:pStyle w:val="BodyText-nospacebelow"/>
            </w:pPr>
          </w:p>
        </w:tc>
        <w:tc>
          <w:tcPr>
            <w:tcW w:w="1134" w:type="dxa"/>
          </w:tcPr>
          <w:p w14:paraId="2534ADBB" w14:textId="77777777" w:rsidR="007E5BED" w:rsidRPr="00651B92" w:rsidRDefault="007E5BED" w:rsidP="00310E0A">
            <w:pPr>
              <w:pStyle w:val="BodyText-nospacebelow"/>
            </w:pPr>
          </w:p>
        </w:tc>
        <w:tc>
          <w:tcPr>
            <w:tcW w:w="1418" w:type="dxa"/>
          </w:tcPr>
          <w:p w14:paraId="71CC656E" w14:textId="77777777" w:rsidR="007E5BED" w:rsidRPr="00651B92" w:rsidRDefault="007E5BED" w:rsidP="00310E0A">
            <w:pPr>
              <w:pStyle w:val="BodyText-nospacebelow"/>
            </w:pPr>
          </w:p>
        </w:tc>
      </w:tr>
      <w:tr w:rsidR="007E5BED" w:rsidRPr="00651B92" w14:paraId="3B59844F" w14:textId="1CBC80B0" w:rsidTr="00310E0A">
        <w:trPr>
          <w:trHeight w:val="20"/>
        </w:trPr>
        <w:tc>
          <w:tcPr>
            <w:tcW w:w="1843" w:type="dxa"/>
          </w:tcPr>
          <w:p w14:paraId="36B6BB2A" w14:textId="77777777" w:rsidR="007E5BED" w:rsidRPr="00651B92" w:rsidRDefault="007E5BED" w:rsidP="00310E0A">
            <w:pPr>
              <w:pStyle w:val="BodyText-nospacebelow"/>
              <w:spacing w:after="100"/>
            </w:pPr>
          </w:p>
        </w:tc>
        <w:tc>
          <w:tcPr>
            <w:tcW w:w="3119" w:type="dxa"/>
          </w:tcPr>
          <w:p w14:paraId="1B37051D" w14:textId="7681C70D" w:rsidR="007E5BED" w:rsidRPr="00651B92" w:rsidRDefault="007E5BED" w:rsidP="00310E0A">
            <w:pPr>
              <w:pStyle w:val="BodyText-nospacebelow"/>
              <w:spacing w:after="100"/>
            </w:pPr>
            <w:r w:rsidRPr="00651B92">
              <w:t>Gazetted Local laws (and other law that has been adopted by the district)</w:t>
            </w:r>
          </w:p>
        </w:tc>
        <w:tc>
          <w:tcPr>
            <w:tcW w:w="1417" w:type="dxa"/>
          </w:tcPr>
          <w:p w14:paraId="28CBEE9F" w14:textId="77777777" w:rsidR="007E5BED" w:rsidRPr="00651B92" w:rsidRDefault="007E5BED" w:rsidP="00310E0A">
            <w:pPr>
              <w:pStyle w:val="BodyText-nospacebelow"/>
            </w:pPr>
          </w:p>
        </w:tc>
        <w:tc>
          <w:tcPr>
            <w:tcW w:w="1559" w:type="dxa"/>
          </w:tcPr>
          <w:p w14:paraId="328E0F5F" w14:textId="77777777" w:rsidR="007E5BED" w:rsidRPr="00651B92" w:rsidRDefault="007E5BED" w:rsidP="00310E0A">
            <w:pPr>
              <w:pStyle w:val="BodyText-nospacebelow"/>
            </w:pPr>
          </w:p>
        </w:tc>
        <w:tc>
          <w:tcPr>
            <w:tcW w:w="1134" w:type="dxa"/>
          </w:tcPr>
          <w:p w14:paraId="0EF07F8A" w14:textId="77777777" w:rsidR="007E5BED" w:rsidRPr="00651B92" w:rsidRDefault="007E5BED" w:rsidP="00310E0A">
            <w:pPr>
              <w:pStyle w:val="BodyText-nospacebelow"/>
            </w:pPr>
          </w:p>
        </w:tc>
        <w:tc>
          <w:tcPr>
            <w:tcW w:w="1418" w:type="dxa"/>
          </w:tcPr>
          <w:p w14:paraId="06A199B6" w14:textId="77777777" w:rsidR="007E5BED" w:rsidRPr="00651B92" w:rsidRDefault="007E5BED" w:rsidP="00310E0A">
            <w:pPr>
              <w:pStyle w:val="BodyText-nospacebelow"/>
            </w:pPr>
          </w:p>
        </w:tc>
      </w:tr>
      <w:tr w:rsidR="007E5BED" w:rsidRPr="00651B92" w14:paraId="7F550B23" w14:textId="3FE83DB4" w:rsidTr="00310E0A">
        <w:trPr>
          <w:trHeight w:val="20"/>
        </w:trPr>
        <w:tc>
          <w:tcPr>
            <w:tcW w:w="1843" w:type="dxa"/>
          </w:tcPr>
          <w:p w14:paraId="7435A6DC" w14:textId="77777777" w:rsidR="007E5BED" w:rsidRPr="00651B92" w:rsidRDefault="007E5BED" w:rsidP="00310E0A">
            <w:pPr>
              <w:pStyle w:val="BodyText-nospacebelow"/>
              <w:spacing w:after="100"/>
            </w:pPr>
          </w:p>
        </w:tc>
        <w:tc>
          <w:tcPr>
            <w:tcW w:w="3119" w:type="dxa"/>
          </w:tcPr>
          <w:p w14:paraId="494F2FCC" w14:textId="5A94684F" w:rsidR="007E5BED" w:rsidRPr="00651B92" w:rsidRDefault="007E5BED" w:rsidP="00310E0A">
            <w:pPr>
              <w:pStyle w:val="BodyText-nospacebelow"/>
              <w:spacing w:after="100"/>
            </w:pPr>
            <w:r w:rsidRPr="00651B92">
              <w:t>Rates record</w:t>
            </w:r>
          </w:p>
        </w:tc>
        <w:tc>
          <w:tcPr>
            <w:tcW w:w="1417" w:type="dxa"/>
          </w:tcPr>
          <w:p w14:paraId="7DE971E8" w14:textId="77777777" w:rsidR="007E5BED" w:rsidRPr="00651B92" w:rsidRDefault="007E5BED" w:rsidP="00310E0A">
            <w:pPr>
              <w:pStyle w:val="BodyText-nospacebelow"/>
            </w:pPr>
          </w:p>
        </w:tc>
        <w:tc>
          <w:tcPr>
            <w:tcW w:w="1559" w:type="dxa"/>
          </w:tcPr>
          <w:p w14:paraId="7FC3D873" w14:textId="77777777" w:rsidR="007E5BED" w:rsidRPr="00651B92" w:rsidRDefault="007E5BED" w:rsidP="00310E0A">
            <w:pPr>
              <w:pStyle w:val="BodyText-nospacebelow"/>
            </w:pPr>
          </w:p>
        </w:tc>
        <w:tc>
          <w:tcPr>
            <w:tcW w:w="1134" w:type="dxa"/>
          </w:tcPr>
          <w:p w14:paraId="1753A7B2" w14:textId="77777777" w:rsidR="007E5BED" w:rsidRPr="00651B92" w:rsidRDefault="007E5BED" w:rsidP="00310E0A">
            <w:pPr>
              <w:pStyle w:val="BodyText-nospacebelow"/>
            </w:pPr>
          </w:p>
        </w:tc>
        <w:tc>
          <w:tcPr>
            <w:tcW w:w="1418" w:type="dxa"/>
          </w:tcPr>
          <w:p w14:paraId="4B9404BC" w14:textId="77777777" w:rsidR="007E5BED" w:rsidRPr="00651B92" w:rsidRDefault="007E5BED" w:rsidP="00310E0A">
            <w:pPr>
              <w:pStyle w:val="BodyText-nospacebelow"/>
            </w:pPr>
          </w:p>
        </w:tc>
      </w:tr>
      <w:tr w:rsidR="007E5BED" w:rsidRPr="00651B92" w14:paraId="3E705DC7" w14:textId="033904B7" w:rsidTr="00310E0A">
        <w:trPr>
          <w:trHeight w:val="20"/>
        </w:trPr>
        <w:tc>
          <w:tcPr>
            <w:tcW w:w="1843" w:type="dxa"/>
          </w:tcPr>
          <w:p w14:paraId="7C9935BF" w14:textId="77777777" w:rsidR="007E5BED" w:rsidRPr="00651B92" w:rsidRDefault="007E5BED" w:rsidP="00310E0A">
            <w:pPr>
              <w:pStyle w:val="BodyText-nospacebelow"/>
              <w:spacing w:after="100"/>
            </w:pPr>
          </w:p>
        </w:tc>
        <w:tc>
          <w:tcPr>
            <w:tcW w:w="3119" w:type="dxa"/>
          </w:tcPr>
          <w:p w14:paraId="1CAFE04B" w14:textId="5E2E41AD" w:rsidR="007E5BED" w:rsidRPr="00651B92" w:rsidRDefault="007E5BED" w:rsidP="00310E0A">
            <w:pPr>
              <w:pStyle w:val="BodyText-nospacebelow"/>
              <w:spacing w:after="100"/>
            </w:pPr>
            <w:r w:rsidRPr="00651B92">
              <w:t>Electoral roll</w:t>
            </w:r>
          </w:p>
        </w:tc>
        <w:tc>
          <w:tcPr>
            <w:tcW w:w="1417" w:type="dxa"/>
          </w:tcPr>
          <w:p w14:paraId="223C531F" w14:textId="77777777" w:rsidR="007E5BED" w:rsidRPr="00651B92" w:rsidRDefault="007E5BED" w:rsidP="00310E0A">
            <w:pPr>
              <w:pStyle w:val="BodyText-nospacebelow"/>
            </w:pPr>
          </w:p>
        </w:tc>
        <w:tc>
          <w:tcPr>
            <w:tcW w:w="1559" w:type="dxa"/>
          </w:tcPr>
          <w:p w14:paraId="7F4D96BD" w14:textId="77777777" w:rsidR="007E5BED" w:rsidRPr="00651B92" w:rsidRDefault="007E5BED" w:rsidP="00310E0A">
            <w:pPr>
              <w:pStyle w:val="BodyText-nospacebelow"/>
            </w:pPr>
          </w:p>
        </w:tc>
        <w:tc>
          <w:tcPr>
            <w:tcW w:w="1134" w:type="dxa"/>
          </w:tcPr>
          <w:p w14:paraId="5E9CBFA1" w14:textId="3F924E98" w:rsidR="007E5BED" w:rsidRPr="00651B92" w:rsidRDefault="007E5BED" w:rsidP="00310E0A">
            <w:pPr>
              <w:pStyle w:val="BodyText-nospacebelow"/>
            </w:pPr>
          </w:p>
        </w:tc>
        <w:tc>
          <w:tcPr>
            <w:tcW w:w="1418" w:type="dxa"/>
          </w:tcPr>
          <w:p w14:paraId="3D769C59" w14:textId="77777777" w:rsidR="007E5BED" w:rsidRDefault="007E5BED" w:rsidP="00310E0A">
            <w:pPr>
              <w:pStyle w:val="BodyText-nospacebelow"/>
            </w:pPr>
          </w:p>
        </w:tc>
      </w:tr>
    </w:tbl>
    <w:p w14:paraId="77CA7069" w14:textId="695477D6" w:rsidR="009558F4" w:rsidRDefault="007E5BED" w:rsidP="009558F4">
      <w:pPr>
        <w:pStyle w:val="BodyText2-nospacebelow"/>
      </w:pPr>
      <w:r>
        <w:br w:type="textWrapping" w:clear="all"/>
      </w:r>
    </w:p>
    <w:p w14:paraId="2C47532C" w14:textId="77777777" w:rsidR="00C55F72" w:rsidRDefault="00C55F72" w:rsidP="00803E54">
      <w:pPr>
        <w:pStyle w:val="BodyText-nospacebelow"/>
      </w:pPr>
      <w:r w:rsidRPr="00C55F72">
        <w:rPr>
          <w:b/>
        </w:rPr>
        <w:t xml:space="preserve">Note: </w:t>
      </w:r>
      <w:r w:rsidRPr="00C55F72">
        <w:t xml:space="preserve">There is no intention to amend the current limitations imposed by section 5.95 of the Act which limits the disclosure of certain information. </w:t>
      </w:r>
    </w:p>
    <w:p w14:paraId="474E8F88" w14:textId="77777777" w:rsidR="00C55F72" w:rsidRPr="00C55F72" w:rsidRDefault="00C55F72" w:rsidP="00C55F72">
      <w:pPr>
        <w:pStyle w:val="BodyText2-nospacebelow"/>
      </w:pPr>
    </w:p>
    <w:p w14:paraId="2BE5385D" w14:textId="77777777" w:rsidR="00981C5B" w:rsidRDefault="00981C5B" w:rsidP="00DB759E">
      <w:pPr>
        <w:pStyle w:val="BodyText2-nospacebelow"/>
        <w:numPr>
          <w:ilvl w:val="0"/>
          <w:numId w:val="19"/>
        </w:numPr>
        <w:spacing w:after="120"/>
        <w:rPr>
          <w:lang w:eastAsia="en-AU"/>
        </w:rPr>
      </w:pPr>
      <w:r w:rsidRPr="00C55F72">
        <w:t xml:space="preserve">Should the </w:t>
      </w:r>
      <w:r w:rsidRPr="00C55F72">
        <w:rPr>
          <w:lang w:eastAsia="en-AU"/>
        </w:rPr>
        <w:t xml:space="preserve">additional information that is available </w:t>
      </w:r>
      <w:r w:rsidR="007A374D">
        <w:rPr>
          <w:lang w:eastAsia="en-AU"/>
        </w:rPr>
        <w:t xml:space="preserve">to the public </w:t>
      </w:r>
      <w:r w:rsidRPr="00C55F72">
        <w:rPr>
          <w:lang w:eastAsia="en-AU"/>
        </w:rPr>
        <w:t>in other jurisdictions be available here? If so which items?</w:t>
      </w:r>
      <w:r w:rsidR="007A374D">
        <w:rPr>
          <w:lang w:eastAsia="en-AU"/>
        </w:rPr>
        <w:t xml:space="preserve">  How should they be made available: in person, website only or both?</w:t>
      </w:r>
    </w:p>
    <w:p w14:paraId="13B0071A" w14:textId="77777777" w:rsidR="00C55F72" w:rsidRPr="00C55F72" w:rsidRDefault="00C55F72" w:rsidP="00DB759E">
      <w:pPr>
        <w:pStyle w:val="BodyText2-nospacebelow"/>
        <w:numPr>
          <w:ilvl w:val="0"/>
          <w:numId w:val="19"/>
        </w:numPr>
        <w:spacing w:after="120"/>
        <w:rPr>
          <w:lang w:eastAsia="en-AU"/>
        </w:rPr>
      </w:pPr>
      <w:r w:rsidRPr="00C55F72">
        <w:rPr>
          <w:lang w:eastAsia="en-AU"/>
        </w:rPr>
        <w:t>Is there additional information that you believe should be made publicly available</w:t>
      </w:r>
      <w:r w:rsidR="007A374D">
        <w:rPr>
          <w:lang w:eastAsia="en-AU"/>
        </w:rPr>
        <w:t>?  Please detail.</w:t>
      </w:r>
    </w:p>
    <w:p w14:paraId="630D3694" w14:textId="77777777" w:rsidR="00C55F72" w:rsidRDefault="00172C3B" w:rsidP="00DB759E">
      <w:pPr>
        <w:pStyle w:val="BodyText2-nospacebelow"/>
        <w:numPr>
          <w:ilvl w:val="0"/>
          <w:numId w:val="19"/>
        </w:numPr>
        <w:spacing w:after="120"/>
      </w:pPr>
      <w:r>
        <w:rPr>
          <w:lang w:eastAsia="en-AU"/>
        </w:rPr>
        <w:t xml:space="preserve">For Local Governments:  </w:t>
      </w:r>
      <w:r w:rsidR="00C55F72" w:rsidRPr="00C55F72">
        <w:rPr>
          <w:lang w:eastAsia="en-AU"/>
        </w:rPr>
        <w:t>How often do you receive requests from members of the public</w:t>
      </w:r>
      <w:r w:rsidR="00C55F72" w:rsidRPr="00C55F72">
        <w:t xml:space="preserve"> to see this information?  What resources do you estimate are involved in providing access in person (hours of staff time and hourly rate)</w:t>
      </w:r>
      <w:r>
        <w:t>?</w:t>
      </w:r>
    </w:p>
    <w:p w14:paraId="517247F0" w14:textId="77777777" w:rsidR="00626D6B" w:rsidRPr="00C55F72" w:rsidRDefault="00626D6B" w:rsidP="007D6917">
      <w:pPr>
        <w:pStyle w:val="BodyText2-nospacebelow"/>
        <w:spacing w:after="120"/>
      </w:pPr>
    </w:p>
    <w:p w14:paraId="56541C0F" w14:textId="65D798A4" w:rsidR="00626D6B" w:rsidRDefault="00626D6B" w:rsidP="007D6917">
      <w:pPr>
        <w:pStyle w:val="IntenseQuote"/>
        <w:ind w:left="426"/>
        <w:rPr>
          <w:b/>
          <w:sz w:val="28"/>
        </w:rPr>
      </w:pPr>
      <w:r>
        <w:rPr>
          <w:b/>
          <w:sz w:val="28"/>
        </w:rPr>
        <w:t>Access to information: Guidance question</w:t>
      </w:r>
    </w:p>
    <w:p w14:paraId="73C53D58" w14:textId="77777777" w:rsidR="00626D6B" w:rsidRDefault="00626D6B" w:rsidP="00310E0A">
      <w:pPr>
        <w:pStyle w:val="BodyText2-nospacebelow"/>
        <w:numPr>
          <w:ilvl w:val="0"/>
          <w:numId w:val="19"/>
        </w:numPr>
        <w:spacing w:after="120"/>
        <w:rPr>
          <w:lang w:eastAsia="en-AU"/>
        </w:rPr>
      </w:pPr>
      <w:r>
        <w:rPr>
          <w:lang w:eastAsia="en-AU"/>
        </w:rPr>
        <w:t>Do you have any other suggestions or comments on this topic?</w:t>
      </w:r>
    </w:p>
    <w:p w14:paraId="0CF3A635" w14:textId="70CF4743" w:rsidR="00A670D5" w:rsidRDefault="00626D6B" w:rsidP="007D6917">
      <w:pPr>
        <w:ind w:left="426"/>
      </w:pPr>
      <w:r>
        <w:t xml:space="preserve"> </w:t>
      </w:r>
      <w:r w:rsidR="00A670D5">
        <w:br w:type="page"/>
      </w:r>
    </w:p>
    <w:p w14:paraId="7A3BFBF1" w14:textId="77777777" w:rsidR="00C55F72" w:rsidRDefault="001228B3" w:rsidP="00124F78">
      <w:pPr>
        <w:pStyle w:val="Heading1"/>
        <w:numPr>
          <w:ilvl w:val="0"/>
          <w:numId w:val="5"/>
        </w:numPr>
      </w:pPr>
      <w:r>
        <w:t xml:space="preserve"> </w:t>
      </w:r>
      <w:bookmarkStart w:id="1209" w:name="_Toc493746787"/>
      <w:bookmarkStart w:id="1210" w:name="_Toc493768919"/>
      <w:bookmarkStart w:id="1211" w:name="_Toc493859989"/>
      <w:bookmarkStart w:id="1212" w:name="_Toc495491887"/>
      <w:bookmarkStart w:id="1213" w:name="_Toc495497666"/>
      <w:bookmarkStart w:id="1214" w:name="_Toc495671500"/>
      <w:bookmarkStart w:id="1215" w:name="_Toc495676101"/>
      <w:bookmarkStart w:id="1216" w:name="_Toc495678396"/>
      <w:bookmarkStart w:id="1217" w:name="_Toc495998393"/>
      <w:bookmarkStart w:id="1218" w:name="_Toc497741863"/>
      <w:r w:rsidR="00C55F72">
        <w:t>Available information</w:t>
      </w:r>
      <w:bookmarkEnd w:id="1209"/>
      <w:bookmarkEnd w:id="1210"/>
      <w:bookmarkEnd w:id="1211"/>
      <w:bookmarkEnd w:id="1212"/>
      <w:bookmarkEnd w:id="1213"/>
      <w:bookmarkEnd w:id="1214"/>
      <w:bookmarkEnd w:id="1215"/>
      <w:bookmarkEnd w:id="1216"/>
      <w:bookmarkEnd w:id="1217"/>
      <w:bookmarkEnd w:id="1218"/>
    </w:p>
    <w:p w14:paraId="4EBF1D57" w14:textId="77777777" w:rsidR="00736EDE" w:rsidRDefault="00736EDE" w:rsidP="003A1777">
      <w:pPr>
        <w:pStyle w:val="Heading2"/>
        <w:numPr>
          <w:ilvl w:val="1"/>
          <w:numId w:val="88"/>
        </w:numPr>
      </w:pPr>
      <w:bookmarkStart w:id="1219" w:name="_Toc496252802"/>
      <w:bookmarkStart w:id="1220" w:name="_Toc496254035"/>
      <w:bookmarkStart w:id="1221" w:name="_Toc496255558"/>
      <w:bookmarkStart w:id="1222" w:name="_Toc496258068"/>
      <w:bookmarkStart w:id="1223" w:name="_Toc496259509"/>
      <w:bookmarkStart w:id="1224" w:name="_Toc496259712"/>
      <w:bookmarkStart w:id="1225" w:name="_Toc496261008"/>
      <w:bookmarkStart w:id="1226" w:name="_Toc496537062"/>
      <w:bookmarkStart w:id="1227" w:name="_Toc496537265"/>
      <w:bookmarkStart w:id="1228" w:name="_Toc496537468"/>
      <w:bookmarkStart w:id="1229" w:name="_Toc496537677"/>
      <w:bookmarkStart w:id="1230" w:name="_Toc496538689"/>
      <w:bookmarkStart w:id="1231" w:name="_Toc496539929"/>
      <w:bookmarkStart w:id="1232" w:name="_Toc496540137"/>
      <w:bookmarkStart w:id="1233" w:name="_Toc496252803"/>
      <w:bookmarkStart w:id="1234" w:name="_Toc496254036"/>
      <w:bookmarkStart w:id="1235" w:name="_Toc496255559"/>
      <w:bookmarkStart w:id="1236" w:name="_Toc496258069"/>
      <w:bookmarkStart w:id="1237" w:name="_Toc496259510"/>
      <w:bookmarkStart w:id="1238" w:name="_Toc496259713"/>
      <w:bookmarkStart w:id="1239" w:name="_Toc496261009"/>
      <w:bookmarkStart w:id="1240" w:name="_Toc496537063"/>
      <w:bookmarkStart w:id="1241" w:name="_Toc496537266"/>
      <w:bookmarkStart w:id="1242" w:name="_Toc496537469"/>
      <w:bookmarkStart w:id="1243" w:name="_Toc496537678"/>
      <w:bookmarkStart w:id="1244" w:name="_Toc496538690"/>
      <w:bookmarkStart w:id="1245" w:name="_Toc496539930"/>
      <w:bookmarkStart w:id="1246" w:name="_Toc496540138"/>
      <w:bookmarkStart w:id="1247" w:name="_Toc496252809"/>
      <w:bookmarkStart w:id="1248" w:name="_Toc496254042"/>
      <w:bookmarkStart w:id="1249" w:name="_Toc496255565"/>
      <w:bookmarkStart w:id="1250" w:name="_Toc496258075"/>
      <w:bookmarkStart w:id="1251" w:name="_Toc496259516"/>
      <w:bookmarkStart w:id="1252" w:name="_Toc496259719"/>
      <w:bookmarkStart w:id="1253" w:name="_Toc496261015"/>
      <w:bookmarkStart w:id="1254" w:name="_Toc496537069"/>
      <w:bookmarkStart w:id="1255" w:name="_Toc496537272"/>
      <w:bookmarkStart w:id="1256" w:name="_Toc496537475"/>
      <w:bookmarkStart w:id="1257" w:name="_Toc496537684"/>
      <w:bookmarkStart w:id="1258" w:name="_Toc496538696"/>
      <w:bookmarkStart w:id="1259" w:name="_Toc496539936"/>
      <w:bookmarkStart w:id="1260" w:name="_Toc496540144"/>
      <w:bookmarkStart w:id="1261" w:name="_Toc496252810"/>
      <w:bookmarkStart w:id="1262" w:name="_Toc496254043"/>
      <w:bookmarkStart w:id="1263" w:name="_Toc496255566"/>
      <w:bookmarkStart w:id="1264" w:name="_Toc496258076"/>
      <w:bookmarkStart w:id="1265" w:name="_Toc496259517"/>
      <w:bookmarkStart w:id="1266" w:name="_Toc496259720"/>
      <w:bookmarkStart w:id="1267" w:name="_Toc496261016"/>
      <w:bookmarkStart w:id="1268" w:name="_Toc496537070"/>
      <w:bookmarkStart w:id="1269" w:name="_Toc496537273"/>
      <w:bookmarkStart w:id="1270" w:name="_Toc496537476"/>
      <w:bookmarkStart w:id="1271" w:name="_Toc496537685"/>
      <w:bookmarkStart w:id="1272" w:name="_Toc496538697"/>
      <w:bookmarkStart w:id="1273" w:name="_Toc496539937"/>
      <w:bookmarkStart w:id="1274" w:name="_Toc496540145"/>
      <w:bookmarkStart w:id="1275" w:name="_Toc496252811"/>
      <w:bookmarkStart w:id="1276" w:name="_Toc496254044"/>
      <w:bookmarkStart w:id="1277" w:name="_Toc496255567"/>
      <w:bookmarkStart w:id="1278" w:name="_Toc496258077"/>
      <w:bookmarkStart w:id="1279" w:name="_Toc496259518"/>
      <w:bookmarkStart w:id="1280" w:name="_Toc496259721"/>
      <w:bookmarkStart w:id="1281" w:name="_Toc496261017"/>
      <w:bookmarkStart w:id="1282" w:name="_Toc496537071"/>
      <w:bookmarkStart w:id="1283" w:name="_Toc496537274"/>
      <w:bookmarkStart w:id="1284" w:name="_Toc496537477"/>
      <w:bookmarkStart w:id="1285" w:name="_Toc496537686"/>
      <w:bookmarkStart w:id="1286" w:name="_Toc496538698"/>
      <w:bookmarkStart w:id="1287" w:name="_Toc496539938"/>
      <w:bookmarkStart w:id="1288" w:name="_Toc496540146"/>
      <w:bookmarkStart w:id="1289" w:name="_Toc496252812"/>
      <w:bookmarkStart w:id="1290" w:name="_Toc496254045"/>
      <w:bookmarkStart w:id="1291" w:name="_Toc496255568"/>
      <w:bookmarkStart w:id="1292" w:name="_Toc496258078"/>
      <w:bookmarkStart w:id="1293" w:name="_Toc496259519"/>
      <w:bookmarkStart w:id="1294" w:name="_Toc496259722"/>
      <w:bookmarkStart w:id="1295" w:name="_Toc496261018"/>
      <w:bookmarkStart w:id="1296" w:name="_Toc496537072"/>
      <w:bookmarkStart w:id="1297" w:name="_Toc496537275"/>
      <w:bookmarkStart w:id="1298" w:name="_Toc496537478"/>
      <w:bookmarkStart w:id="1299" w:name="_Toc496537687"/>
      <w:bookmarkStart w:id="1300" w:name="_Toc496538699"/>
      <w:bookmarkStart w:id="1301" w:name="_Toc496539939"/>
      <w:bookmarkStart w:id="1302" w:name="_Toc496540147"/>
      <w:bookmarkStart w:id="1303" w:name="_Toc496252813"/>
      <w:bookmarkStart w:id="1304" w:name="_Toc496254046"/>
      <w:bookmarkStart w:id="1305" w:name="_Toc496255569"/>
      <w:bookmarkStart w:id="1306" w:name="_Toc496258079"/>
      <w:bookmarkStart w:id="1307" w:name="_Toc496259520"/>
      <w:bookmarkStart w:id="1308" w:name="_Toc496259723"/>
      <w:bookmarkStart w:id="1309" w:name="_Toc496261019"/>
      <w:bookmarkStart w:id="1310" w:name="_Toc496537073"/>
      <w:bookmarkStart w:id="1311" w:name="_Toc496537276"/>
      <w:bookmarkStart w:id="1312" w:name="_Toc496537479"/>
      <w:bookmarkStart w:id="1313" w:name="_Toc496537688"/>
      <w:bookmarkStart w:id="1314" w:name="_Toc496538700"/>
      <w:bookmarkStart w:id="1315" w:name="_Toc496539940"/>
      <w:bookmarkStart w:id="1316" w:name="_Toc496540148"/>
      <w:bookmarkStart w:id="1317" w:name="_Toc496252814"/>
      <w:bookmarkStart w:id="1318" w:name="_Toc496254047"/>
      <w:bookmarkStart w:id="1319" w:name="_Toc496255570"/>
      <w:bookmarkStart w:id="1320" w:name="_Toc496258080"/>
      <w:bookmarkStart w:id="1321" w:name="_Toc496259521"/>
      <w:bookmarkStart w:id="1322" w:name="_Toc496259724"/>
      <w:bookmarkStart w:id="1323" w:name="_Toc496261020"/>
      <w:bookmarkStart w:id="1324" w:name="_Toc496537074"/>
      <w:bookmarkStart w:id="1325" w:name="_Toc496537277"/>
      <w:bookmarkStart w:id="1326" w:name="_Toc496537480"/>
      <w:bookmarkStart w:id="1327" w:name="_Toc496537689"/>
      <w:bookmarkStart w:id="1328" w:name="_Toc496538701"/>
      <w:bookmarkStart w:id="1329" w:name="_Toc496539941"/>
      <w:bookmarkStart w:id="1330" w:name="_Toc496540149"/>
      <w:bookmarkStart w:id="1331" w:name="_Toc496252815"/>
      <w:bookmarkStart w:id="1332" w:name="_Toc496254048"/>
      <w:bookmarkStart w:id="1333" w:name="_Toc496255571"/>
      <w:bookmarkStart w:id="1334" w:name="_Toc496258081"/>
      <w:bookmarkStart w:id="1335" w:name="_Toc496259522"/>
      <w:bookmarkStart w:id="1336" w:name="_Toc496259725"/>
      <w:bookmarkStart w:id="1337" w:name="_Toc496261021"/>
      <w:bookmarkStart w:id="1338" w:name="_Toc496537075"/>
      <w:bookmarkStart w:id="1339" w:name="_Toc496537278"/>
      <w:bookmarkStart w:id="1340" w:name="_Toc496537481"/>
      <w:bookmarkStart w:id="1341" w:name="_Toc496537690"/>
      <w:bookmarkStart w:id="1342" w:name="_Toc496538702"/>
      <w:bookmarkStart w:id="1343" w:name="_Toc496539942"/>
      <w:bookmarkStart w:id="1344" w:name="_Toc496540150"/>
      <w:bookmarkStart w:id="1345" w:name="_Toc496252816"/>
      <w:bookmarkStart w:id="1346" w:name="_Toc496254049"/>
      <w:bookmarkStart w:id="1347" w:name="_Toc496255572"/>
      <w:bookmarkStart w:id="1348" w:name="_Toc496258082"/>
      <w:bookmarkStart w:id="1349" w:name="_Toc496259523"/>
      <w:bookmarkStart w:id="1350" w:name="_Toc496259726"/>
      <w:bookmarkStart w:id="1351" w:name="_Toc496261022"/>
      <w:bookmarkStart w:id="1352" w:name="_Toc496537076"/>
      <w:bookmarkStart w:id="1353" w:name="_Toc496537279"/>
      <w:bookmarkStart w:id="1354" w:name="_Toc496537482"/>
      <w:bookmarkStart w:id="1355" w:name="_Toc496537691"/>
      <w:bookmarkStart w:id="1356" w:name="_Toc496538703"/>
      <w:bookmarkStart w:id="1357" w:name="_Toc496539943"/>
      <w:bookmarkStart w:id="1358" w:name="_Toc496540151"/>
      <w:bookmarkStart w:id="1359" w:name="_Toc496252817"/>
      <w:bookmarkStart w:id="1360" w:name="_Toc496254050"/>
      <w:bookmarkStart w:id="1361" w:name="_Toc496255573"/>
      <w:bookmarkStart w:id="1362" w:name="_Toc496258083"/>
      <w:bookmarkStart w:id="1363" w:name="_Toc496259524"/>
      <w:bookmarkStart w:id="1364" w:name="_Toc496259727"/>
      <w:bookmarkStart w:id="1365" w:name="_Toc496261023"/>
      <w:bookmarkStart w:id="1366" w:name="_Toc496537077"/>
      <w:bookmarkStart w:id="1367" w:name="_Toc496537280"/>
      <w:bookmarkStart w:id="1368" w:name="_Toc496537483"/>
      <w:bookmarkStart w:id="1369" w:name="_Toc496537692"/>
      <w:bookmarkStart w:id="1370" w:name="_Toc496538704"/>
      <w:bookmarkStart w:id="1371" w:name="_Toc496539944"/>
      <w:bookmarkStart w:id="1372" w:name="_Toc496540152"/>
      <w:bookmarkStart w:id="1373" w:name="_Toc496252818"/>
      <w:bookmarkStart w:id="1374" w:name="_Toc496254051"/>
      <w:bookmarkStart w:id="1375" w:name="_Toc496255574"/>
      <w:bookmarkStart w:id="1376" w:name="_Toc496258084"/>
      <w:bookmarkStart w:id="1377" w:name="_Toc496259525"/>
      <w:bookmarkStart w:id="1378" w:name="_Toc496259728"/>
      <w:bookmarkStart w:id="1379" w:name="_Toc496261024"/>
      <w:bookmarkStart w:id="1380" w:name="_Toc496537078"/>
      <w:bookmarkStart w:id="1381" w:name="_Toc496537281"/>
      <w:bookmarkStart w:id="1382" w:name="_Toc496537484"/>
      <w:bookmarkStart w:id="1383" w:name="_Toc496537693"/>
      <w:bookmarkStart w:id="1384" w:name="_Toc496538705"/>
      <w:bookmarkStart w:id="1385" w:name="_Toc496539945"/>
      <w:bookmarkStart w:id="1386" w:name="_Toc496540153"/>
      <w:bookmarkStart w:id="1387" w:name="_Toc496252820"/>
      <w:bookmarkStart w:id="1388" w:name="_Toc496254053"/>
      <w:bookmarkStart w:id="1389" w:name="_Toc496255576"/>
      <w:bookmarkStart w:id="1390" w:name="_Toc496258086"/>
      <w:bookmarkStart w:id="1391" w:name="_Toc496259527"/>
      <w:bookmarkStart w:id="1392" w:name="_Toc496259730"/>
      <w:bookmarkStart w:id="1393" w:name="_Toc496261026"/>
      <w:bookmarkStart w:id="1394" w:name="_Toc496537080"/>
      <w:bookmarkStart w:id="1395" w:name="_Toc496537283"/>
      <w:bookmarkStart w:id="1396" w:name="_Toc496537486"/>
      <w:bookmarkStart w:id="1397" w:name="_Toc496537695"/>
      <w:bookmarkStart w:id="1398" w:name="_Toc496538707"/>
      <w:bookmarkStart w:id="1399" w:name="_Toc496539947"/>
      <w:bookmarkStart w:id="1400" w:name="_Toc496540155"/>
      <w:bookmarkStart w:id="1401" w:name="_Toc496252824"/>
      <w:bookmarkStart w:id="1402" w:name="_Toc496254057"/>
      <w:bookmarkStart w:id="1403" w:name="_Toc496255580"/>
      <w:bookmarkStart w:id="1404" w:name="_Toc496258090"/>
      <w:bookmarkStart w:id="1405" w:name="_Toc496259531"/>
      <w:bookmarkStart w:id="1406" w:name="_Toc496259734"/>
      <w:bookmarkStart w:id="1407" w:name="_Toc496261030"/>
      <w:bookmarkStart w:id="1408" w:name="_Toc496537084"/>
      <w:bookmarkStart w:id="1409" w:name="_Toc496537287"/>
      <w:bookmarkStart w:id="1410" w:name="_Toc496537490"/>
      <w:bookmarkStart w:id="1411" w:name="_Toc496537699"/>
      <w:bookmarkStart w:id="1412" w:name="_Toc496538711"/>
      <w:bookmarkStart w:id="1413" w:name="_Toc496539951"/>
      <w:bookmarkStart w:id="1414" w:name="_Toc496540159"/>
      <w:bookmarkStart w:id="1415" w:name="_Toc496252853"/>
      <w:bookmarkStart w:id="1416" w:name="_Toc496254086"/>
      <w:bookmarkStart w:id="1417" w:name="_Toc496255609"/>
      <w:bookmarkStart w:id="1418" w:name="_Toc496258119"/>
      <w:bookmarkStart w:id="1419" w:name="_Toc496259560"/>
      <w:bookmarkStart w:id="1420" w:name="_Toc496259763"/>
      <w:bookmarkStart w:id="1421" w:name="_Toc496261059"/>
      <w:bookmarkStart w:id="1422" w:name="_Toc496537113"/>
      <w:bookmarkStart w:id="1423" w:name="_Toc496537316"/>
      <w:bookmarkStart w:id="1424" w:name="_Toc496537519"/>
      <w:bookmarkStart w:id="1425" w:name="_Toc496537728"/>
      <w:bookmarkStart w:id="1426" w:name="_Toc496538740"/>
      <w:bookmarkStart w:id="1427" w:name="_Toc496539980"/>
      <w:bookmarkStart w:id="1428" w:name="_Toc496540188"/>
      <w:bookmarkStart w:id="1429" w:name="_Toc496252855"/>
      <w:bookmarkStart w:id="1430" w:name="_Toc496254088"/>
      <w:bookmarkStart w:id="1431" w:name="_Toc496255611"/>
      <w:bookmarkStart w:id="1432" w:name="_Toc496258121"/>
      <w:bookmarkStart w:id="1433" w:name="_Toc496259562"/>
      <w:bookmarkStart w:id="1434" w:name="_Toc496259765"/>
      <w:bookmarkStart w:id="1435" w:name="_Toc496261061"/>
      <w:bookmarkStart w:id="1436" w:name="_Toc496537115"/>
      <w:bookmarkStart w:id="1437" w:name="_Toc496537318"/>
      <w:bookmarkStart w:id="1438" w:name="_Toc496537521"/>
      <w:bookmarkStart w:id="1439" w:name="_Toc496537730"/>
      <w:bookmarkStart w:id="1440" w:name="_Toc496538742"/>
      <w:bookmarkStart w:id="1441" w:name="_Toc496539982"/>
      <w:bookmarkStart w:id="1442" w:name="_Toc496540190"/>
      <w:bookmarkStart w:id="1443" w:name="_Toc496252856"/>
      <w:bookmarkStart w:id="1444" w:name="_Toc496254089"/>
      <w:bookmarkStart w:id="1445" w:name="_Toc496255612"/>
      <w:bookmarkStart w:id="1446" w:name="_Toc496258122"/>
      <w:bookmarkStart w:id="1447" w:name="_Toc496259563"/>
      <w:bookmarkStart w:id="1448" w:name="_Toc496259766"/>
      <w:bookmarkStart w:id="1449" w:name="_Toc496261062"/>
      <w:bookmarkStart w:id="1450" w:name="_Toc496537116"/>
      <w:bookmarkStart w:id="1451" w:name="_Toc496537319"/>
      <w:bookmarkStart w:id="1452" w:name="_Toc496537522"/>
      <w:bookmarkStart w:id="1453" w:name="_Toc496537731"/>
      <w:bookmarkStart w:id="1454" w:name="_Toc496538743"/>
      <w:bookmarkStart w:id="1455" w:name="_Toc496539983"/>
      <w:bookmarkStart w:id="1456" w:name="_Toc496540191"/>
      <w:bookmarkStart w:id="1457" w:name="_Toc496252857"/>
      <w:bookmarkStart w:id="1458" w:name="_Toc496254090"/>
      <w:bookmarkStart w:id="1459" w:name="_Toc496255613"/>
      <w:bookmarkStart w:id="1460" w:name="_Toc496258123"/>
      <w:bookmarkStart w:id="1461" w:name="_Toc496259564"/>
      <w:bookmarkStart w:id="1462" w:name="_Toc496259767"/>
      <w:bookmarkStart w:id="1463" w:name="_Toc496261063"/>
      <w:bookmarkStart w:id="1464" w:name="_Toc496537117"/>
      <w:bookmarkStart w:id="1465" w:name="_Toc496537320"/>
      <w:bookmarkStart w:id="1466" w:name="_Toc496537523"/>
      <w:bookmarkStart w:id="1467" w:name="_Toc496537732"/>
      <w:bookmarkStart w:id="1468" w:name="_Toc496538744"/>
      <w:bookmarkStart w:id="1469" w:name="_Toc496539984"/>
      <w:bookmarkStart w:id="1470" w:name="_Toc496540192"/>
      <w:bookmarkStart w:id="1471" w:name="_Toc496252859"/>
      <w:bookmarkStart w:id="1472" w:name="_Toc496254092"/>
      <w:bookmarkStart w:id="1473" w:name="_Toc496255615"/>
      <w:bookmarkStart w:id="1474" w:name="_Toc496258125"/>
      <w:bookmarkStart w:id="1475" w:name="_Toc496259566"/>
      <w:bookmarkStart w:id="1476" w:name="_Toc496259769"/>
      <w:bookmarkStart w:id="1477" w:name="_Toc496261065"/>
      <w:bookmarkStart w:id="1478" w:name="_Toc496537119"/>
      <w:bookmarkStart w:id="1479" w:name="_Toc496537322"/>
      <w:bookmarkStart w:id="1480" w:name="_Toc496537525"/>
      <w:bookmarkStart w:id="1481" w:name="_Toc496537734"/>
      <w:bookmarkStart w:id="1482" w:name="_Toc496538746"/>
      <w:bookmarkStart w:id="1483" w:name="_Toc496539986"/>
      <w:bookmarkStart w:id="1484" w:name="_Toc496540194"/>
      <w:bookmarkStart w:id="1485" w:name="_Toc496252860"/>
      <w:bookmarkStart w:id="1486" w:name="_Toc496254093"/>
      <w:bookmarkStart w:id="1487" w:name="_Toc496255616"/>
      <w:bookmarkStart w:id="1488" w:name="_Toc496258126"/>
      <w:bookmarkStart w:id="1489" w:name="_Toc496259567"/>
      <w:bookmarkStart w:id="1490" w:name="_Toc496259770"/>
      <w:bookmarkStart w:id="1491" w:name="_Toc496261066"/>
      <w:bookmarkStart w:id="1492" w:name="_Toc496537120"/>
      <w:bookmarkStart w:id="1493" w:name="_Toc496537323"/>
      <w:bookmarkStart w:id="1494" w:name="_Toc496537526"/>
      <w:bookmarkStart w:id="1495" w:name="_Toc496537735"/>
      <w:bookmarkStart w:id="1496" w:name="_Toc496538747"/>
      <w:bookmarkStart w:id="1497" w:name="_Toc496539987"/>
      <w:bookmarkStart w:id="1498" w:name="_Toc496540195"/>
      <w:bookmarkStart w:id="1499" w:name="_Toc496252863"/>
      <w:bookmarkStart w:id="1500" w:name="_Toc496254096"/>
      <w:bookmarkStart w:id="1501" w:name="_Toc496255619"/>
      <w:bookmarkStart w:id="1502" w:name="_Toc496258129"/>
      <w:bookmarkStart w:id="1503" w:name="_Toc496259570"/>
      <w:bookmarkStart w:id="1504" w:name="_Toc496259773"/>
      <w:bookmarkStart w:id="1505" w:name="_Toc496261069"/>
      <w:bookmarkStart w:id="1506" w:name="_Toc496537123"/>
      <w:bookmarkStart w:id="1507" w:name="_Toc496537326"/>
      <w:bookmarkStart w:id="1508" w:name="_Toc496537529"/>
      <w:bookmarkStart w:id="1509" w:name="_Toc496537738"/>
      <w:bookmarkStart w:id="1510" w:name="_Toc496538750"/>
      <w:bookmarkStart w:id="1511" w:name="_Toc496539990"/>
      <w:bookmarkStart w:id="1512" w:name="_Toc496540198"/>
      <w:bookmarkStart w:id="1513" w:name="_Toc496252864"/>
      <w:bookmarkStart w:id="1514" w:name="_Toc496254097"/>
      <w:bookmarkStart w:id="1515" w:name="_Toc496255620"/>
      <w:bookmarkStart w:id="1516" w:name="_Toc496258130"/>
      <w:bookmarkStart w:id="1517" w:name="_Toc496259571"/>
      <w:bookmarkStart w:id="1518" w:name="_Toc496259774"/>
      <w:bookmarkStart w:id="1519" w:name="_Toc496261070"/>
      <w:bookmarkStart w:id="1520" w:name="_Toc496537124"/>
      <w:bookmarkStart w:id="1521" w:name="_Toc496537327"/>
      <w:bookmarkStart w:id="1522" w:name="_Toc496537530"/>
      <w:bookmarkStart w:id="1523" w:name="_Toc496537739"/>
      <w:bookmarkStart w:id="1524" w:name="_Toc496538751"/>
      <w:bookmarkStart w:id="1525" w:name="_Toc496539991"/>
      <w:bookmarkStart w:id="1526" w:name="_Toc496540199"/>
      <w:bookmarkStart w:id="1527" w:name="_Toc496252866"/>
      <w:bookmarkStart w:id="1528" w:name="_Toc496254099"/>
      <w:bookmarkStart w:id="1529" w:name="_Toc496255622"/>
      <w:bookmarkStart w:id="1530" w:name="_Toc496258132"/>
      <w:bookmarkStart w:id="1531" w:name="_Toc496259573"/>
      <w:bookmarkStart w:id="1532" w:name="_Toc496259776"/>
      <w:bookmarkStart w:id="1533" w:name="_Toc496261072"/>
      <w:bookmarkStart w:id="1534" w:name="_Toc496537126"/>
      <w:bookmarkStart w:id="1535" w:name="_Toc496537329"/>
      <w:bookmarkStart w:id="1536" w:name="_Toc496537532"/>
      <w:bookmarkStart w:id="1537" w:name="_Toc496537741"/>
      <w:bookmarkStart w:id="1538" w:name="_Toc496538753"/>
      <w:bookmarkStart w:id="1539" w:name="_Toc496539993"/>
      <w:bookmarkStart w:id="1540" w:name="_Toc496540201"/>
      <w:bookmarkStart w:id="1541" w:name="_Toc496252867"/>
      <w:bookmarkStart w:id="1542" w:name="_Toc496254100"/>
      <w:bookmarkStart w:id="1543" w:name="_Toc496255623"/>
      <w:bookmarkStart w:id="1544" w:name="_Toc496258133"/>
      <w:bookmarkStart w:id="1545" w:name="_Toc496259574"/>
      <w:bookmarkStart w:id="1546" w:name="_Toc496259777"/>
      <w:bookmarkStart w:id="1547" w:name="_Toc496261073"/>
      <w:bookmarkStart w:id="1548" w:name="_Toc496537127"/>
      <w:bookmarkStart w:id="1549" w:name="_Toc496537330"/>
      <w:bookmarkStart w:id="1550" w:name="_Toc496537533"/>
      <w:bookmarkStart w:id="1551" w:name="_Toc496537742"/>
      <w:bookmarkStart w:id="1552" w:name="_Toc496538754"/>
      <w:bookmarkStart w:id="1553" w:name="_Toc496539994"/>
      <w:bookmarkStart w:id="1554" w:name="_Toc496540202"/>
      <w:bookmarkStart w:id="1555" w:name="_Toc496252868"/>
      <w:bookmarkStart w:id="1556" w:name="_Toc496254101"/>
      <w:bookmarkStart w:id="1557" w:name="_Toc496255624"/>
      <w:bookmarkStart w:id="1558" w:name="_Toc496258134"/>
      <w:bookmarkStart w:id="1559" w:name="_Toc496259575"/>
      <w:bookmarkStart w:id="1560" w:name="_Toc496259778"/>
      <w:bookmarkStart w:id="1561" w:name="_Toc496261074"/>
      <w:bookmarkStart w:id="1562" w:name="_Toc496537128"/>
      <w:bookmarkStart w:id="1563" w:name="_Toc496537331"/>
      <w:bookmarkStart w:id="1564" w:name="_Toc496537534"/>
      <w:bookmarkStart w:id="1565" w:name="_Toc496537743"/>
      <w:bookmarkStart w:id="1566" w:name="_Toc496538755"/>
      <w:bookmarkStart w:id="1567" w:name="_Toc496539995"/>
      <w:bookmarkStart w:id="1568" w:name="_Toc496540203"/>
      <w:bookmarkStart w:id="1569" w:name="_Toc496252869"/>
      <w:bookmarkStart w:id="1570" w:name="_Toc496254102"/>
      <w:bookmarkStart w:id="1571" w:name="_Toc496255625"/>
      <w:bookmarkStart w:id="1572" w:name="_Toc496258135"/>
      <w:bookmarkStart w:id="1573" w:name="_Toc496259576"/>
      <w:bookmarkStart w:id="1574" w:name="_Toc496259779"/>
      <w:bookmarkStart w:id="1575" w:name="_Toc496261075"/>
      <w:bookmarkStart w:id="1576" w:name="_Toc496537129"/>
      <w:bookmarkStart w:id="1577" w:name="_Toc496537332"/>
      <w:bookmarkStart w:id="1578" w:name="_Toc496537535"/>
      <w:bookmarkStart w:id="1579" w:name="_Toc496537744"/>
      <w:bookmarkStart w:id="1580" w:name="_Toc496538756"/>
      <w:bookmarkStart w:id="1581" w:name="_Toc496539996"/>
      <w:bookmarkStart w:id="1582" w:name="_Toc496540204"/>
      <w:bookmarkStart w:id="1583" w:name="_Toc496252872"/>
      <w:bookmarkStart w:id="1584" w:name="_Toc496254105"/>
      <w:bookmarkStart w:id="1585" w:name="_Toc496255628"/>
      <w:bookmarkStart w:id="1586" w:name="_Toc496258138"/>
      <w:bookmarkStart w:id="1587" w:name="_Toc496259579"/>
      <w:bookmarkStart w:id="1588" w:name="_Toc496259782"/>
      <w:bookmarkStart w:id="1589" w:name="_Toc496261078"/>
      <w:bookmarkStart w:id="1590" w:name="_Toc496537132"/>
      <w:bookmarkStart w:id="1591" w:name="_Toc496537335"/>
      <w:bookmarkStart w:id="1592" w:name="_Toc496537538"/>
      <w:bookmarkStart w:id="1593" w:name="_Toc496537747"/>
      <w:bookmarkStart w:id="1594" w:name="_Toc496538759"/>
      <w:bookmarkStart w:id="1595" w:name="_Toc496539999"/>
      <w:bookmarkStart w:id="1596" w:name="_Toc496540207"/>
      <w:bookmarkStart w:id="1597" w:name="_Toc496252873"/>
      <w:bookmarkStart w:id="1598" w:name="_Toc496254106"/>
      <w:bookmarkStart w:id="1599" w:name="_Toc496255629"/>
      <w:bookmarkStart w:id="1600" w:name="_Toc496258139"/>
      <w:bookmarkStart w:id="1601" w:name="_Toc496259580"/>
      <w:bookmarkStart w:id="1602" w:name="_Toc496259783"/>
      <w:bookmarkStart w:id="1603" w:name="_Toc496261079"/>
      <w:bookmarkStart w:id="1604" w:name="_Toc496537133"/>
      <w:bookmarkStart w:id="1605" w:name="_Toc496537336"/>
      <w:bookmarkStart w:id="1606" w:name="_Toc496537539"/>
      <w:bookmarkStart w:id="1607" w:name="_Toc496537748"/>
      <w:bookmarkStart w:id="1608" w:name="_Toc496538760"/>
      <w:bookmarkStart w:id="1609" w:name="_Toc496540000"/>
      <w:bookmarkStart w:id="1610" w:name="_Toc496540208"/>
      <w:bookmarkStart w:id="1611" w:name="_Toc496252874"/>
      <w:bookmarkStart w:id="1612" w:name="_Toc496254107"/>
      <w:bookmarkStart w:id="1613" w:name="_Toc496255630"/>
      <w:bookmarkStart w:id="1614" w:name="_Toc496258140"/>
      <w:bookmarkStart w:id="1615" w:name="_Toc496259581"/>
      <w:bookmarkStart w:id="1616" w:name="_Toc496259784"/>
      <w:bookmarkStart w:id="1617" w:name="_Toc496261080"/>
      <w:bookmarkStart w:id="1618" w:name="_Toc496537134"/>
      <w:bookmarkStart w:id="1619" w:name="_Toc496537337"/>
      <w:bookmarkStart w:id="1620" w:name="_Toc496537540"/>
      <w:bookmarkStart w:id="1621" w:name="_Toc496537749"/>
      <w:bookmarkStart w:id="1622" w:name="_Toc496538761"/>
      <w:bookmarkStart w:id="1623" w:name="_Toc496540001"/>
      <w:bookmarkStart w:id="1624" w:name="_Toc496540209"/>
      <w:bookmarkStart w:id="1625" w:name="_Toc496252877"/>
      <w:bookmarkStart w:id="1626" w:name="_Toc496254110"/>
      <w:bookmarkStart w:id="1627" w:name="_Toc496255633"/>
      <w:bookmarkStart w:id="1628" w:name="_Toc496258143"/>
      <w:bookmarkStart w:id="1629" w:name="_Toc496259584"/>
      <w:bookmarkStart w:id="1630" w:name="_Toc496259787"/>
      <w:bookmarkStart w:id="1631" w:name="_Toc496261083"/>
      <w:bookmarkStart w:id="1632" w:name="_Toc496537137"/>
      <w:bookmarkStart w:id="1633" w:name="_Toc496537340"/>
      <w:bookmarkStart w:id="1634" w:name="_Toc496537543"/>
      <w:bookmarkStart w:id="1635" w:name="_Toc496537752"/>
      <w:bookmarkStart w:id="1636" w:name="_Toc496538764"/>
      <w:bookmarkStart w:id="1637" w:name="_Toc496540004"/>
      <w:bookmarkStart w:id="1638" w:name="_Toc496540212"/>
      <w:bookmarkStart w:id="1639" w:name="_Toc496252878"/>
      <w:bookmarkStart w:id="1640" w:name="_Toc496254111"/>
      <w:bookmarkStart w:id="1641" w:name="_Toc496255634"/>
      <w:bookmarkStart w:id="1642" w:name="_Toc496258144"/>
      <w:bookmarkStart w:id="1643" w:name="_Toc496259585"/>
      <w:bookmarkStart w:id="1644" w:name="_Toc496259788"/>
      <w:bookmarkStart w:id="1645" w:name="_Toc496261084"/>
      <w:bookmarkStart w:id="1646" w:name="_Toc496537138"/>
      <w:bookmarkStart w:id="1647" w:name="_Toc496537341"/>
      <w:bookmarkStart w:id="1648" w:name="_Toc496537544"/>
      <w:bookmarkStart w:id="1649" w:name="_Toc496537753"/>
      <w:bookmarkStart w:id="1650" w:name="_Toc496538765"/>
      <w:bookmarkStart w:id="1651" w:name="_Toc496540005"/>
      <w:bookmarkStart w:id="1652" w:name="_Toc496540213"/>
      <w:bookmarkStart w:id="1653" w:name="_Toc496252883"/>
      <w:bookmarkStart w:id="1654" w:name="_Toc496254116"/>
      <w:bookmarkStart w:id="1655" w:name="_Toc496255639"/>
      <w:bookmarkStart w:id="1656" w:name="_Toc496258149"/>
      <w:bookmarkStart w:id="1657" w:name="_Toc496259590"/>
      <w:bookmarkStart w:id="1658" w:name="_Toc496259793"/>
      <w:bookmarkStart w:id="1659" w:name="_Toc496261089"/>
      <w:bookmarkStart w:id="1660" w:name="_Toc496537143"/>
      <w:bookmarkStart w:id="1661" w:name="_Toc496537346"/>
      <w:bookmarkStart w:id="1662" w:name="_Toc496537549"/>
      <w:bookmarkStart w:id="1663" w:name="_Toc496537758"/>
      <w:bookmarkStart w:id="1664" w:name="_Toc496538770"/>
      <w:bookmarkStart w:id="1665" w:name="_Toc496540010"/>
      <w:bookmarkStart w:id="1666" w:name="_Toc496540218"/>
      <w:bookmarkStart w:id="1667" w:name="_Toc496252884"/>
      <w:bookmarkStart w:id="1668" w:name="_Toc496254117"/>
      <w:bookmarkStart w:id="1669" w:name="_Toc496255640"/>
      <w:bookmarkStart w:id="1670" w:name="_Toc496258150"/>
      <w:bookmarkStart w:id="1671" w:name="_Toc496259591"/>
      <w:bookmarkStart w:id="1672" w:name="_Toc496259794"/>
      <w:bookmarkStart w:id="1673" w:name="_Toc496261090"/>
      <w:bookmarkStart w:id="1674" w:name="_Toc496537144"/>
      <w:bookmarkStart w:id="1675" w:name="_Toc496537347"/>
      <w:bookmarkStart w:id="1676" w:name="_Toc496537550"/>
      <w:bookmarkStart w:id="1677" w:name="_Toc496537759"/>
      <w:bookmarkStart w:id="1678" w:name="_Toc496538771"/>
      <w:bookmarkStart w:id="1679" w:name="_Toc496540011"/>
      <w:bookmarkStart w:id="1680" w:name="_Toc496540219"/>
      <w:bookmarkStart w:id="1681" w:name="_Toc496252888"/>
      <w:bookmarkStart w:id="1682" w:name="_Toc496254121"/>
      <w:bookmarkStart w:id="1683" w:name="_Toc496255644"/>
      <w:bookmarkStart w:id="1684" w:name="_Toc496258154"/>
      <w:bookmarkStart w:id="1685" w:name="_Toc496259595"/>
      <w:bookmarkStart w:id="1686" w:name="_Toc496259798"/>
      <w:bookmarkStart w:id="1687" w:name="_Toc496261094"/>
      <w:bookmarkStart w:id="1688" w:name="_Toc496537148"/>
      <w:bookmarkStart w:id="1689" w:name="_Toc496537351"/>
      <w:bookmarkStart w:id="1690" w:name="_Toc496537554"/>
      <w:bookmarkStart w:id="1691" w:name="_Toc496537763"/>
      <w:bookmarkStart w:id="1692" w:name="_Toc496538775"/>
      <w:bookmarkStart w:id="1693" w:name="_Toc496540015"/>
      <w:bookmarkStart w:id="1694" w:name="_Toc496540223"/>
      <w:bookmarkStart w:id="1695" w:name="_Toc496252890"/>
      <w:bookmarkStart w:id="1696" w:name="_Toc496254123"/>
      <w:bookmarkStart w:id="1697" w:name="_Toc496255646"/>
      <w:bookmarkStart w:id="1698" w:name="_Toc496258156"/>
      <w:bookmarkStart w:id="1699" w:name="_Toc496259597"/>
      <w:bookmarkStart w:id="1700" w:name="_Toc496259800"/>
      <w:bookmarkStart w:id="1701" w:name="_Toc496261096"/>
      <w:bookmarkStart w:id="1702" w:name="_Toc496537150"/>
      <w:bookmarkStart w:id="1703" w:name="_Toc496537353"/>
      <w:bookmarkStart w:id="1704" w:name="_Toc496537556"/>
      <w:bookmarkStart w:id="1705" w:name="_Toc496537765"/>
      <w:bookmarkStart w:id="1706" w:name="_Toc496538777"/>
      <w:bookmarkStart w:id="1707" w:name="_Toc496540017"/>
      <w:bookmarkStart w:id="1708" w:name="_Toc496540225"/>
      <w:bookmarkStart w:id="1709" w:name="_Toc496252891"/>
      <w:bookmarkStart w:id="1710" w:name="_Toc496254124"/>
      <w:bookmarkStart w:id="1711" w:name="_Toc496255647"/>
      <w:bookmarkStart w:id="1712" w:name="_Toc496258157"/>
      <w:bookmarkStart w:id="1713" w:name="_Toc496259598"/>
      <w:bookmarkStart w:id="1714" w:name="_Toc496259801"/>
      <w:bookmarkStart w:id="1715" w:name="_Toc496261097"/>
      <w:bookmarkStart w:id="1716" w:name="_Toc496537151"/>
      <w:bookmarkStart w:id="1717" w:name="_Toc496537354"/>
      <w:bookmarkStart w:id="1718" w:name="_Toc496537557"/>
      <w:bookmarkStart w:id="1719" w:name="_Toc496537766"/>
      <w:bookmarkStart w:id="1720" w:name="_Toc496538778"/>
      <w:bookmarkStart w:id="1721" w:name="_Toc496540018"/>
      <w:bookmarkStart w:id="1722" w:name="_Toc496540226"/>
      <w:bookmarkStart w:id="1723" w:name="_Toc493746793"/>
      <w:bookmarkStart w:id="1724" w:name="_Toc493768925"/>
      <w:bookmarkStart w:id="1725" w:name="_Toc493859995"/>
      <w:bookmarkStart w:id="1726" w:name="_Toc495491893"/>
      <w:bookmarkStart w:id="1727" w:name="_Toc495497672"/>
      <w:bookmarkStart w:id="1728" w:name="_Toc495671506"/>
      <w:bookmarkStart w:id="1729" w:name="_Toc495676107"/>
      <w:bookmarkStart w:id="1730" w:name="_Toc495678402"/>
      <w:bookmarkStart w:id="1731" w:name="_Toc495998399"/>
      <w:bookmarkStart w:id="1732" w:name="_Toc497741864"/>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t>Expanding the information provided to the public</w:t>
      </w:r>
      <w:bookmarkEnd w:id="1723"/>
      <w:bookmarkEnd w:id="1724"/>
      <w:bookmarkEnd w:id="1725"/>
      <w:bookmarkEnd w:id="1726"/>
      <w:bookmarkEnd w:id="1727"/>
      <w:bookmarkEnd w:id="1728"/>
      <w:bookmarkEnd w:id="1729"/>
      <w:bookmarkEnd w:id="1730"/>
      <w:bookmarkEnd w:id="1731"/>
      <w:bookmarkEnd w:id="1732"/>
    </w:p>
    <w:p w14:paraId="14D584A6" w14:textId="77777777" w:rsidR="00736EDE" w:rsidRDefault="00EC7F6D" w:rsidP="00CF276F">
      <w:pPr>
        <w:pStyle w:val="BodyText-nospacebelow"/>
        <w:jc w:val="both"/>
      </w:pPr>
      <w:r>
        <w:t>I</w:t>
      </w:r>
      <w:r w:rsidR="00736EDE" w:rsidRPr="00736EDE">
        <w:t xml:space="preserve">nitial consultation with the sector </w:t>
      </w:r>
      <w:r>
        <w:t>highlighted</w:t>
      </w:r>
      <w:r w:rsidR="00736EDE" w:rsidRPr="00736EDE">
        <w:t xml:space="preserve"> additional information which could be reported and made available for public inspection.</w:t>
      </w:r>
    </w:p>
    <w:p w14:paraId="5E4E9950" w14:textId="77777777" w:rsidR="00736EDE" w:rsidRPr="00736EDE" w:rsidRDefault="00736EDE" w:rsidP="00CF276F">
      <w:pPr>
        <w:pStyle w:val="BodyText-nospacebelow"/>
        <w:jc w:val="both"/>
      </w:pPr>
    </w:p>
    <w:p w14:paraId="085C7712" w14:textId="0BD847E3" w:rsidR="00736EDE" w:rsidRDefault="00736EDE" w:rsidP="00CF276F">
      <w:pPr>
        <w:pStyle w:val="BodyText-nospacebelow"/>
        <w:jc w:val="both"/>
      </w:pPr>
      <w:r w:rsidRPr="00736EDE">
        <w:t xml:space="preserve">The list of these proposals is </w:t>
      </w:r>
      <w:r w:rsidR="00BB618A">
        <w:t>provided</w:t>
      </w:r>
      <w:r w:rsidR="00BB618A" w:rsidRPr="00736EDE">
        <w:t xml:space="preserve"> </w:t>
      </w:r>
      <w:r w:rsidRPr="00736EDE">
        <w:t>below:</w:t>
      </w:r>
    </w:p>
    <w:p w14:paraId="5E509B52" w14:textId="77777777" w:rsidR="00736EDE" w:rsidRPr="00736EDE" w:rsidRDefault="00736EDE" w:rsidP="00736EDE">
      <w:pPr>
        <w:pStyle w:val="BodyText-nospacebelow"/>
      </w:pPr>
    </w:p>
    <w:tbl>
      <w:tblPr>
        <w:tblStyle w:val="DLGCTable-Data"/>
        <w:tblW w:w="9026" w:type="dxa"/>
        <w:tblLook w:val="04A0" w:firstRow="1" w:lastRow="0" w:firstColumn="1" w:lastColumn="0" w:noHBand="0" w:noVBand="1"/>
      </w:tblPr>
      <w:tblGrid>
        <w:gridCol w:w="3969"/>
        <w:gridCol w:w="5057"/>
      </w:tblGrid>
      <w:tr w:rsidR="00736EDE" w:rsidRPr="00736EDE" w14:paraId="172FB145" w14:textId="77777777" w:rsidTr="001228B3">
        <w:trPr>
          <w:cnfStyle w:val="100000000000" w:firstRow="1" w:lastRow="0" w:firstColumn="0" w:lastColumn="0" w:oddVBand="0" w:evenVBand="0" w:oddHBand="0" w:evenHBand="0" w:firstRowFirstColumn="0" w:firstRowLastColumn="0" w:lastRowFirstColumn="0" w:lastRowLastColumn="0"/>
        </w:trPr>
        <w:tc>
          <w:tcPr>
            <w:tcW w:w="3969" w:type="dxa"/>
          </w:tcPr>
          <w:p w14:paraId="556371F4" w14:textId="77777777" w:rsidR="00736EDE" w:rsidRPr="00736EDE" w:rsidRDefault="00736EDE" w:rsidP="00DA00E2">
            <w:pPr>
              <w:pStyle w:val="BodyText-nospacebelow"/>
              <w:spacing w:after="100" w:line="276" w:lineRule="auto"/>
              <w:ind w:left="0" w:right="0"/>
            </w:pPr>
            <w:r w:rsidRPr="00736EDE">
              <w:t>Proposal</w:t>
            </w:r>
          </w:p>
        </w:tc>
        <w:tc>
          <w:tcPr>
            <w:tcW w:w="5057" w:type="dxa"/>
          </w:tcPr>
          <w:p w14:paraId="63177D52" w14:textId="77777777" w:rsidR="00736EDE" w:rsidRPr="00736EDE" w:rsidRDefault="00736EDE" w:rsidP="00DA00E2">
            <w:pPr>
              <w:pStyle w:val="BodyText-nospacebelow"/>
              <w:spacing w:after="100" w:line="276" w:lineRule="auto"/>
              <w:ind w:left="0" w:right="0"/>
            </w:pPr>
            <w:r w:rsidRPr="00736EDE">
              <w:t>Reasoning</w:t>
            </w:r>
          </w:p>
        </w:tc>
      </w:tr>
      <w:tr w:rsidR="00736EDE" w:rsidRPr="00736EDE" w14:paraId="55964894" w14:textId="77777777" w:rsidTr="001228B3">
        <w:tc>
          <w:tcPr>
            <w:tcW w:w="3969" w:type="dxa"/>
          </w:tcPr>
          <w:p w14:paraId="1BB06EEC" w14:textId="664BA4FE" w:rsidR="00736EDE" w:rsidRPr="00736EDE" w:rsidRDefault="00EC7F6D" w:rsidP="00DA00E2">
            <w:pPr>
              <w:pStyle w:val="BodyText-nospacebelow"/>
              <w:spacing w:after="100" w:line="276" w:lineRule="auto"/>
              <w:ind w:right="0"/>
            </w:pPr>
            <w:r>
              <w:t xml:space="preserve">Live streaming video of </w:t>
            </w:r>
            <w:r w:rsidR="0038519F">
              <w:t>c</w:t>
            </w:r>
            <w:r w:rsidR="00736EDE" w:rsidRPr="00736EDE">
              <w:t>ouncil meetings on local government website</w:t>
            </w:r>
          </w:p>
        </w:tc>
        <w:tc>
          <w:tcPr>
            <w:tcW w:w="5057" w:type="dxa"/>
          </w:tcPr>
          <w:p w14:paraId="5A9C18D1" w14:textId="77777777" w:rsidR="00736EDE" w:rsidRPr="00736EDE" w:rsidRDefault="00736EDE" w:rsidP="00DA00E2">
            <w:pPr>
              <w:pStyle w:val="BodyText-nospacebelow"/>
              <w:spacing w:after="100" w:line="276" w:lineRule="auto"/>
              <w:ind w:right="0"/>
            </w:pPr>
            <w:r w:rsidRPr="00736EDE">
              <w:t>Streamed meetings will give the public a better understanding of council matters.</w:t>
            </w:r>
          </w:p>
          <w:p w14:paraId="3170F5E6" w14:textId="606058F7" w:rsidR="00736EDE" w:rsidRPr="00736EDE" w:rsidRDefault="00736EDE" w:rsidP="00DA00E2">
            <w:pPr>
              <w:pStyle w:val="BodyText-nospacebelow"/>
              <w:spacing w:after="100" w:line="276" w:lineRule="auto"/>
              <w:ind w:right="0"/>
            </w:pPr>
            <w:r w:rsidRPr="00736EDE">
              <w:t xml:space="preserve">It will also allow </w:t>
            </w:r>
            <w:r w:rsidR="00DA00E2">
              <w:t>community</w:t>
            </w:r>
            <w:r w:rsidRPr="00736EDE">
              <w:t xml:space="preserve"> </w:t>
            </w:r>
            <w:r w:rsidR="00DA00E2">
              <w:t xml:space="preserve">members </w:t>
            </w:r>
            <w:r w:rsidRPr="00736EDE">
              <w:t xml:space="preserve">an opportunity to directly scrutinise the behaviour of </w:t>
            </w:r>
            <w:r w:rsidR="00246B9A">
              <w:t>elected member</w:t>
            </w:r>
            <w:r w:rsidRPr="00736EDE">
              <w:t>s during meetings.</w:t>
            </w:r>
          </w:p>
        </w:tc>
      </w:tr>
      <w:tr w:rsidR="00736EDE" w:rsidRPr="00736EDE" w14:paraId="67ADB502" w14:textId="77777777" w:rsidTr="001228B3">
        <w:tc>
          <w:tcPr>
            <w:tcW w:w="3969" w:type="dxa"/>
          </w:tcPr>
          <w:p w14:paraId="016B2F4F" w14:textId="0C46DD90" w:rsidR="00736EDE" w:rsidRPr="00736EDE" w:rsidRDefault="00736EDE" w:rsidP="00DA00E2">
            <w:pPr>
              <w:pStyle w:val="BodyText-nospacebelow"/>
              <w:spacing w:after="100" w:line="276" w:lineRule="auto"/>
              <w:ind w:right="0"/>
            </w:pPr>
            <w:r w:rsidRPr="00736EDE">
              <w:t xml:space="preserve">Diversity data on council membership and employees </w:t>
            </w:r>
          </w:p>
        </w:tc>
        <w:tc>
          <w:tcPr>
            <w:tcW w:w="5057" w:type="dxa"/>
          </w:tcPr>
          <w:p w14:paraId="08029F80" w14:textId="77777777" w:rsidR="00736EDE" w:rsidRPr="00736EDE" w:rsidRDefault="00736EDE" w:rsidP="00DA00E2">
            <w:pPr>
              <w:pStyle w:val="BodyText-nospacebelow"/>
              <w:spacing w:after="100" w:line="276" w:lineRule="auto"/>
              <w:ind w:right="0"/>
            </w:pPr>
            <w:r w:rsidRPr="00736EDE">
              <w:t>Reporting this information will identify whether a local government’s council and employment practices are reflective of local demographics.</w:t>
            </w:r>
          </w:p>
        </w:tc>
      </w:tr>
      <w:tr w:rsidR="00736EDE" w:rsidRPr="00736EDE" w14:paraId="1884DE29" w14:textId="77777777" w:rsidTr="001228B3">
        <w:tc>
          <w:tcPr>
            <w:tcW w:w="3969" w:type="dxa"/>
          </w:tcPr>
          <w:p w14:paraId="0E060C52" w14:textId="6B41F363" w:rsidR="00736EDE" w:rsidRPr="00736EDE" w:rsidRDefault="00246B9A" w:rsidP="00DA00E2">
            <w:pPr>
              <w:pStyle w:val="BodyText-nospacebelow"/>
              <w:spacing w:after="100" w:line="276" w:lineRule="auto"/>
              <w:ind w:right="0"/>
            </w:pPr>
            <w:r>
              <w:t>Elected member</w:t>
            </w:r>
            <w:r w:rsidR="00736EDE" w:rsidRPr="00736EDE">
              <w:t xml:space="preserve"> attendance rates at council meetings </w:t>
            </w:r>
          </w:p>
        </w:tc>
        <w:tc>
          <w:tcPr>
            <w:tcW w:w="5057" w:type="dxa"/>
          </w:tcPr>
          <w:p w14:paraId="191367E1" w14:textId="5C23203D" w:rsidR="00736EDE" w:rsidRPr="00736EDE" w:rsidRDefault="00736EDE" w:rsidP="00DA00E2">
            <w:pPr>
              <w:pStyle w:val="BodyText-nospacebelow"/>
              <w:spacing w:after="100" w:line="276" w:lineRule="auto"/>
              <w:ind w:right="0"/>
            </w:pPr>
            <w:r w:rsidRPr="00736EDE">
              <w:t xml:space="preserve">Reporting this information will give the public an indication of whether </w:t>
            </w:r>
            <w:r w:rsidR="00246B9A">
              <w:t>elected member</w:t>
            </w:r>
            <w:r w:rsidRPr="00736EDE">
              <w:t>s are attending meetings in accordance with their statutory duties.</w:t>
            </w:r>
          </w:p>
        </w:tc>
      </w:tr>
      <w:tr w:rsidR="00736EDE" w:rsidRPr="00736EDE" w14:paraId="5FF07FB6" w14:textId="77777777" w:rsidTr="001228B3">
        <w:tc>
          <w:tcPr>
            <w:tcW w:w="3969" w:type="dxa"/>
          </w:tcPr>
          <w:p w14:paraId="3C4B7FF2" w14:textId="4A98A6FE" w:rsidR="00736EDE" w:rsidRPr="00736EDE" w:rsidRDefault="00246B9A" w:rsidP="00DA00E2">
            <w:pPr>
              <w:pStyle w:val="BodyText-nospacebelow"/>
              <w:spacing w:after="100" w:line="276" w:lineRule="auto"/>
              <w:ind w:right="0"/>
            </w:pPr>
            <w:r>
              <w:t>Elected member</w:t>
            </w:r>
            <w:r w:rsidR="00736EDE" w:rsidRPr="00736EDE">
              <w:t xml:space="preserve"> representation at external meetings/events</w:t>
            </w:r>
          </w:p>
        </w:tc>
        <w:tc>
          <w:tcPr>
            <w:tcW w:w="5057" w:type="dxa"/>
          </w:tcPr>
          <w:p w14:paraId="37783178" w14:textId="77777777" w:rsidR="00736EDE" w:rsidRPr="00736EDE" w:rsidRDefault="00736EDE" w:rsidP="00DA00E2">
            <w:pPr>
              <w:pStyle w:val="BodyText-nospacebelow"/>
              <w:spacing w:after="100" w:line="276" w:lineRule="auto"/>
              <w:ind w:right="0"/>
            </w:pPr>
            <w:r w:rsidRPr="00736EDE">
              <w:t>This information will give the public an understanding of how often the council sends representatives to external events.</w:t>
            </w:r>
          </w:p>
          <w:p w14:paraId="190E982C" w14:textId="77777777" w:rsidR="00736EDE" w:rsidRPr="00736EDE" w:rsidRDefault="00736EDE" w:rsidP="00DA00E2">
            <w:pPr>
              <w:pStyle w:val="BodyText-nospacebelow"/>
              <w:spacing w:after="100" w:line="276" w:lineRule="auto"/>
              <w:ind w:right="0"/>
            </w:pPr>
            <w:r w:rsidRPr="00736EDE">
              <w:t>The information will also assist ratepayers to assess whether an appropriate level of representation is occurring and whether the expenses are reasonable.</w:t>
            </w:r>
          </w:p>
        </w:tc>
      </w:tr>
      <w:tr w:rsidR="00736EDE" w:rsidRPr="00736EDE" w14:paraId="59EE52C4" w14:textId="77777777" w:rsidTr="001228B3">
        <w:tc>
          <w:tcPr>
            <w:tcW w:w="3969" w:type="dxa"/>
          </w:tcPr>
          <w:p w14:paraId="28605E02" w14:textId="3070F871" w:rsidR="00736EDE" w:rsidRPr="00736EDE" w:rsidRDefault="00736EDE" w:rsidP="00DA00E2">
            <w:pPr>
              <w:pStyle w:val="BodyText-nospacebelow"/>
              <w:spacing w:after="100" w:line="276" w:lineRule="auto"/>
              <w:ind w:right="0"/>
            </w:pPr>
            <w:r w:rsidRPr="00736EDE">
              <w:t>Gender equity ratios for staff salaries</w:t>
            </w:r>
          </w:p>
        </w:tc>
        <w:tc>
          <w:tcPr>
            <w:tcW w:w="5057" w:type="dxa"/>
          </w:tcPr>
          <w:p w14:paraId="140333FE" w14:textId="77777777" w:rsidR="00736EDE" w:rsidRPr="00736EDE" w:rsidRDefault="00736EDE" w:rsidP="00DA00E2">
            <w:pPr>
              <w:pStyle w:val="BodyText-nospacebelow"/>
              <w:spacing w:after="100" w:line="276" w:lineRule="auto"/>
              <w:ind w:right="0"/>
            </w:pPr>
            <w:r w:rsidRPr="00736EDE">
              <w:t>This information will indicate whether the local government is operating in a diverse and equitable manner.</w:t>
            </w:r>
          </w:p>
        </w:tc>
      </w:tr>
      <w:tr w:rsidR="00736EDE" w:rsidRPr="00736EDE" w14:paraId="3F60370C" w14:textId="77777777" w:rsidTr="001228B3">
        <w:tc>
          <w:tcPr>
            <w:tcW w:w="3969" w:type="dxa"/>
          </w:tcPr>
          <w:p w14:paraId="26EA0B96" w14:textId="1420EAA9" w:rsidR="00736EDE" w:rsidRPr="00736EDE" w:rsidRDefault="00736EDE" w:rsidP="00DA00E2">
            <w:pPr>
              <w:pStyle w:val="BodyText-nospacebelow"/>
              <w:spacing w:after="100" w:line="276" w:lineRule="auto"/>
              <w:ind w:right="0"/>
            </w:pPr>
            <w:r w:rsidRPr="00736EDE">
              <w:t>Complaints made to the local government and actions taken</w:t>
            </w:r>
          </w:p>
        </w:tc>
        <w:tc>
          <w:tcPr>
            <w:tcW w:w="5057" w:type="dxa"/>
          </w:tcPr>
          <w:p w14:paraId="7BCB3FEC" w14:textId="77777777" w:rsidR="00736EDE" w:rsidRPr="00736EDE" w:rsidRDefault="00736EDE" w:rsidP="00DA00E2">
            <w:pPr>
              <w:pStyle w:val="BodyText-nospacebelow"/>
              <w:spacing w:after="100" w:line="276" w:lineRule="auto"/>
              <w:ind w:right="0"/>
            </w:pPr>
            <w:r w:rsidRPr="00736EDE">
              <w:t>This information will inform the public of how the local government deals with complaints and how often action is taken to resolve these issues.</w:t>
            </w:r>
          </w:p>
        </w:tc>
      </w:tr>
      <w:tr w:rsidR="00736EDE" w:rsidRPr="00736EDE" w14:paraId="46870F6A" w14:textId="77777777" w:rsidTr="001228B3">
        <w:tc>
          <w:tcPr>
            <w:tcW w:w="3969" w:type="dxa"/>
          </w:tcPr>
          <w:p w14:paraId="692C9A01" w14:textId="33EF7BD6" w:rsidR="00736EDE" w:rsidRPr="00736EDE" w:rsidRDefault="00736EDE" w:rsidP="00DA00E2">
            <w:pPr>
              <w:pStyle w:val="BodyText-nospacebelow"/>
              <w:spacing w:after="100" w:line="276" w:lineRule="auto"/>
              <w:ind w:right="0"/>
            </w:pPr>
            <w:r w:rsidRPr="00736EDE">
              <w:t>Performance reviews of CEO and senior employees</w:t>
            </w:r>
          </w:p>
        </w:tc>
        <w:tc>
          <w:tcPr>
            <w:tcW w:w="5057" w:type="dxa"/>
          </w:tcPr>
          <w:p w14:paraId="6F1CFF9D" w14:textId="77777777" w:rsidR="00736EDE" w:rsidRPr="00736EDE" w:rsidRDefault="00736EDE" w:rsidP="00DA00E2">
            <w:pPr>
              <w:pStyle w:val="BodyText-nospacebelow"/>
              <w:spacing w:after="100" w:line="276" w:lineRule="auto"/>
              <w:ind w:right="0"/>
            </w:pPr>
            <w:r w:rsidRPr="00736EDE">
              <w:t xml:space="preserve">Providing these reviews will allow ratepayers to assess whether the CEO and senior staff are pursuing their duties with appropriate diligence. </w:t>
            </w:r>
          </w:p>
        </w:tc>
      </w:tr>
      <w:tr w:rsidR="00736EDE" w:rsidRPr="00736EDE" w14:paraId="4DA5F817" w14:textId="77777777" w:rsidTr="001228B3">
        <w:tc>
          <w:tcPr>
            <w:tcW w:w="3969" w:type="dxa"/>
          </w:tcPr>
          <w:p w14:paraId="46672635" w14:textId="2F8E201B" w:rsidR="00736EDE" w:rsidRPr="00736EDE" w:rsidRDefault="00736EDE" w:rsidP="00DA00E2">
            <w:pPr>
              <w:pStyle w:val="BodyText-nospacebelow"/>
              <w:spacing w:after="100" w:line="276" w:lineRule="auto"/>
              <w:ind w:right="0"/>
            </w:pPr>
            <w:r w:rsidRPr="00736EDE">
              <w:t>Website to provide information on differential rate categories</w:t>
            </w:r>
          </w:p>
        </w:tc>
        <w:tc>
          <w:tcPr>
            <w:tcW w:w="5057" w:type="dxa"/>
          </w:tcPr>
          <w:p w14:paraId="7E318AC7" w14:textId="77777777" w:rsidR="00736EDE" w:rsidRPr="00736EDE" w:rsidRDefault="00736EDE" w:rsidP="00DA00E2">
            <w:pPr>
              <w:pStyle w:val="BodyText-nospacebelow"/>
              <w:spacing w:after="100" w:line="276" w:lineRule="auto"/>
              <w:ind w:right="0"/>
            </w:pPr>
            <w:r w:rsidRPr="00736EDE">
              <w:t>This information will assist ratepayers to understand the rate system and how it applies in practice.</w:t>
            </w:r>
          </w:p>
        </w:tc>
      </w:tr>
      <w:tr w:rsidR="00736EDE" w:rsidRPr="00736EDE" w14:paraId="430A750A" w14:textId="77777777" w:rsidTr="001228B3">
        <w:tc>
          <w:tcPr>
            <w:tcW w:w="3969" w:type="dxa"/>
          </w:tcPr>
          <w:p w14:paraId="732B77AC" w14:textId="2C84E74E" w:rsidR="00736EDE" w:rsidRPr="00736EDE" w:rsidRDefault="00736EDE" w:rsidP="00DA00E2">
            <w:pPr>
              <w:pStyle w:val="BodyText-nospacebelow"/>
              <w:spacing w:after="100" w:line="276" w:lineRule="auto"/>
              <w:ind w:right="0"/>
            </w:pPr>
            <w:r w:rsidRPr="00736EDE">
              <w:t>District maps and ward boundaries</w:t>
            </w:r>
          </w:p>
        </w:tc>
        <w:tc>
          <w:tcPr>
            <w:tcW w:w="5057" w:type="dxa"/>
          </w:tcPr>
          <w:p w14:paraId="659B0236" w14:textId="77777777" w:rsidR="00736EDE" w:rsidRPr="00736EDE" w:rsidRDefault="00736EDE" w:rsidP="00DA00E2">
            <w:pPr>
              <w:pStyle w:val="BodyText-nospacebelow"/>
              <w:spacing w:after="100" w:line="276" w:lineRule="auto"/>
              <w:ind w:right="0"/>
            </w:pPr>
            <w:r w:rsidRPr="00736EDE">
              <w:t>This information will assist the public to identify the limits of their local government’s jurisdiction.</w:t>
            </w:r>
          </w:p>
          <w:p w14:paraId="06B0ADDC" w14:textId="77777777" w:rsidR="00736EDE" w:rsidRPr="00736EDE" w:rsidRDefault="00736EDE" w:rsidP="00DA00E2">
            <w:pPr>
              <w:pStyle w:val="BodyText-nospacebelow"/>
              <w:spacing w:after="100" w:line="276" w:lineRule="auto"/>
              <w:ind w:right="0"/>
            </w:pPr>
            <w:r w:rsidRPr="00736EDE">
              <w:t xml:space="preserve">This will </w:t>
            </w:r>
            <w:r w:rsidR="00674792">
              <w:t xml:space="preserve">also </w:t>
            </w:r>
            <w:r w:rsidRPr="00736EDE">
              <w:t xml:space="preserve">mean that the public can identify the correct authority to which they should refer a complaint or query. </w:t>
            </w:r>
          </w:p>
        </w:tc>
      </w:tr>
      <w:tr w:rsidR="00736EDE" w:rsidRPr="00736EDE" w14:paraId="18231055" w14:textId="77777777" w:rsidTr="001228B3">
        <w:tc>
          <w:tcPr>
            <w:tcW w:w="3969" w:type="dxa"/>
          </w:tcPr>
          <w:p w14:paraId="0338C93E" w14:textId="63C10757" w:rsidR="00736EDE" w:rsidRPr="00736EDE" w:rsidRDefault="00736EDE" w:rsidP="001A04CC">
            <w:pPr>
              <w:pStyle w:val="BodyText-nospacebelow"/>
              <w:spacing w:after="100" w:line="276" w:lineRule="auto"/>
              <w:ind w:right="0"/>
            </w:pPr>
            <w:r w:rsidRPr="00736EDE">
              <w:t xml:space="preserve">Adverse findings of </w:t>
            </w:r>
            <w:r w:rsidR="00EC7F6D">
              <w:t xml:space="preserve">the </w:t>
            </w:r>
            <w:r w:rsidRPr="00736EDE">
              <w:t>Standard</w:t>
            </w:r>
            <w:r w:rsidR="00EC7F6D">
              <w:t>s</w:t>
            </w:r>
            <w:r w:rsidRPr="00736EDE">
              <w:t xml:space="preserve"> Panel, State Administrative Tribunal or Corruption and Crime </w:t>
            </w:r>
            <w:r w:rsidR="00EC7F6D">
              <w:t>Commission</w:t>
            </w:r>
          </w:p>
        </w:tc>
        <w:tc>
          <w:tcPr>
            <w:tcW w:w="5057" w:type="dxa"/>
          </w:tcPr>
          <w:p w14:paraId="348D0360" w14:textId="77777777" w:rsidR="00736EDE" w:rsidRPr="00736EDE" w:rsidRDefault="00736EDE" w:rsidP="00DA00E2">
            <w:pPr>
              <w:pStyle w:val="BodyText-nospacebelow"/>
              <w:spacing w:after="100" w:line="276" w:lineRule="auto"/>
              <w:ind w:right="0"/>
            </w:pPr>
            <w:r w:rsidRPr="00736EDE">
              <w:t xml:space="preserve">This will inform district residents of critical governance matters </w:t>
            </w:r>
            <w:r w:rsidR="00674792">
              <w:t xml:space="preserve">of </w:t>
            </w:r>
            <w:r w:rsidRPr="00736EDE">
              <w:t>which they might not otherwise be aware.</w:t>
            </w:r>
          </w:p>
          <w:p w14:paraId="20C74808" w14:textId="77777777" w:rsidR="00736EDE" w:rsidRPr="00736EDE" w:rsidRDefault="00736EDE" w:rsidP="00DA00E2">
            <w:pPr>
              <w:pStyle w:val="BodyText-nospacebelow"/>
              <w:spacing w:after="100" w:line="276" w:lineRule="auto"/>
              <w:ind w:right="0"/>
            </w:pPr>
            <w:r w:rsidRPr="00736EDE">
              <w:t>While adverse findings may be the subject of public media, there is never a guarantee that this will occur.</w:t>
            </w:r>
          </w:p>
        </w:tc>
      </w:tr>
      <w:tr w:rsidR="0084304A" w:rsidRPr="00736EDE" w14:paraId="3D425D6F" w14:textId="77777777" w:rsidTr="001228B3">
        <w:tc>
          <w:tcPr>
            <w:tcW w:w="3969" w:type="dxa"/>
          </w:tcPr>
          <w:p w14:paraId="103F2FF3" w14:textId="67FC6D46" w:rsidR="0084304A" w:rsidRPr="00736EDE" w:rsidRDefault="0084304A" w:rsidP="001A04CC">
            <w:pPr>
              <w:pStyle w:val="BodyText-nospacebelow"/>
              <w:spacing w:after="100"/>
            </w:pPr>
            <w:r>
              <w:t>Financial and non-financial benefits</w:t>
            </w:r>
            <w:r w:rsidR="00740A43">
              <w:t xml:space="preserve"> register</w:t>
            </w:r>
          </w:p>
        </w:tc>
        <w:tc>
          <w:tcPr>
            <w:tcW w:w="5057" w:type="dxa"/>
          </w:tcPr>
          <w:p w14:paraId="6FB5F8F2" w14:textId="5D4B2827" w:rsidR="0084304A" w:rsidRDefault="0084304A" w:rsidP="0084304A">
            <w:pPr>
              <w:pStyle w:val="BodyText-nospacebelow"/>
              <w:spacing w:after="100"/>
            </w:pPr>
            <w:r>
              <w:t xml:space="preserve">This </w:t>
            </w:r>
            <w:r w:rsidR="00E85C8B">
              <w:t>would inform ratepayers of</w:t>
            </w:r>
            <w:r>
              <w:t xml:space="preserve"> the amount spent on each </w:t>
            </w:r>
            <w:r w:rsidR="00576CE4">
              <w:t>elected</w:t>
            </w:r>
            <w:r w:rsidR="00740A43">
              <w:t xml:space="preserve"> member and senior employee</w:t>
            </w:r>
            <w:r>
              <w:t xml:space="preserve"> for:</w:t>
            </w:r>
          </w:p>
          <w:p w14:paraId="331C4D35" w14:textId="64467261" w:rsidR="0084304A" w:rsidRDefault="004E614E" w:rsidP="0084304A">
            <w:pPr>
              <w:pStyle w:val="BodyText-nospacebelow"/>
              <w:spacing w:after="100"/>
            </w:pPr>
            <w:r>
              <w:t>(a)</w:t>
            </w:r>
            <w:r>
              <w:tab/>
              <w:t>remuneration</w:t>
            </w:r>
          </w:p>
          <w:p w14:paraId="5FCAB64E" w14:textId="4B0EEEBA" w:rsidR="0084304A" w:rsidRDefault="004E614E" w:rsidP="0084304A">
            <w:pPr>
              <w:pStyle w:val="BodyText-nospacebelow"/>
              <w:spacing w:after="100"/>
            </w:pPr>
            <w:r>
              <w:t>(b)</w:t>
            </w:r>
            <w:r>
              <w:tab/>
              <w:t>superannuation payments</w:t>
            </w:r>
          </w:p>
          <w:p w14:paraId="7EC0B62F" w14:textId="4B3B8E96" w:rsidR="0084304A" w:rsidRDefault="004E614E" w:rsidP="0084304A">
            <w:pPr>
              <w:pStyle w:val="BodyText-nospacebelow"/>
              <w:spacing w:after="100"/>
            </w:pPr>
            <w:r>
              <w:t>(c)</w:t>
            </w:r>
            <w:r>
              <w:tab/>
              <w:t>other monetary benefits</w:t>
            </w:r>
          </w:p>
          <w:p w14:paraId="421A1FD6" w14:textId="3B2355AD" w:rsidR="0084304A" w:rsidRDefault="004E614E" w:rsidP="0084304A">
            <w:pPr>
              <w:pStyle w:val="BodyText-nospacebelow"/>
              <w:spacing w:after="100"/>
            </w:pPr>
            <w:r>
              <w:t>(d)</w:t>
            </w:r>
            <w:r>
              <w:tab/>
              <w:t>fringe benefits, and</w:t>
            </w:r>
          </w:p>
          <w:p w14:paraId="631F27AF" w14:textId="062DEBA3" w:rsidR="0084304A" w:rsidRPr="00736EDE" w:rsidRDefault="0084304A" w:rsidP="0084304A">
            <w:pPr>
              <w:pStyle w:val="BodyText-nospacebelow"/>
              <w:spacing w:after="100"/>
            </w:pPr>
            <w:r>
              <w:t>(e)</w:t>
            </w:r>
            <w:r>
              <w:tab/>
              <w:t xml:space="preserve">any other non-monetary benefit </w:t>
            </w:r>
            <w:r w:rsidR="004E614E">
              <w:t xml:space="preserve">     </w:t>
            </w:r>
            <w:r>
              <w:t>which is significant and capable of being quantified.</w:t>
            </w:r>
          </w:p>
        </w:tc>
      </w:tr>
    </w:tbl>
    <w:p w14:paraId="143653EA" w14:textId="77777777" w:rsidR="00736EDE" w:rsidRDefault="00736EDE" w:rsidP="00736EDE">
      <w:pPr>
        <w:pStyle w:val="BodyText-nospacebelow"/>
      </w:pPr>
    </w:p>
    <w:p w14:paraId="18CE2280" w14:textId="77777777" w:rsidR="00CF276F" w:rsidRDefault="00CF276F">
      <w:r>
        <w:br w:type="page"/>
      </w:r>
    </w:p>
    <w:p w14:paraId="033DF2FB" w14:textId="6E163443" w:rsidR="00736EDE" w:rsidRPr="00736EDE" w:rsidRDefault="00736EDE" w:rsidP="00CF276F">
      <w:pPr>
        <w:pStyle w:val="BodyText-nospacebelow"/>
        <w:jc w:val="both"/>
      </w:pPr>
      <w:r w:rsidRPr="00736EDE">
        <w:t>For each proposal, the following options have been identified:</w:t>
      </w:r>
    </w:p>
    <w:p w14:paraId="7A9F38C8" w14:textId="77777777" w:rsidR="00736EDE" w:rsidRPr="00736EDE" w:rsidRDefault="00736EDE" w:rsidP="00CF276F">
      <w:pPr>
        <w:pStyle w:val="Heading3"/>
        <w:jc w:val="both"/>
      </w:pPr>
      <w:bookmarkStart w:id="1733" w:name="_Toc491097311"/>
      <w:bookmarkStart w:id="1734" w:name="_Toc491097701"/>
      <w:bookmarkStart w:id="1735" w:name="_Toc491857158"/>
      <w:bookmarkStart w:id="1736" w:name="_Toc491872779"/>
      <w:bookmarkStart w:id="1737" w:name="_Toc491873714"/>
      <w:bookmarkStart w:id="1738" w:name="_Toc491934342"/>
      <w:bookmarkStart w:id="1739" w:name="_Toc492368971"/>
      <w:bookmarkStart w:id="1740" w:name="_Toc492386698"/>
      <w:bookmarkStart w:id="1741" w:name="_Toc492468940"/>
      <w:bookmarkStart w:id="1742" w:name="_Toc492470616"/>
      <w:bookmarkStart w:id="1743" w:name="_Toc492471296"/>
      <w:bookmarkStart w:id="1744" w:name="_Toc492471418"/>
      <w:bookmarkStart w:id="1745" w:name="_Toc493746794"/>
      <w:bookmarkStart w:id="1746" w:name="_Toc493768926"/>
      <w:bookmarkStart w:id="1747" w:name="_Toc493859996"/>
      <w:bookmarkStart w:id="1748" w:name="_Toc495491894"/>
      <w:bookmarkStart w:id="1749" w:name="_Toc495497673"/>
      <w:bookmarkStart w:id="1750" w:name="_Toc495671507"/>
      <w:bookmarkStart w:id="1751" w:name="_Toc495676108"/>
      <w:bookmarkStart w:id="1752" w:name="_Toc495678403"/>
      <w:bookmarkStart w:id="1753" w:name="_Toc495998400"/>
      <w:bookmarkStart w:id="1754" w:name="_Toc497741865"/>
      <w:r w:rsidRPr="00736EDE">
        <w:t>Option 1</w:t>
      </w:r>
      <w:r w:rsidR="00B8754B">
        <w:t xml:space="preserve">: </w:t>
      </w:r>
      <w:r w:rsidRPr="00736EDE">
        <w:t xml:space="preserve"> Status Quo</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r w:rsidRPr="00736EDE">
        <w:t xml:space="preserve"> </w:t>
      </w:r>
    </w:p>
    <w:p w14:paraId="49525A4D" w14:textId="77777777" w:rsidR="00736EDE" w:rsidRPr="00736EDE" w:rsidRDefault="00736EDE" w:rsidP="00CF276F">
      <w:pPr>
        <w:pStyle w:val="BodyText-nospacebelow"/>
        <w:jc w:val="both"/>
      </w:pPr>
      <w:r w:rsidRPr="00736EDE">
        <w:t xml:space="preserve">Under this option, the reporting requirements under the Act will remain unchanged. </w:t>
      </w:r>
    </w:p>
    <w:p w14:paraId="775F204C" w14:textId="77777777" w:rsidR="00736EDE" w:rsidRPr="00736EDE" w:rsidRDefault="00736EDE" w:rsidP="00CF276F">
      <w:pPr>
        <w:pStyle w:val="BodyText-nospacebelow"/>
        <w:jc w:val="both"/>
      </w:pPr>
      <w:r w:rsidRPr="00736EDE">
        <w:t>This will prevent any increase in regulatory burden, but it will represent a lost opportunity for increasing the transparency standards applicable to the sector.</w:t>
      </w:r>
    </w:p>
    <w:p w14:paraId="17670C22" w14:textId="77777777" w:rsidR="00736EDE" w:rsidRDefault="00736EDE" w:rsidP="00CF276F">
      <w:pPr>
        <w:pStyle w:val="BodyText-nospacebelow"/>
        <w:jc w:val="both"/>
      </w:pPr>
      <w:r w:rsidRPr="00736EDE">
        <w:t>While there will not be a legislative requirement to provide the information, local governments will still be able to provide it voluntarily.</w:t>
      </w:r>
    </w:p>
    <w:p w14:paraId="7C44C4CA" w14:textId="77777777" w:rsidR="00736EDE" w:rsidRPr="00736EDE" w:rsidRDefault="00736EDE" w:rsidP="00CF276F">
      <w:pPr>
        <w:pStyle w:val="Heading3"/>
        <w:jc w:val="both"/>
      </w:pPr>
      <w:bookmarkStart w:id="1755" w:name="_Toc491097312"/>
      <w:bookmarkStart w:id="1756" w:name="_Toc491097702"/>
      <w:bookmarkStart w:id="1757" w:name="_Toc491857159"/>
      <w:bookmarkStart w:id="1758" w:name="_Toc491872780"/>
      <w:bookmarkStart w:id="1759" w:name="_Toc491873715"/>
      <w:bookmarkStart w:id="1760" w:name="_Toc491934343"/>
      <w:bookmarkStart w:id="1761" w:name="_Toc492368972"/>
      <w:bookmarkStart w:id="1762" w:name="_Toc492386699"/>
      <w:bookmarkStart w:id="1763" w:name="_Toc492468941"/>
      <w:bookmarkStart w:id="1764" w:name="_Toc492470617"/>
      <w:bookmarkStart w:id="1765" w:name="_Toc492471297"/>
      <w:bookmarkStart w:id="1766" w:name="_Toc492471419"/>
      <w:bookmarkStart w:id="1767" w:name="_Toc493746795"/>
      <w:bookmarkStart w:id="1768" w:name="_Toc493768927"/>
      <w:bookmarkStart w:id="1769" w:name="_Toc493859997"/>
      <w:bookmarkStart w:id="1770" w:name="_Toc495491895"/>
      <w:bookmarkStart w:id="1771" w:name="_Toc495497674"/>
      <w:bookmarkStart w:id="1772" w:name="_Toc495671508"/>
      <w:bookmarkStart w:id="1773" w:name="_Toc495676109"/>
      <w:bookmarkStart w:id="1774" w:name="_Toc495678404"/>
      <w:bookmarkStart w:id="1775" w:name="_Toc495998401"/>
      <w:bookmarkStart w:id="1776" w:name="_Toc497741866"/>
      <w:r w:rsidRPr="00736EDE">
        <w:t>Option 2</w:t>
      </w:r>
      <w:r w:rsidR="00B8754B">
        <w:t xml:space="preserve">: </w:t>
      </w:r>
      <w:r w:rsidRPr="00736EDE">
        <w:t xml:space="preserve"> Additional reporting requirement</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14:paraId="753E68F3" w14:textId="77777777" w:rsidR="00736EDE" w:rsidRDefault="00736EDE" w:rsidP="00CF276F">
      <w:pPr>
        <w:pStyle w:val="BodyText-nospacebelow"/>
        <w:jc w:val="both"/>
      </w:pPr>
      <w:r w:rsidRPr="00736EDE">
        <w:t>Under this option, local governments will need to provide the additional information on the local government’s website.</w:t>
      </w:r>
    </w:p>
    <w:p w14:paraId="764D1DF2" w14:textId="77777777" w:rsidR="00736EDE" w:rsidRPr="00736EDE" w:rsidRDefault="00736EDE" w:rsidP="00CF276F">
      <w:pPr>
        <w:pStyle w:val="BodyText-nospacebelow"/>
        <w:jc w:val="both"/>
      </w:pPr>
    </w:p>
    <w:p w14:paraId="0782CDDF" w14:textId="77777777" w:rsidR="00736EDE" w:rsidRDefault="00736EDE" w:rsidP="00CF276F">
      <w:pPr>
        <w:pStyle w:val="BodyText-nospacebelow"/>
        <w:jc w:val="both"/>
      </w:pPr>
      <w:r w:rsidRPr="00736EDE">
        <w:t>This will increase transparency</w:t>
      </w:r>
      <w:r w:rsidR="00B8754B">
        <w:t>, better informing community decision-making.</w:t>
      </w:r>
      <w:r w:rsidRPr="00736EDE">
        <w:t xml:space="preserve"> </w:t>
      </w:r>
      <w:r w:rsidR="00B8754B">
        <w:t>It</w:t>
      </w:r>
      <w:r w:rsidRPr="00736EDE">
        <w:t xml:space="preserve"> will</w:t>
      </w:r>
      <w:r w:rsidR="00B8754B">
        <w:t>, however,</w:t>
      </w:r>
      <w:r w:rsidRPr="00736EDE">
        <w:t xml:space="preserve"> represent an increase in regulatory burden.</w:t>
      </w:r>
    </w:p>
    <w:p w14:paraId="3B1BC235" w14:textId="77777777" w:rsidR="00736EDE" w:rsidRPr="00736EDE" w:rsidRDefault="00736EDE" w:rsidP="00CF276F">
      <w:pPr>
        <w:pStyle w:val="Heading3"/>
        <w:jc w:val="both"/>
      </w:pPr>
      <w:bookmarkStart w:id="1777" w:name="_Toc491097313"/>
      <w:bookmarkStart w:id="1778" w:name="_Toc491097703"/>
      <w:bookmarkStart w:id="1779" w:name="_Toc491857160"/>
      <w:bookmarkStart w:id="1780" w:name="_Toc491872781"/>
      <w:bookmarkStart w:id="1781" w:name="_Toc491873716"/>
      <w:bookmarkStart w:id="1782" w:name="_Toc491934344"/>
      <w:bookmarkStart w:id="1783" w:name="_Toc492368973"/>
      <w:bookmarkStart w:id="1784" w:name="_Toc492386700"/>
      <w:bookmarkStart w:id="1785" w:name="_Toc492468942"/>
      <w:bookmarkStart w:id="1786" w:name="_Toc492470618"/>
      <w:bookmarkStart w:id="1787" w:name="_Toc492471298"/>
      <w:bookmarkStart w:id="1788" w:name="_Toc492471420"/>
      <w:bookmarkStart w:id="1789" w:name="_Toc493746796"/>
      <w:bookmarkStart w:id="1790" w:name="_Toc493768928"/>
      <w:bookmarkStart w:id="1791" w:name="_Toc493859998"/>
      <w:bookmarkStart w:id="1792" w:name="_Toc495491896"/>
      <w:bookmarkStart w:id="1793" w:name="_Toc495497675"/>
      <w:bookmarkStart w:id="1794" w:name="_Toc495671509"/>
      <w:bookmarkStart w:id="1795" w:name="_Toc495676110"/>
      <w:bookmarkStart w:id="1796" w:name="_Toc495678405"/>
      <w:bookmarkStart w:id="1797" w:name="_Toc495998402"/>
      <w:bookmarkStart w:id="1798" w:name="_Toc497741867"/>
      <w:r w:rsidRPr="00736EDE">
        <w:t>Option 3</w:t>
      </w:r>
      <w:r w:rsidR="00B8754B">
        <w:t xml:space="preserve">:  </w:t>
      </w:r>
      <w:r w:rsidRPr="00736EDE">
        <w:t>Policy requirement</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14:paraId="32F6391B" w14:textId="77777777" w:rsidR="00736EDE" w:rsidRPr="00736EDE" w:rsidRDefault="00736EDE" w:rsidP="00CF276F">
      <w:pPr>
        <w:pStyle w:val="BodyText-nospacebelow"/>
        <w:jc w:val="both"/>
      </w:pPr>
      <w:r w:rsidRPr="00736EDE">
        <w:t xml:space="preserve">Under this option, local governments will not be required to report additional information to the public. </w:t>
      </w:r>
      <w:r w:rsidR="00B8754B">
        <w:t xml:space="preserve"> </w:t>
      </w:r>
      <w:r w:rsidRPr="00736EDE">
        <w:t xml:space="preserve">Instead, the local government will be required to </w:t>
      </w:r>
      <w:r w:rsidR="00B8754B">
        <w:t>develop</w:t>
      </w:r>
      <w:r w:rsidRPr="00736EDE">
        <w:t xml:space="preserve"> a policy which </w:t>
      </w:r>
      <w:r w:rsidR="00B8754B">
        <w:t>states</w:t>
      </w:r>
      <w:r w:rsidRPr="00736EDE">
        <w:t>:</w:t>
      </w:r>
    </w:p>
    <w:p w14:paraId="2AF99016" w14:textId="377FDAE9" w:rsidR="00736EDE" w:rsidRPr="00736EDE" w:rsidRDefault="00B8754B" w:rsidP="00CF276F">
      <w:pPr>
        <w:pStyle w:val="BodyText-nospacebelow"/>
        <w:numPr>
          <w:ilvl w:val="0"/>
          <w:numId w:val="75"/>
        </w:numPr>
        <w:jc w:val="both"/>
      </w:pPr>
      <w:r>
        <w:t>w</w:t>
      </w:r>
      <w:r w:rsidR="00736EDE" w:rsidRPr="00736EDE">
        <w:t>hether the information is available for public inspection; and</w:t>
      </w:r>
    </w:p>
    <w:p w14:paraId="43195636" w14:textId="77777777" w:rsidR="00736EDE" w:rsidRDefault="00B8754B" w:rsidP="00CF276F">
      <w:pPr>
        <w:pStyle w:val="BodyText-nospacebelow"/>
        <w:numPr>
          <w:ilvl w:val="0"/>
          <w:numId w:val="75"/>
        </w:numPr>
        <w:jc w:val="both"/>
      </w:pPr>
      <w:r w:rsidRPr="00736EDE">
        <w:t>if so</w:t>
      </w:r>
      <w:r>
        <w:t>, h</w:t>
      </w:r>
      <w:r w:rsidR="00736EDE" w:rsidRPr="00736EDE">
        <w:t>ow this information may be accessed by the public.</w:t>
      </w:r>
    </w:p>
    <w:p w14:paraId="3E0D34A0" w14:textId="77777777" w:rsidR="00736EDE" w:rsidRPr="00736EDE" w:rsidRDefault="00736EDE" w:rsidP="00CF276F">
      <w:pPr>
        <w:pStyle w:val="BodyText-nospacebelow"/>
        <w:ind w:left="720"/>
        <w:jc w:val="both"/>
      </w:pPr>
    </w:p>
    <w:p w14:paraId="1BA8C441" w14:textId="77777777" w:rsidR="00736EDE" w:rsidRPr="00736EDE" w:rsidRDefault="00736EDE" w:rsidP="00CF276F">
      <w:pPr>
        <w:pStyle w:val="BodyText-nospacebelow"/>
        <w:jc w:val="both"/>
      </w:pPr>
      <w:r w:rsidRPr="00736EDE">
        <w:t>This policy will need to be made available on the local government’s website.</w:t>
      </w:r>
    </w:p>
    <w:p w14:paraId="347DBB32" w14:textId="77777777" w:rsidR="00736EDE" w:rsidRDefault="00736EDE" w:rsidP="00CF276F">
      <w:pPr>
        <w:pStyle w:val="BodyText-nospacebelow"/>
        <w:jc w:val="both"/>
      </w:pPr>
      <w:r w:rsidRPr="00736EDE">
        <w:t xml:space="preserve">This option will slightly increase transparency of local governments, since it will assist the public to determine what kind of information is accessible to them. </w:t>
      </w:r>
      <w:r w:rsidR="00B8754B">
        <w:t xml:space="preserve"> It does not make the information readily available.</w:t>
      </w:r>
    </w:p>
    <w:p w14:paraId="56832EE0" w14:textId="77777777" w:rsidR="00736EDE" w:rsidRPr="00736EDE" w:rsidRDefault="00736EDE" w:rsidP="00CF276F">
      <w:pPr>
        <w:pStyle w:val="BodyText-nospacebelow"/>
        <w:jc w:val="both"/>
      </w:pPr>
    </w:p>
    <w:p w14:paraId="01AA2CAF" w14:textId="77777777" w:rsidR="00736EDE" w:rsidRPr="00736EDE" w:rsidRDefault="00736EDE" w:rsidP="00CF276F">
      <w:pPr>
        <w:pStyle w:val="BodyText-nospacebelow"/>
        <w:jc w:val="both"/>
      </w:pPr>
      <w:r w:rsidRPr="00736EDE">
        <w:t xml:space="preserve">The option will slightly increase the regulatory burden on local governments, </w:t>
      </w:r>
      <w:r w:rsidR="00B8754B">
        <w:t>al</w:t>
      </w:r>
      <w:r w:rsidRPr="00736EDE">
        <w:t>though this burden will be restricted to the creation and disclosure of policy documents. Any further burden will depend on what level of information the local government chooses to make disclosable to the public.</w:t>
      </w:r>
    </w:p>
    <w:p w14:paraId="7880D8DD" w14:textId="77777777" w:rsidR="00736EDE" w:rsidRDefault="00736EDE" w:rsidP="00736EDE">
      <w:pPr>
        <w:pStyle w:val="BodyText-nospacebelow"/>
      </w:pPr>
    </w:p>
    <w:p w14:paraId="6E7CAA94" w14:textId="77777777" w:rsidR="00CF276F" w:rsidRDefault="00CF276F">
      <w:pPr>
        <w:rPr>
          <w:b/>
          <w:bCs/>
          <w:iCs/>
          <w:sz w:val="28"/>
        </w:rPr>
      </w:pPr>
      <w:r>
        <w:rPr>
          <w:b/>
          <w:sz w:val="28"/>
        </w:rPr>
        <w:br w:type="page"/>
      </w:r>
    </w:p>
    <w:p w14:paraId="020C8556" w14:textId="57B92BDC" w:rsidR="00B8754B" w:rsidRDefault="006F4546" w:rsidP="00B8754B">
      <w:pPr>
        <w:pStyle w:val="IntenseQuote"/>
        <w:rPr>
          <w:b/>
          <w:sz w:val="28"/>
        </w:rPr>
      </w:pPr>
      <w:r>
        <w:rPr>
          <w:b/>
          <w:sz w:val="28"/>
        </w:rPr>
        <w:t xml:space="preserve">Expanding </w:t>
      </w:r>
      <w:r w:rsidR="00D97DBA">
        <w:rPr>
          <w:b/>
          <w:sz w:val="28"/>
        </w:rPr>
        <w:t>the information provided to the public</w:t>
      </w:r>
      <w:r w:rsidR="00B8754B">
        <w:rPr>
          <w:b/>
          <w:sz w:val="28"/>
        </w:rPr>
        <w:t>: Guidance questions</w:t>
      </w:r>
    </w:p>
    <w:p w14:paraId="3563D43D" w14:textId="77777777" w:rsidR="007F0A6D" w:rsidRPr="0038519F" w:rsidRDefault="00EC7F6D" w:rsidP="00DB759E">
      <w:pPr>
        <w:pStyle w:val="BodyText2-nospacebelow"/>
        <w:numPr>
          <w:ilvl w:val="0"/>
          <w:numId w:val="19"/>
        </w:numPr>
        <w:spacing w:after="120"/>
        <w:rPr>
          <w:lang w:eastAsia="en-AU"/>
        </w:rPr>
      </w:pPr>
      <w:r w:rsidRPr="0038519F">
        <w:t xml:space="preserve">Which </w:t>
      </w:r>
      <w:r w:rsidR="0038519F" w:rsidRPr="0038519F">
        <w:t xml:space="preserve">of </w:t>
      </w:r>
      <w:r w:rsidR="0038519F" w:rsidRPr="0038519F">
        <w:rPr>
          <w:lang w:eastAsia="en-AU"/>
        </w:rPr>
        <w:t xml:space="preserve">these </w:t>
      </w:r>
      <w:r w:rsidR="00736EDE" w:rsidRPr="0038519F">
        <w:rPr>
          <w:lang w:eastAsia="en-AU"/>
        </w:rPr>
        <w:t>option</w:t>
      </w:r>
      <w:r w:rsidR="0038519F" w:rsidRPr="0038519F">
        <w:rPr>
          <w:lang w:eastAsia="en-AU"/>
        </w:rPr>
        <w:t>s</w:t>
      </w:r>
      <w:r w:rsidR="00736EDE" w:rsidRPr="0038519F">
        <w:rPr>
          <w:lang w:eastAsia="en-AU"/>
        </w:rPr>
        <w:t xml:space="preserve"> do you prefer</w:t>
      </w:r>
      <w:r w:rsidR="0038519F" w:rsidRPr="0038519F">
        <w:rPr>
          <w:lang w:eastAsia="en-AU"/>
        </w:rPr>
        <w:t>?</w:t>
      </w:r>
      <w:r w:rsidR="00736EDE" w:rsidRPr="0038519F">
        <w:rPr>
          <w:lang w:eastAsia="en-AU"/>
        </w:rPr>
        <w:t xml:space="preserve"> </w:t>
      </w:r>
      <w:r w:rsidR="0038519F" w:rsidRPr="0038519F">
        <w:rPr>
          <w:lang w:eastAsia="en-AU"/>
        </w:rPr>
        <w:t xml:space="preserve"> W</w:t>
      </w:r>
      <w:r w:rsidR="00736EDE" w:rsidRPr="0038519F">
        <w:rPr>
          <w:lang w:eastAsia="en-AU"/>
        </w:rPr>
        <w:t>hy?</w:t>
      </w:r>
    </w:p>
    <w:p w14:paraId="51D1F124" w14:textId="75D47421" w:rsidR="0038519F" w:rsidRDefault="00D97DBA" w:rsidP="00DB759E">
      <w:pPr>
        <w:pStyle w:val="BodyText2-nospacebelow"/>
        <w:numPr>
          <w:ilvl w:val="0"/>
          <w:numId w:val="19"/>
        </w:numPr>
        <w:spacing w:after="120"/>
      </w:pPr>
      <w:r>
        <w:rPr>
          <w:lang w:eastAsia="en-AU"/>
        </w:rPr>
        <w:t xml:space="preserve">In </w:t>
      </w:r>
      <w:r w:rsidR="00265998">
        <w:rPr>
          <w:lang w:eastAsia="en-AU"/>
        </w:rPr>
        <w:t>the table below, please indicate whether you think the information should be m</w:t>
      </w:r>
      <w:r w:rsidR="00265998">
        <w:t>ade available, and if so, whether this should be required or at the discretion of the local government:</w:t>
      </w:r>
    </w:p>
    <w:tbl>
      <w:tblPr>
        <w:tblStyle w:val="DLGCTable-Data"/>
        <w:tblW w:w="9026" w:type="dxa"/>
        <w:tblLook w:val="04A0" w:firstRow="1" w:lastRow="0" w:firstColumn="1" w:lastColumn="0" w:noHBand="0" w:noVBand="1"/>
      </w:tblPr>
      <w:tblGrid>
        <w:gridCol w:w="3969"/>
        <w:gridCol w:w="5057"/>
      </w:tblGrid>
      <w:tr w:rsidR="0038519F" w:rsidRPr="00736EDE" w14:paraId="7F35C47C" w14:textId="77777777" w:rsidTr="00B255FC">
        <w:trPr>
          <w:cnfStyle w:val="100000000000" w:firstRow="1" w:lastRow="0" w:firstColumn="0" w:lastColumn="0" w:oddVBand="0" w:evenVBand="0" w:oddHBand="0" w:evenHBand="0" w:firstRowFirstColumn="0" w:firstRowLastColumn="0" w:lastRowFirstColumn="0" w:lastRowLastColumn="0"/>
        </w:trPr>
        <w:tc>
          <w:tcPr>
            <w:tcW w:w="3969" w:type="dxa"/>
          </w:tcPr>
          <w:p w14:paraId="7E1CDFC5" w14:textId="77777777" w:rsidR="0038519F" w:rsidRPr="00736EDE" w:rsidRDefault="0038519F" w:rsidP="00B255FC">
            <w:pPr>
              <w:pStyle w:val="BodyText-nospacebelow"/>
              <w:spacing w:after="100" w:line="276" w:lineRule="auto"/>
              <w:ind w:left="0" w:right="0"/>
            </w:pPr>
            <w:r w:rsidRPr="00736EDE">
              <w:t>Proposal</w:t>
            </w:r>
          </w:p>
        </w:tc>
        <w:tc>
          <w:tcPr>
            <w:tcW w:w="5057" w:type="dxa"/>
          </w:tcPr>
          <w:p w14:paraId="34C185C6" w14:textId="77777777" w:rsidR="0038519F" w:rsidRPr="00736EDE" w:rsidRDefault="00265998" w:rsidP="00B255FC">
            <w:pPr>
              <w:pStyle w:val="BodyText-nospacebelow"/>
              <w:spacing w:after="100" w:line="276" w:lineRule="auto"/>
              <w:ind w:left="0" w:right="0"/>
            </w:pPr>
            <w:r>
              <w:t>Should this be made available: No, optional, required?</w:t>
            </w:r>
          </w:p>
        </w:tc>
      </w:tr>
      <w:tr w:rsidR="0038519F" w:rsidRPr="00736EDE" w14:paraId="7DACA3B6" w14:textId="77777777" w:rsidTr="00B255FC">
        <w:tc>
          <w:tcPr>
            <w:tcW w:w="3969" w:type="dxa"/>
          </w:tcPr>
          <w:p w14:paraId="4CBFB4CB" w14:textId="4491C07B" w:rsidR="0038519F" w:rsidRPr="00736EDE" w:rsidRDefault="0038519F" w:rsidP="00B255FC">
            <w:pPr>
              <w:pStyle w:val="BodyText-nospacebelow"/>
              <w:spacing w:after="100" w:line="276" w:lineRule="auto"/>
              <w:ind w:right="0"/>
            </w:pPr>
            <w:r>
              <w:t>Live streaming video of c</w:t>
            </w:r>
            <w:r w:rsidRPr="00736EDE">
              <w:t>ouncil meetings on local government website</w:t>
            </w:r>
          </w:p>
        </w:tc>
        <w:tc>
          <w:tcPr>
            <w:tcW w:w="5057" w:type="dxa"/>
          </w:tcPr>
          <w:p w14:paraId="7187B160" w14:textId="77777777" w:rsidR="0038519F" w:rsidRPr="00736EDE" w:rsidRDefault="0038519F" w:rsidP="00B255FC">
            <w:pPr>
              <w:pStyle w:val="BodyText-nospacebelow"/>
              <w:spacing w:after="100" w:line="276" w:lineRule="auto"/>
              <w:ind w:right="0"/>
            </w:pPr>
          </w:p>
        </w:tc>
      </w:tr>
      <w:tr w:rsidR="0038519F" w:rsidRPr="00736EDE" w14:paraId="00F84E31" w14:textId="77777777" w:rsidTr="00B255FC">
        <w:tc>
          <w:tcPr>
            <w:tcW w:w="3969" w:type="dxa"/>
          </w:tcPr>
          <w:p w14:paraId="6311766D" w14:textId="6F1269CF" w:rsidR="0038519F" w:rsidRPr="00736EDE" w:rsidRDefault="0038519F" w:rsidP="00B255FC">
            <w:pPr>
              <w:pStyle w:val="BodyText-nospacebelow"/>
              <w:spacing w:after="100" w:line="276" w:lineRule="auto"/>
              <w:ind w:right="0"/>
            </w:pPr>
            <w:r w:rsidRPr="00736EDE">
              <w:t xml:space="preserve">Diversity data on council membership and employees </w:t>
            </w:r>
          </w:p>
        </w:tc>
        <w:tc>
          <w:tcPr>
            <w:tcW w:w="5057" w:type="dxa"/>
          </w:tcPr>
          <w:p w14:paraId="2FF9106F" w14:textId="77777777" w:rsidR="0038519F" w:rsidRPr="00736EDE" w:rsidRDefault="0038519F" w:rsidP="00B255FC">
            <w:pPr>
              <w:pStyle w:val="BodyText-nospacebelow"/>
              <w:spacing w:after="100" w:line="276" w:lineRule="auto"/>
              <w:ind w:right="0"/>
            </w:pPr>
          </w:p>
        </w:tc>
      </w:tr>
      <w:tr w:rsidR="0038519F" w:rsidRPr="00736EDE" w14:paraId="6E32095B" w14:textId="77777777" w:rsidTr="00B255FC">
        <w:tc>
          <w:tcPr>
            <w:tcW w:w="3969" w:type="dxa"/>
          </w:tcPr>
          <w:p w14:paraId="50DC5570" w14:textId="27503DC1" w:rsidR="0038519F" w:rsidRPr="00736EDE" w:rsidRDefault="00246B9A" w:rsidP="00B255FC">
            <w:pPr>
              <w:pStyle w:val="BodyText-nospacebelow"/>
              <w:spacing w:after="100" w:line="276" w:lineRule="auto"/>
              <w:ind w:right="0"/>
            </w:pPr>
            <w:r>
              <w:t>Elected member</w:t>
            </w:r>
            <w:r w:rsidR="0038519F" w:rsidRPr="00736EDE">
              <w:t xml:space="preserve"> attendance rates at council meetings </w:t>
            </w:r>
          </w:p>
        </w:tc>
        <w:tc>
          <w:tcPr>
            <w:tcW w:w="5057" w:type="dxa"/>
          </w:tcPr>
          <w:p w14:paraId="2FC686E7" w14:textId="77777777" w:rsidR="0038519F" w:rsidRPr="00736EDE" w:rsidRDefault="0038519F" w:rsidP="00B255FC">
            <w:pPr>
              <w:pStyle w:val="BodyText-nospacebelow"/>
              <w:spacing w:after="100" w:line="276" w:lineRule="auto"/>
              <w:ind w:right="0"/>
            </w:pPr>
          </w:p>
        </w:tc>
      </w:tr>
      <w:tr w:rsidR="0038519F" w:rsidRPr="00736EDE" w14:paraId="7F95AB68" w14:textId="77777777" w:rsidTr="00B255FC">
        <w:tc>
          <w:tcPr>
            <w:tcW w:w="3969" w:type="dxa"/>
          </w:tcPr>
          <w:p w14:paraId="109DE62B" w14:textId="4C5DE9EF" w:rsidR="0038519F" w:rsidRPr="00736EDE" w:rsidRDefault="00246B9A" w:rsidP="00B255FC">
            <w:pPr>
              <w:pStyle w:val="BodyText-nospacebelow"/>
              <w:spacing w:after="100" w:line="276" w:lineRule="auto"/>
              <w:ind w:right="0"/>
            </w:pPr>
            <w:r>
              <w:t>Elected member</w:t>
            </w:r>
            <w:r w:rsidR="0038519F" w:rsidRPr="00736EDE">
              <w:t xml:space="preserve"> representation at external meetings/events</w:t>
            </w:r>
          </w:p>
        </w:tc>
        <w:tc>
          <w:tcPr>
            <w:tcW w:w="5057" w:type="dxa"/>
          </w:tcPr>
          <w:p w14:paraId="1493A7B6" w14:textId="77777777" w:rsidR="0038519F" w:rsidRPr="00736EDE" w:rsidRDefault="0038519F" w:rsidP="00B255FC">
            <w:pPr>
              <w:pStyle w:val="BodyText-nospacebelow"/>
              <w:spacing w:after="100" w:line="276" w:lineRule="auto"/>
              <w:ind w:right="0"/>
            </w:pPr>
          </w:p>
        </w:tc>
      </w:tr>
      <w:tr w:rsidR="0038519F" w:rsidRPr="00736EDE" w14:paraId="321B94E4" w14:textId="77777777" w:rsidTr="00B255FC">
        <w:tc>
          <w:tcPr>
            <w:tcW w:w="3969" w:type="dxa"/>
          </w:tcPr>
          <w:p w14:paraId="2BDDC120" w14:textId="2D20DF89" w:rsidR="0038519F" w:rsidRPr="00736EDE" w:rsidRDefault="0038519F" w:rsidP="00B255FC">
            <w:pPr>
              <w:pStyle w:val="BodyText-nospacebelow"/>
              <w:spacing w:after="100" w:line="276" w:lineRule="auto"/>
              <w:ind w:right="0"/>
            </w:pPr>
            <w:r w:rsidRPr="00736EDE">
              <w:t>Gender equity ratios for staff salaries</w:t>
            </w:r>
          </w:p>
        </w:tc>
        <w:tc>
          <w:tcPr>
            <w:tcW w:w="5057" w:type="dxa"/>
          </w:tcPr>
          <w:p w14:paraId="7546A457" w14:textId="77777777" w:rsidR="0038519F" w:rsidRPr="00736EDE" w:rsidRDefault="0038519F" w:rsidP="00B255FC">
            <w:pPr>
              <w:pStyle w:val="BodyText-nospacebelow"/>
              <w:spacing w:after="100" w:line="276" w:lineRule="auto"/>
              <w:ind w:right="0"/>
            </w:pPr>
          </w:p>
        </w:tc>
      </w:tr>
      <w:tr w:rsidR="0038519F" w:rsidRPr="00736EDE" w14:paraId="2124C084" w14:textId="77777777" w:rsidTr="00B255FC">
        <w:tc>
          <w:tcPr>
            <w:tcW w:w="3969" w:type="dxa"/>
          </w:tcPr>
          <w:p w14:paraId="672BCF42" w14:textId="359A9474" w:rsidR="0038519F" w:rsidRPr="00736EDE" w:rsidRDefault="0038519F" w:rsidP="00B255FC">
            <w:pPr>
              <w:pStyle w:val="BodyText-nospacebelow"/>
              <w:spacing w:after="100" w:line="276" w:lineRule="auto"/>
              <w:ind w:right="0"/>
            </w:pPr>
            <w:r w:rsidRPr="00736EDE">
              <w:t>Complaints made to the local government and actions taken</w:t>
            </w:r>
          </w:p>
        </w:tc>
        <w:tc>
          <w:tcPr>
            <w:tcW w:w="5057" w:type="dxa"/>
          </w:tcPr>
          <w:p w14:paraId="16BB0E6A" w14:textId="77777777" w:rsidR="0038519F" w:rsidRPr="00736EDE" w:rsidRDefault="0038519F" w:rsidP="00B255FC">
            <w:pPr>
              <w:pStyle w:val="BodyText-nospacebelow"/>
              <w:spacing w:after="100" w:line="276" w:lineRule="auto"/>
              <w:ind w:right="0"/>
            </w:pPr>
          </w:p>
        </w:tc>
      </w:tr>
      <w:tr w:rsidR="0038519F" w:rsidRPr="00736EDE" w14:paraId="3AA34F15" w14:textId="77777777" w:rsidTr="00B255FC">
        <w:tc>
          <w:tcPr>
            <w:tcW w:w="3969" w:type="dxa"/>
          </w:tcPr>
          <w:p w14:paraId="19FA50C9" w14:textId="05A77642" w:rsidR="0038519F" w:rsidRPr="00736EDE" w:rsidRDefault="0038519F" w:rsidP="00B255FC">
            <w:pPr>
              <w:pStyle w:val="BodyText-nospacebelow"/>
              <w:spacing w:after="100" w:line="276" w:lineRule="auto"/>
              <w:ind w:right="0"/>
            </w:pPr>
            <w:r w:rsidRPr="00736EDE">
              <w:t>Performance reviews of CEO and senior employees</w:t>
            </w:r>
          </w:p>
        </w:tc>
        <w:tc>
          <w:tcPr>
            <w:tcW w:w="5057" w:type="dxa"/>
          </w:tcPr>
          <w:p w14:paraId="32F9F7C7" w14:textId="77777777" w:rsidR="0038519F" w:rsidRPr="00736EDE" w:rsidRDefault="0038519F" w:rsidP="00B255FC">
            <w:pPr>
              <w:pStyle w:val="BodyText-nospacebelow"/>
              <w:spacing w:after="100" w:line="276" w:lineRule="auto"/>
              <w:ind w:right="0"/>
            </w:pPr>
          </w:p>
        </w:tc>
      </w:tr>
      <w:tr w:rsidR="0038519F" w:rsidRPr="00736EDE" w14:paraId="1A463E2E" w14:textId="77777777" w:rsidTr="00B255FC">
        <w:tc>
          <w:tcPr>
            <w:tcW w:w="3969" w:type="dxa"/>
          </w:tcPr>
          <w:p w14:paraId="261D9E8A" w14:textId="32DAF377" w:rsidR="0038519F" w:rsidRPr="00736EDE" w:rsidRDefault="0038519F" w:rsidP="00B255FC">
            <w:pPr>
              <w:pStyle w:val="BodyText-nospacebelow"/>
              <w:spacing w:after="100" w:line="276" w:lineRule="auto"/>
              <w:ind w:right="0"/>
            </w:pPr>
            <w:r w:rsidRPr="00736EDE">
              <w:t>Website to provide information on differential rate categories</w:t>
            </w:r>
          </w:p>
        </w:tc>
        <w:tc>
          <w:tcPr>
            <w:tcW w:w="5057" w:type="dxa"/>
          </w:tcPr>
          <w:p w14:paraId="5957D9AA" w14:textId="77777777" w:rsidR="0038519F" w:rsidRPr="00736EDE" w:rsidRDefault="0038519F" w:rsidP="00B255FC">
            <w:pPr>
              <w:pStyle w:val="BodyText-nospacebelow"/>
              <w:spacing w:after="100" w:line="276" w:lineRule="auto"/>
              <w:ind w:right="0"/>
            </w:pPr>
          </w:p>
        </w:tc>
      </w:tr>
      <w:tr w:rsidR="0038519F" w:rsidRPr="00736EDE" w14:paraId="0138C8FD" w14:textId="77777777" w:rsidTr="00B255FC">
        <w:tc>
          <w:tcPr>
            <w:tcW w:w="3969" w:type="dxa"/>
          </w:tcPr>
          <w:p w14:paraId="13CC2203" w14:textId="24406A86" w:rsidR="0038519F" w:rsidRPr="00736EDE" w:rsidRDefault="0038519F" w:rsidP="00B255FC">
            <w:pPr>
              <w:pStyle w:val="BodyText-nospacebelow"/>
              <w:spacing w:after="100" w:line="276" w:lineRule="auto"/>
              <w:ind w:right="0"/>
            </w:pPr>
            <w:r w:rsidRPr="00736EDE">
              <w:t>District maps and ward boundaries</w:t>
            </w:r>
          </w:p>
        </w:tc>
        <w:tc>
          <w:tcPr>
            <w:tcW w:w="5057" w:type="dxa"/>
          </w:tcPr>
          <w:p w14:paraId="19418284" w14:textId="77777777" w:rsidR="0038519F" w:rsidRPr="00736EDE" w:rsidRDefault="0038519F" w:rsidP="00B255FC">
            <w:pPr>
              <w:pStyle w:val="BodyText-nospacebelow"/>
              <w:spacing w:after="100" w:line="276" w:lineRule="auto"/>
              <w:ind w:right="0"/>
            </w:pPr>
          </w:p>
        </w:tc>
      </w:tr>
      <w:tr w:rsidR="0038519F" w:rsidRPr="00736EDE" w14:paraId="387E8736" w14:textId="77777777" w:rsidTr="00B255FC">
        <w:tc>
          <w:tcPr>
            <w:tcW w:w="3969" w:type="dxa"/>
          </w:tcPr>
          <w:p w14:paraId="7A834CE0" w14:textId="77777777" w:rsidR="0038519F" w:rsidRPr="00736EDE" w:rsidRDefault="0038519F" w:rsidP="00B255FC">
            <w:pPr>
              <w:pStyle w:val="BodyText-nospacebelow"/>
              <w:spacing w:after="100" w:line="276" w:lineRule="auto"/>
              <w:ind w:right="0"/>
            </w:pPr>
            <w:r w:rsidRPr="00736EDE">
              <w:t xml:space="preserve">Adverse findings of </w:t>
            </w:r>
            <w:r>
              <w:t xml:space="preserve">the </w:t>
            </w:r>
            <w:r w:rsidRPr="00736EDE">
              <w:t>Standard</w:t>
            </w:r>
            <w:r>
              <w:t>s</w:t>
            </w:r>
            <w:r w:rsidRPr="00736EDE">
              <w:t xml:space="preserve"> Panel, State Administrative Tribunal or Corruption and Crime </w:t>
            </w:r>
            <w:r>
              <w:t>Commission</w:t>
            </w:r>
            <w:r w:rsidRPr="00736EDE">
              <w:t>.</w:t>
            </w:r>
          </w:p>
        </w:tc>
        <w:tc>
          <w:tcPr>
            <w:tcW w:w="5057" w:type="dxa"/>
          </w:tcPr>
          <w:p w14:paraId="1A292BB5" w14:textId="77777777" w:rsidR="0038519F" w:rsidRPr="00736EDE" w:rsidRDefault="0038519F" w:rsidP="00B255FC">
            <w:pPr>
              <w:pStyle w:val="BodyText-nospacebelow"/>
              <w:spacing w:after="100" w:line="276" w:lineRule="auto"/>
              <w:ind w:right="0"/>
            </w:pPr>
          </w:p>
        </w:tc>
      </w:tr>
      <w:tr w:rsidR="00576CE4" w:rsidRPr="00736EDE" w14:paraId="1E6C9742" w14:textId="77777777" w:rsidTr="00B24671">
        <w:tc>
          <w:tcPr>
            <w:tcW w:w="3969" w:type="dxa"/>
          </w:tcPr>
          <w:p w14:paraId="38F905C5" w14:textId="721DD3A0" w:rsidR="00576CE4" w:rsidRPr="00736EDE" w:rsidRDefault="00576CE4" w:rsidP="00B24671">
            <w:pPr>
              <w:pStyle w:val="BodyText-nospacebelow"/>
              <w:spacing w:after="100"/>
            </w:pPr>
            <w:r>
              <w:t>Financial and non-financial benefits register</w:t>
            </w:r>
          </w:p>
        </w:tc>
        <w:tc>
          <w:tcPr>
            <w:tcW w:w="5057" w:type="dxa"/>
          </w:tcPr>
          <w:p w14:paraId="0DA56DA9" w14:textId="125F9FEB" w:rsidR="00576CE4" w:rsidRPr="00736EDE" w:rsidRDefault="00576CE4" w:rsidP="00B24671">
            <w:pPr>
              <w:pStyle w:val="BodyText-nospacebelow"/>
              <w:spacing w:after="100"/>
            </w:pPr>
          </w:p>
        </w:tc>
      </w:tr>
    </w:tbl>
    <w:p w14:paraId="6915EEE4" w14:textId="77777777" w:rsidR="0038519F" w:rsidRDefault="0038519F" w:rsidP="0038519F">
      <w:pPr>
        <w:pStyle w:val="BodyText2-nospacebelow"/>
      </w:pPr>
    </w:p>
    <w:p w14:paraId="097A9D96" w14:textId="77777777" w:rsidR="00265998" w:rsidRDefault="00265998" w:rsidP="00DB759E">
      <w:pPr>
        <w:pStyle w:val="BodyText2-nospacebelow"/>
        <w:numPr>
          <w:ilvl w:val="0"/>
          <w:numId w:val="19"/>
        </w:numPr>
        <w:spacing w:after="120"/>
      </w:pPr>
      <w:r>
        <w:t xml:space="preserve">What other </w:t>
      </w:r>
      <w:r>
        <w:rPr>
          <w:lang w:eastAsia="en-AU"/>
        </w:rPr>
        <w:t>information</w:t>
      </w:r>
      <w:r>
        <w:t xml:space="preserve"> do you think should be made available?</w:t>
      </w:r>
    </w:p>
    <w:p w14:paraId="3FFC4787" w14:textId="77777777" w:rsidR="007F0A6D" w:rsidRDefault="007F0A6D" w:rsidP="00F0563B">
      <w:pPr>
        <w:pStyle w:val="BodyText-nospacebelow"/>
        <w:rPr>
          <w:rFonts w:eastAsiaTheme="majorEastAsia" w:cs="Arial"/>
          <w:bCs/>
          <w:color w:val="2C5C86"/>
          <w:sz w:val="40"/>
          <w:szCs w:val="40"/>
        </w:rPr>
      </w:pPr>
    </w:p>
    <w:p w14:paraId="37372D7C" w14:textId="78E6BFEA" w:rsidR="00626D6B" w:rsidRDefault="00626D6B" w:rsidP="00626D6B">
      <w:pPr>
        <w:pStyle w:val="IntenseQuote"/>
        <w:rPr>
          <w:b/>
          <w:sz w:val="28"/>
        </w:rPr>
      </w:pPr>
      <w:r>
        <w:rPr>
          <w:b/>
          <w:sz w:val="28"/>
        </w:rPr>
        <w:t>Expanding the information available to the public: Guidance question</w:t>
      </w:r>
    </w:p>
    <w:p w14:paraId="4C50DD2F" w14:textId="5AD8C590" w:rsidR="007F0A6D" w:rsidRDefault="00626D6B" w:rsidP="00DB759E">
      <w:pPr>
        <w:pStyle w:val="BodyText2-nospacebelow"/>
        <w:numPr>
          <w:ilvl w:val="0"/>
          <w:numId w:val="19"/>
        </w:numPr>
        <w:spacing w:after="120"/>
        <w:rPr>
          <w:rFonts w:eastAsiaTheme="majorEastAsia" w:cs="Arial"/>
          <w:bCs/>
          <w:color w:val="2C5C86"/>
          <w:sz w:val="40"/>
          <w:szCs w:val="40"/>
        </w:rPr>
      </w:pPr>
      <w:r>
        <w:t xml:space="preserve">Do you have any other suggestions or comments on this topic? </w:t>
      </w:r>
      <w:r w:rsidR="007F0A6D">
        <w:br w:type="page"/>
      </w:r>
    </w:p>
    <w:p w14:paraId="5542376E" w14:textId="77777777" w:rsidR="000600E0" w:rsidRDefault="0047431A" w:rsidP="00E93699">
      <w:pPr>
        <w:pStyle w:val="Heading1-Formblue"/>
      </w:pPr>
      <w:bookmarkStart w:id="1799" w:name="_Toc493746797"/>
      <w:bookmarkStart w:id="1800" w:name="_Toc493768929"/>
      <w:bookmarkStart w:id="1801" w:name="_Toc493860000"/>
      <w:bookmarkStart w:id="1802" w:name="_Toc495491897"/>
      <w:bookmarkStart w:id="1803" w:name="_Toc495497676"/>
      <w:bookmarkStart w:id="1804" w:name="_Toc495671510"/>
      <w:bookmarkStart w:id="1805" w:name="_Toc495676111"/>
      <w:bookmarkStart w:id="1806" w:name="_Toc495678406"/>
      <w:bookmarkStart w:id="1807" w:name="_Toc495998403"/>
      <w:bookmarkStart w:id="1808" w:name="_Toc497741868"/>
      <w:r>
        <w:t>Red Tape Reduction</w:t>
      </w:r>
      <w:bookmarkEnd w:id="1799"/>
      <w:bookmarkEnd w:id="1800"/>
      <w:bookmarkEnd w:id="1801"/>
      <w:bookmarkEnd w:id="1802"/>
      <w:bookmarkEnd w:id="1803"/>
      <w:bookmarkEnd w:id="1804"/>
      <w:bookmarkEnd w:id="1805"/>
      <w:bookmarkEnd w:id="1806"/>
      <w:bookmarkEnd w:id="1807"/>
      <w:bookmarkEnd w:id="1808"/>
      <w:r w:rsidR="00E93699">
        <w:t xml:space="preserve"> </w:t>
      </w:r>
    </w:p>
    <w:p w14:paraId="68554B41" w14:textId="77777777" w:rsidR="000600E0" w:rsidRDefault="000600E0" w:rsidP="00CF276F">
      <w:pPr>
        <w:pStyle w:val="BodyText-nospacebelow"/>
        <w:jc w:val="both"/>
      </w:pPr>
      <w:r w:rsidRPr="000600E0">
        <w:t xml:space="preserve">No-one likes red tape. It gets in the way and makes simple tasks seem difficult. </w:t>
      </w:r>
    </w:p>
    <w:p w14:paraId="2B34E3B7" w14:textId="77777777" w:rsidR="000600E0" w:rsidRDefault="000600E0" w:rsidP="00CF276F">
      <w:pPr>
        <w:pStyle w:val="BodyText-nospacebelow"/>
        <w:jc w:val="both"/>
      </w:pPr>
    </w:p>
    <w:p w14:paraId="2710BAEC" w14:textId="77777777" w:rsidR="000600E0" w:rsidRDefault="000600E0" w:rsidP="00CF276F">
      <w:pPr>
        <w:pStyle w:val="BodyText-nospacebelow"/>
        <w:jc w:val="both"/>
      </w:pPr>
      <w:r w:rsidRPr="000600E0">
        <w:t xml:space="preserve">Distinguishing red tape from vital checks which ensure our government acts in a fair manner, protects members of the community, and that everyone abides by the law, can be difficult. </w:t>
      </w:r>
    </w:p>
    <w:p w14:paraId="47DFC899" w14:textId="77777777" w:rsidR="000600E0" w:rsidRDefault="000600E0" w:rsidP="00CF276F">
      <w:pPr>
        <w:pStyle w:val="BodyText-nospacebelow"/>
        <w:jc w:val="both"/>
      </w:pPr>
    </w:p>
    <w:p w14:paraId="6F1F7FC1" w14:textId="56CCF879" w:rsidR="007F0A6D" w:rsidRDefault="006B54F6" w:rsidP="00CF276F">
      <w:pPr>
        <w:pStyle w:val="BodyText-nospacebelow"/>
        <w:jc w:val="both"/>
      </w:pPr>
      <w:r>
        <w:t xml:space="preserve">Local governments may be subject to unnecessary red tape.  Similarly, they may be unintentionally creating </w:t>
      </w:r>
      <w:r w:rsidR="00FB3726">
        <w:t xml:space="preserve">red tape </w:t>
      </w:r>
      <w:r>
        <w:t xml:space="preserve">for businesses and members of the community.  </w:t>
      </w:r>
      <w:r w:rsidR="000600E0" w:rsidRPr="000600E0">
        <w:t xml:space="preserve">This aspect of the review seeks to </w:t>
      </w:r>
      <w:r>
        <w:t>identify examples of red tape so these can be addressed.</w:t>
      </w:r>
      <w:r w:rsidR="007F0A6D">
        <w:br w:type="page"/>
      </w:r>
    </w:p>
    <w:p w14:paraId="2674F7B7" w14:textId="77777777" w:rsidR="0047431A" w:rsidRDefault="006B54F6" w:rsidP="00124F78">
      <w:pPr>
        <w:pStyle w:val="Heading1"/>
        <w:numPr>
          <w:ilvl w:val="0"/>
          <w:numId w:val="5"/>
        </w:numPr>
      </w:pPr>
      <w:bookmarkStart w:id="1809" w:name="_Toc493746798"/>
      <w:bookmarkStart w:id="1810" w:name="_Toc493768930"/>
      <w:bookmarkStart w:id="1811" w:name="_Toc493860001"/>
      <w:r>
        <w:t xml:space="preserve">  </w:t>
      </w:r>
      <w:bookmarkStart w:id="1812" w:name="_Toc495491898"/>
      <w:bookmarkStart w:id="1813" w:name="_Toc495497677"/>
      <w:bookmarkStart w:id="1814" w:name="_Toc495671511"/>
      <w:bookmarkStart w:id="1815" w:name="_Toc495676112"/>
      <w:bookmarkStart w:id="1816" w:name="_Toc495678407"/>
      <w:bookmarkStart w:id="1817" w:name="_Toc495998404"/>
      <w:bookmarkStart w:id="1818" w:name="_Toc497741869"/>
      <w:r w:rsidR="0047431A">
        <w:t>Reducing red tape</w:t>
      </w:r>
      <w:bookmarkEnd w:id="1809"/>
      <w:bookmarkEnd w:id="1810"/>
      <w:bookmarkEnd w:id="1811"/>
      <w:bookmarkEnd w:id="1812"/>
      <w:bookmarkEnd w:id="1813"/>
      <w:bookmarkEnd w:id="1814"/>
      <w:bookmarkEnd w:id="1815"/>
      <w:bookmarkEnd w:id="1816"/>
      <w:bookmarkEnd w:id="1817"/>
      <w:bookmarkEnd w:id="1818"/>
    </w:p>
    <w:p w14:paraId="704FF0D5" w14:textId="77777777" w:rsidR="0047431A" w:rsidRDefault="0047431A" w:rsidP="00CF276F">
      <w:pPr>
        <w:pStyle w:val="BodyText-nospacebelow"/>
        <w:jc w:val="both"/>
      </w:pPr>
      <w:r w:rsidRPr="0047431A">
        <w:t xml:space="preserve">Modern bureaucracies must strike a delicate balance between </w:t>
      </w:r>
      <w:r w:rsidR="006539BA">
        <w:t>oversight</w:t>
      </w:r>
      <w:r w:rsidRPr="0047431A">
        <w:t xml:space="preserve"> and red tape. Accountability measures that go too far can become regulatory burdens that create </w:t>
      </w:r>
      <w:r w:rsidR="00EC7F6D">
        <w:t xml:space="preserve">unnecessary </w:t>
      </w:r>
      <w:r w:rsidRPr="0047431A">
        <w:t xml:space="preserve">costs </w:t>
      </w:r>
      <w:r w:rsidR="00EC7F6D">
        <w:t>that outweigh their</w:t>
      </w:r>
      <w:r w:rsidR="00EC7F6D" w:rsidRPr="0047431A">
        <w:t xml:space="preserve"> </w:t>
      </w:r>
      <w:r w:rsidRPr="0047431A">
        <w:t>compliance</w:t>
      </w:r>
      <w:r w:rsidR="00EC7F6D">
        <w:t xml:space="preserve"> benefits</w:t>
      </w:r>
      <w:r w:rsidRPr="0047431A">
        <w:t xml:space="preserve">. </w:t>
      </w:r>
    </w:p>
    <w:p w14:paraId="45D714EA" w14:textId="77777777" w:rsidR="0047431A" w:rsidRPr="0047431A" w:rsidRDefault="0047431A" w:rsidP="00CF276F">
      <w:pPr>
        <w:pStyle w:val="BodyText-nospacebelow"/>
        <w:jc w:val="both"/>
      </w:pPr>
    </w:p>
    <w:p w14:paraId="674A2075" w14:textId="77777777" w:rsidR="0047431A" w:rsidRDefault="00EC7F6D" w:rsidP="00CF276F">
      <w:pPr>
        <w:pStyle w:val="BodyText-nospacebelow"/>
        <w:jc w:val="both"/>
      </w:pPr>
      <w:r>
        <w:t>A goal</w:t>
      </w:r>
      <w:r w:rsidR="0047431A" w:rsidRPr="0047431A">
        <w:t xml:space="preserve"> of </w:t>
      </w:r>
      <w:r>
        <w:t>effective</w:t>
      </w:r>
      <w:r w:rsidR="0047431A" w:rsidRPr="0047431A">
        <w:t xml:space="preserve"> regulation is to impose the least amount of resistance to activity, for the lowest cost possible</w:t>
      </w:r>
      <w:r w:rsidR="006539BA">
        <w:t>,</w:t>
      </w:r>
      <w:r w:rsidR="0047431A" w:rsidRPr="0047431A">
        <w:t xml:space="preserve"> </w:t>
      </w:r>
      <w:r w:rsidR="006539BA">
        <w:t>while</w:t>
      </w:r>
      <w:r w:rsidR="0047431A" w:rsidRPr="0047431A">
        <w:t xml:space="preserve"> providing </w:t>
      </w:r>
      <w:r>
        <w:t>a</w:t>
      </w:r>
      <w:r w:rsidRPr="0047431A">
        <w:t xml:space="preserve"> </w:t>
      </w:r>
      <w:r w:rsidR="0047431A" w:rsidRPr="0047431A">
        <w:t xml:space="preserve">governance framework to </w:t>
      </w:r>
      <w:r>
        <w:t>prevent or reduce the number, or seriousness, of</w:t>
      </w:r>
      <w:r w:rsidRPr="0047431A">
        <w:t xml:space="preserve"> </w:t>
      </w:r>
      <w:r w:rsidR="0047431A" w:rsidRPr="0047431A">
        <w:t xml:space="preserve">issues </w:t>
      </w:r>
      <w:r>
        <w:t>in</w:t>
      </w:r>
      <w:r w:rsidRPr="0047431A">
        <w:t xml:space="preserve"> </w:t>
      </w:r>
      <w:r w:rsidR="0047431A" w:rsidRPr="0047431A">
        <w:t xml:space="preserve">a timely </w:t>
      </w:r>
      <w:r>
        <w:t>manner</w:t>
      </w:r>
      <w:r w:rsidR="0047431A" w:rsidRPr="0047431A">
        <w:t>.</w:t>
      </w:r>
    </w:p>
    <w:p w14:paraId="21CC2556" w14:textId="77777777" w:rsidR="0047431A" w:rsidRPr="0047431A" w:rsidRDefault="0047431A" w:rsidP="00CF276F">
      <w:pPr>
        <w:pStyle w:val="BodyText-nospacebelow"/>
        <w:jc w:val="both"/>
      </w:pPr>
    </w:p>
    <w:p w14:paraId="2FC11F3F" w14:textId="77777777" w:rsidR="0047431A" w:rsidRDefault="00EC7F6D" w:rsidP="00CF276F">
      <w:pPr>
        <w:pStyle w:val="BodyText-nospacebelow"/>
        <w:jc w:val="both"/>
      </w:pPr>
      <w:r>
        <w:t>T</w:t>
      </w:r>
      <w:r w:rsidR="0047431A" w:rsidRPr="0047431A">
        <w:t xml:space="preserve">he </w:t>
      </w:r>
      <w:r w:rsidR="007817C6">
        <w:t>Department</w:t>
      </w:r>
      <w:r w:rsidR="0047431A" w:rsidRPr="0047431A">
        <w:t xml:space="preserve"> has </w:t>
      </w:r>
      <w:r>
        <w:t>identified a number of</w:t>
      </w:r>
      <w:r w:rsidR="0047431A" w:rsidRPr="0047431A">
        <w:t xml:space="preserve"> options for reducing red </w:t>
      </w:r>
      <w:r w:rsidR="006539BA">
        <w:t xml:space="preserve">tape </w:t>
      </w:r>
      <w:r w:rsidR="0047431A" w:rsidRPr="0047431A">
        <w:t>with</w:t>
      </w:r>
      <w:r w:rsidR="006539BA">
        <w:t>in</w:t>
      </w:r>
      <w:r w:rsidR="0047431A" w:rsidRPr="0047431A">
        <w:t xml:space="preserve"> the current Act and regulations.  These only represent a partial list of potential options to streamline the legislation that provides the framework for local government.</w:t>
      </w:r>
    </w:p>
    <w:p w14:paraId="1ED886E9" w14:textId="77777777" w:rsidR="0047431A" w:rsidRPr="0047431A" w:rsidRDefault="0047431A" w:rsidP="00CF276F">
      <w:pPr>
        <w:pStyle w:val="BodyText-nospacebelow"/>
        <w:jc w:val="both"/>
      </w:pPr>
    </w:p>
    <w:p w14:paraId="73BC5602" w14:textId="11B9BEF4" w:rsidR="0047431A" w:rsidRDefault="0047431A" w:rsidP="00CF276F">
      <w:pPr>
        <w:pStyle w:val="BodyText-nospacebelow"/>
        <w:jc w:val="both"/>
      </w:pPr>
      <w:r w:rsidRPr="0047431A">
        <w:t>Although this part of the review seeks to cover all aspects of the Act and associated regulations, it does not concern the individual decisions or internal policies used by a local government.  These matters will be considered in phase 2 of the review.</w:t>
      </w:r>
    </w:p>
    <w:p w14:paraId="1B3C81DD" w14:textId="77777777" w:rsidR="00EA38A3" w:rsidRDefault="00EA38A3" w:rsidP="0047431A">
      <w:pPr>
        <w:pStyle w:val="BodyText-nospacebelow"/>
      </w:pPr>
    </w:p>
    <w:p w14:paraId="7B4ECDEE" w14:textId="77777777" w:rsidR="00EA38A3" w:rsidRDefault="00EA38A3" w:rsidP="00EA38A3">
      <w:pPr>
        <w:pStyle w:val="Heading2"/>
        <w:numPr>
          <w:ilvl w:val="1"/>
          <w:numId w:val="100"/>
        </w:numPr>
      </w:pPr>
      <w:bookmarkStart w:id="1819" w:name="_Toc493746805"/>
      <w:bookmarkStart w:id="1820" w:name="_Toc493768937"/>
      <w:bookmarkStart w:id="1821" w:name="_Toc493860008"/>
      <w:bookmarkStart w:id="1822" w:name="_Toc495491899"/>
      <w:bookmarkStart w:id="1823" w:name="_Toc495497678"/>
      <w:bookmarkStart w:id="1824" w:name="_Toc495671512"/>
      <w:bookmarkStart w:id="1825" w:name="_Toc495676113"/>
      <w:bookmarkStart w:id="1826" w:name="_Toc495678408"/>
      <w:bookmarkStart w:id="1827" w:name="_Toc495998405"/>
      <w:bookmarkStart w:id="1828" w:name="_Toc497741870"/>
      <w:r>
        <w:t>Defining red tape</w:t>
      </w:r>
      <w:bookmarkEnd w:id="1819"/>
      <w:bookmarkEnd w:id="1820"/>
      <w:bookmarkEnd w:id="1821"/>
      <w:bookmarkEnd w:id="1822"/>
      <w:bookmarkEnd w:id="1823"/>
      <w:bookmarkEnd w:id="1824"/>
      <w:bookmarkEnd w:id="1825"/>
      <w:bookmarkEnd w:id="1826"/>
      <w:bookmarkEnd w:id="1827"/>
      <w:bookmarkEnd w:id="1828"/>
    </w:p>
    <w:p w14:paraId="193F0AB7" w14:textId="02533825" w:rsidR="00EA38A3" w:rsidRDefault="00EA38A3" w:rsidP="00CF276F">
      <w:pPr>
        <w:pStyle w:val="BodyText-nospacebelow"/>
        <w:jc w:val="both"/>
        <w:rPr>
          <w:lang w:eastAsia="en-AU"/>
        </w:rPr>
      </w:pPr>
      <w:r w:rsidRPr="00BA3483">
        <w:rPr>
          <w:lang w:eastAsia="en-AU"/>
        </w:rPr>
        <w:t xml:space="preserve">Red tape is comprised of </w:t>
      </w:r>
      <w:r>
        <w:rPr>
          <w:lang w:eastAsia="en-AU"/>
        </w:rPr>
        <w:t>time-consuming and excessive</w:t>
      </w:r>
      <w:r w:rsidRPr="00BA3483">
        <w:rPr>
          <w:lang w:eastAsia="en-AU"/>
        </w:rPr>
        <w:t xml:space="preserve"> processes, procedures and paperwork. It imposes costs on government, businesses and individuals through duplicative and confusing regulations, overly complicated forms and </w:t>
      </w:r>
      <w:r>
        <w:rPr>
          <w:lang w:eastAsia="en-AU"/>
        </w:rPr>
        <w:t>excessive</w:t>
      </w:r>
      <w:r w:rsidRPr="00BA3483">
        <w:rPr>
          <w:lang w:eastAsia="en-AU"/>
        </w:rPr>
        <w:t xml:space="preserve"> compliance burdens.</w:t>
      </w:r>
    </w:p>
    <w:p w14:paraId="228ACDA6" w14:textId="77777777" w:rsidR="00EA38A3" w:rsidRPr="00BA3483" w:rsidRDefault="00EA38A3" w:rsidP="00CF276F">
      <w:pPr>
        <w:pStyle w:val="BodyText-nospacebelow"/>
        <w:jc w:val="both"/>
        <w:rPr>
          <w:lang w:eastAsia="en-AU"/>
        </w:rPr>
      </w:pPr>
    </w:p>
    <w:p w14:paraId="42001180" w14:textId="715393EB" w:rsidR="00EA38A3" w:rsidRPr="00BA3483" w:rsidRDefault="00EA38A3" w:rsidP="00CF276F">
      <w:pPr>
        <w:pStyle w:val="BodyText-nospacebelow"/>
        <w:jc w:val="both"/>
        <w:rPr>
          <w:lang w:eastAsia="en-AU"/>
        </w:rPr>
      </w:pPr>
      <w:r w:rsidRPr="00BA3483">
        <w:rPr>
          <w:lang w:eastAsia="en-AU"/>
        </w:rPr>
        <w:t>In the context of th</w:t>
      </w:r>
      <w:r>
        <w:rPr>
          <w:lang w:eastAsia="en-AU"/>
        </w:rPr>
        <w:t xml:space="preserve">is </w:t>
      </w:r>
      <w:r w:rsidRPr="00BA3483">
        <w:rPr>
          <w:lang w:eastAsia="en-AU"/>
        </w:rPr>
        <w:t>review</w:t>
      </w:r>
      <w:r>
        <w:rPr>
          <w:lang w:eastAsia="en-AU"/>
        </w:rPr>
        <w:t>,</w:t>
      </w:r>
      <w:r w:rsidRPr="00BA3483">
        <w:rPr>
          <w:lang w:eastAsia="en-AU"/>
        </w:rPr>
        <w:t xml:space="preserve"> some examples of red tape reduction burdens could be:</w:t>
      </w:r>
    </w:p>
    <w:p w14:paraId="17AC3E2F" w14:textId="697A3510" w:rsidR="00EA38A3" w:rsidRPr="00BA3483" w:rsidRDefault="00EA38A3" w:rsidP="00CF276F">
      <w:pPr>
        <w:pStyle w:val="BodyText-nospacebelow"/>
        <w:numPr>
          <w:ilvl w:val="0"/>
          <w:numId w:val="78"/>
        </w:numPr>
        <w:jc w:val="both"/>
        <w:rPr>
          <w:lang w:eastAsia="en-AU"/>
        </w:rPr>
      </w:pPr>
      <w:r w:rsidRPr="00BA3483">
        <w:rPr>
          <w:lang w:eastAsia="en-AU"/>
        </w:rPr>
        <w:t xml:space="preserve">Unnecessary or out-of-date reporting requirements imposed on local governments – regulatory requirements </w:t>
      </w:r>
      <w:r>
        <w:rPr>
          <w:lang w:eastAsia="en-AU"/>
        </w:rPr>
        <w:t xml:space="preserve">that </w:t>
      </w:r>
      <w:r w:rsidRPr="00BA3483">
        <w:rPr>
          <w:lang w:eastAsia="en-AU"/>
        </w:rPr>
        <w:t>may no longer have any benefit in the present day operations of local governments</w:t>
      </w:r>
      <w:r>
        <w:rPr>
          <w:lang w:eastAsia="en-AU"/>
        </w:rPr>
        <w:t>, or where the</w:t>
      </w:r>
      <w:r w:rsidRPr="00BA3483">
        <w:rPr>
          <w:lang w:eastAsia="en-AU"/>
        </w:rPr>
        <w:t xml:space="preserve"> rationale for imposing these requirements no longer exist</w:t>
      </w:r>
      <w:r>
        <w:rPr>
          <w:lang w:eastAsia="en-AU"/>
        </w:rPr>
        <w:t>s</w:t>
      </w:r>
      <w:r w:rsidRPr="00BA3483">
        <w:rPr>
          <w:lang w:eastAsia="en-AU"/>
        </w:rPr>
        <w:t>.</w:t>
      </w:r>
    </w:p>
    <w:p w14:paraId="45DA4D04" w14:textId="77777777" w:rsidR="00EA38A3" w:rsidRPr="00BA3483" w:rsidRDefault="00EA38A3" w:rsidP="00CF276F">
      <w:pPr>
        <w:pStyle w:val="BodyText-nospacebelow"/>
        <w:numPr>
          <w:ilvl w:val="0"/>
          <w:numId w:val="78"/>
        </w:numPr>
        <w:jc w:val="both"/>
        <w:rPr>
          <w:lang w:eastAsia="en-AU"/>
        </w:rPr>
      </w:pPr>
      <w:r w:rsidRPr="00BA3483">
        <w:rPr>
          <w:lang w:eastAsia="en-AU"/>
        </w:rPr>
        <w:t xml:space="preserve">The one size fits all approach where smaller local governments are disproportionately and negatively affected by compliance requirements. </w:t>
      </w:r>
    </w:p>
    <w:p w14:paraId="62C97847" w14:textId="77777777" w:rsidR="00EA38A3" w:rsidRPr="00BA3483" w:rsidRDefault="00EA38A3" w:rsidP="00CF276F">
      <w:pPr>
        <w:pStyle w:val="BodyText-nospacebelow"/>
        <w:numPr>
          <w:ilvl w:val="0"/>
          <w:numId w:val="78"/>
        </w:numPr>
        <w:jc w:val="both"/>
        <w:rPr>
          <w:lang w:eastAsia="en-AU"/>
        </w:rPr>
      </w:pPr>
      <w:r w:rsidRPr="00BA3483">
        <w:rPr>
          <w:lang w:eastAsia="en-AU"/>
        </w:rPr>
        <w:t xml:space="preserve">Requiring local governments to collect unnecessary data or requesting data that is already collected elsewhere </w:t>
      </w:r>
      <w:r>
        <w:rPr>
          <w:lang w:eastAsia="en-AU"/>
        </w:rPr>
        <w:t>with</w:t>
      </w:r>
      <w:r w:rsidRPr="00BA3483">
        <w:rPr>
          <w:lang w:eastAsia="en-AU"/>
        </w:rPr>
        <w:t xml:space="preserve">in State Government. If the information can be sourced elsewhere, this should be preferred over requiring a local government to collect, store and submit information to State Government. </w:t>
      </w:r>
    </w:p>
    <w:p w14:paraId="66183639" w14:textId="77777777" w:rsidR="00EA38A3" w:rsidRPr="00BA3483" w:rsidRDefault="00EA38A3" w:rsidP="00CF276F">
      <w:pPr>
        <w:pStyle w:val="BodyText-nospacebelow"/>
        <w:numPr>
          <w:ilvl w:val="0"/>
          <w:numId w:val="78"/>
        </w:numPr>
        <w:jc w:val="both"/>
        <w:rPr>
          <w:lang w:eastAsia="en-AU"/>
        </w:rPr>
      </w:pPr>
      <w:r w:rsidRPr="00BA3483">
        <w:rPr>
          <w:lang w:eastAsia="en-AU"/>
        </w:rPr>
        <w:t>Poor coordination between local government and other State Government agencies regarding applications and approvals.</w:t>
      </w:r>
    </w:p>
    <w:p w14:paraId="49E52144" w14:textId="77777777" w:rsidR="00EA38A3" w:rsidRPr="00BA3483" w:rsidRDefault="00EA38A3" w:rsidP="00CF276F">
      <w:pPr>
        <w:pStyle w:val="BodyText-nospacebelow"/>
        <w:numPr>
          <w:ilvl w:val="0"/>
          <w:numId w:val="78"/>
        </w:numPr>
        <w:jc w:val="both"/>
        <w:rPr>
          <w:lang w:eastAsia="en-AU"/>
        </w:rPr>
      </w:pPr>
      <w:r w:rsidRPr="00BA3483">
        <w:rPr>
          <w:lang w:eastAsia="en-AU"/>
        </w:rPr>
        <w:t xml:space="preserve">Local governments having outdated processes or requirements in their interactions with business and the community. </w:t>
      </w:r>
    </w:p>
    <w:p w14:paraId="763A1181" w14:textId="77777777" w:rsidR="00EA38A3" w:rsidRDefault="00EA38A3" w:rsidP="00EA38A3">
      <w:pPr>
        <w:pStyle w:val="BodyText-nospacebelow"/>
        <w:rPr>
          <w:lang w:eastAsia="en-AU"/>
        </w:rPr>
      </w:pPr>
    </w:p>
    <w:p w14:paraId="2CBE7FF8" w14:textId="40895E5F" w:rsidR="00EA38A3" w:rsidRDefault="00EA38A3" w:rsidP="00EA38A3">
      <w:pPr>
        <w:pStyle w:val="IntenseQuote"/>
        <w:rPr>
          <w:b/>
          <w:sz w:val="28"/>
        </w:rPr>
      </w:pPr>
      <w:r>
        <w:rPr>
          <w:b/>
          <w:sz w:val="28"/>
        </w:rPr>
        <w:t>Defining red tape: Guidance questions</w:t>
      </w:r>
    </w:p>
    <w:p w14:paraId="23401B8C" w14:textId="4090322E" w:rsidR="00EA38A3" w:rsidRPr="00BA3483" w:rsidRDefault="00EA38A3" w:rsidP="00DB759E">
      <w:pPr>
        <w:pStyle w:val="BodyText2-nospacebelow"/>
        <w:numPr>
          <w:ilvl w:val="0"/>
          <w:numId w:val="19"/>
        </w:numPr>
        <w:spacing w:after="120"/>
        <w:rPr>
          <w:lang w:eastAsia="en-AU"/>
        </w:rPr>
      </w:pPr>
      <w:r w:rsidRPr="00BA3483">
        <w:rPr>
          <w:lang w:eastAsia="en-AU"/>
        </w:rPr>
        <w:t xml:space="preserve"> Which regulatory measures within the Act should be removed or amended to reduce the burden on local governments? Please provide detailed analysis with your suggestions.</w:t>
      </w:r>
    </w:p>
    <w:p w14:paraId="6D6D8427" w14:textId="77777777" w:rsidR="00EA38A3" w:rsidRPr="00BA3483" w:rsidRDefault="00EA38A3" w:rsidP="00EA38A3">
      <w:pPr>
        <w:pStyle w:val="BodyText2-nospacebelow"/>
        <w:numPr>
          <w:ilvl w:val="0"/>
          <w:numId w:val="99"/>
        </w:numPr>
        <w:rPr>
          <w:lang w:eastAsia="en-AU"/>
        </w:rPr>
      </w:pPr>
      <w:r w:rsidRPr="00BA3483">
        <w:rPr>
          <w:lang w:eastAsia="en-AU"/>
        </w:rPr>
        <w:t>Briefly describe the red tape problem you have identified.</w:t>
      </w:r>
    </w:p>
    <w:p w14:paraId="1D73B226" w14:textId="77777777" w:rsidR="00EA38A3" w:rsidRPr="00BA3483" w:rsidRDefault="00EA38A3" w:rsidP="00EA38A3">
      <w:pPr>
        <w:pStyle w:val="BodyText2-nospacebelow"/>
        <w:numPr>
          <w:ilvl w:val="0"/>
          <w:numId w:val="99"/>
        </w:numPr>
        <w:rPr>
          <w:lang w:eastAsia="en-AU"/>
        </w:rPr>
      </w:pPr>
      <w:r w:rsidRPr="00BA3483">
        <w:rPr>
          <w:lang w:eastAsia="en-AU"/>
        </w:rPr>
        <w:t>What is the impact of this problem? Please quantify if possible.</w:t>
      </w:r>
    </w:p>
    <w:p w14:paraId="7A861785" w14:textId="77777777" w:rsidR="00EA38A3" w:rsidRDefault="00EA38A3" w:rsidP="00EA38A3">
      <w:pPr>
        <w:pStyle w:val="BodyText2-nospacebelow"/>
        <w:numPr>
          <w:ilvl w:val="0"/>
          <w:numId w:val="99"/>
        </w:numPr>
        <w:rPr>
          <w:lang w:eastAsia="en-AU"/>
        </w:rPr>
      </w:pPr>
      <w:r w:rsidRPr="00BA3483">
        <w:rPr>
          <w:lang w:eastAsia="en-AU"/>
        </w:rPr>
        <w:t>What solutions can you suggest to solve this red tape problem?</w:t>
      </w:r>
    </w:p>
    <w:p w14:paraId="138AC4AD" w14:textId="49697C76" w:rsidR="008C23C5" w:rsidRDefault="008C23C5">
      <w:pPr>
        <w:pStyle w:val="BodyText2-nospacebelow"/>
        <w:rPr>
          <w:lang w:eastAsia="en-AU"/>
        </w:rPr>
      </w:pPr>
    </w:p>
    <w:p w14:paraId="2B4DCEC5" w14:textId="074F1A4A" w:rsidR="008C23C5" w:rsidRPr="00BA3483" w:rsidRDefault="008C23C5" w:rsidP="008C23C5">
      <w:pPr>
        <w:pStyle w:val="BodyText2-nospacebelow"/>
        <w:numPr>
          <w:ilvl w:val="0"/>
          <w:numId w:val="19"/>
        </w:numPr>
        <w:spacing w:after="120"/>
        <w:rPr>
          <w:lang w:eastAsia="en-AU"/>
        </w:rPr>
      </w:pPr>
      <w:r w:rsidRPr="00BA3483">
        <w:rPr>
          <w:lang w:eastAsia="en-AU"/>
        </w:rPr>
        <w:t xml:space="preserve">Which regulatory measures within the Act should be removed or amended to reduce the burden on the </w:t>
      </w:r>
      <w:r>
        <w:rPr>
          <w:lang w:eastAsia="en-AU"/>
        </w:rPr>
        <w:t>community</w:t>
      </w:r>
      <w:r w:rsidRPr="00BA3483">
        <w:rPr>
          <w:lang w:eastAsia="en-AU"/>
        </w:rPr>
        <w:t>? Please provide detailed analysis with your suggestions.</w:t>
      </w:r>
    </w:p>
    <w:p w14:paraId="630215EF" w14:textId="77777777" w:rsidR="008C23C5" w:rsidRPr="00BA3483" w:rsidRDefault="008C23C5">
      <w:pPr>
        <w:pStyle w:val="BodyText2-nospacebelow"/>
        <w:numPr>
          <w:ilvl w:val="0"/>
          <w:numId w:val="140"/>
        </w:numPr>
        <w:rPr>
          <w:lang w:eastAsia="en-AU"/>
        </w:rPr>
      </w:pPr>
      <w:r w:rsidRPr="00BA3483">
        <w:rPr>
          <w:lang w:eastAsia="en-AU"/>
        </w:rPr>
        <w:t>Briefly describe the red tape problem you have identified.</w:t>
      </w:r>
    </w:p>
    <w:p w14:paraId="62105EC5" w14:textId="77777777" w:rsidR="008C23C5" w:rsidRPr="00BA3483" w:rsidRDefault="008C23C5">
      <w:pPr>
        <w:pStyle w:val="BodyText2-nospacebelow"/>
        <w:numPr>
          <w:ilvl w:val="0"/>
          <w:numId w:val="140"/>
        </w:numPr>
        <w:rPr>
          <w:lang w:eastAsia="en-AU"/>
        </w:rPr>
      </w:pPr>
      <w:r w:rsidRPr="00BA3483">
        <w:rPr>
          <w:lang w:eastAsia="en-AU"/>
        </w:rPr>
        <w:t>What is the impact of this problem? Please quantify if possible.</w:t>
      </w:r>
    </w:p>
    <w:p w14:paraId="29108974" w14:textId="77777777" w:rsidR="008C23C5" w:rsidRPr="00BA3483" w:rsidRDefault="008C23C5">
      <w:pPr>
        <w:pStyle w:val="BodyText2-nospacebelow"/>
        <w:numPr>
          <w:ilvl w:val="0"/>
          <w:numId w:val="140"/>
        </w:numPr>
        <w:rPr>
          <w:lang w:eastAsia="en-AU"/>
        </w:rPr>
      </w:pPr>
      <w:r w:rsidRPr="00BA3483">
        <w:rPr>
          <w:lang w:eastAsia="en-AU"/>
        </w:rPr>
        <w:t>What solutions can you suggest to solve this red tape problem?</w:t>
      </w:r>
    </w:p>
    <w:p w14:paraId="68636D6A" w14:textId="77777777" w:rsidR="008C23C5" w:rsidRPr="00BA3483" w:rsidRDefault="008C23C5">
      <w:pPr>
        <w:pStyle w:val="BodyText2-nospacebelow"/>
        <w:rPr>
          <w:lang w:eastAsia="en-AU"/>
        </w:rPr>
      </w:pPr>
    </w:p>
    <w:p w14:paraId="0541409B" w14:textId="77777777" w:rsidR="00EA38A3" w:rsidRPr="004A7A70" w:rsidRDefault="00EA38A3" w:rsidP="00EA38A3">
      <w:pPr>
        <w:pStyle w:val="Heading3"/>
        <w:rPr>
          <w:lang w:eastAsia="en-AU"/>
        </w:rPr>
      </w:pPr>
      <w:bookmarkStart w:id="1829" w:name="_Toc491934352"/>
      <w:bookmarkStart w:id="1830" w:name="_Toc492368982"/>
      <w:bookmarkStart w:id="1831" w:name="_Toc492386709"/>
      <w:bookmarkStart w:id="1832" w:name="_Toc492468951"/>
      <w:bookmarkStart w:id="1833" w:name="_Toc492470627"/>
      <w:bookmarkStart w:id="1834" w:name="_Toc492471307"/>
      <w:bookmarkStart w:id="1835" w:name="_Toc492471429"/>
      <w:bookmarkStart w:id="1836" w:name="_Toc493746806"/>
      <w:bookmarkStart w:id="1837" w:name="_Toc493768938"/>
      <w:bookmarkStart w:id="1838" w:name="_Toc493860009"/>
      <w:bookmarkStart w:id="1839" w:name="_Toc495491900"/>
      <w:bookmarkStart w:id="1840" w:name="_Toc495497679"/>
      <w:bookmarkStart w:id="1841" w:name="_Toc495671513"/>
      <w:bookmarkStart w:id="1842" w:name="_Toc495676114"/>
      <w:bookmarkStart w:id="1843" w:name="_Toc495678409"/>
      <w:bookmarkStart w:id="1844" w:name="_Toc495998406"/>
      <w:bookmarkStart w:id="1845" w:name="_Toc497741871"/>
      <w:r w:rsidRPr="004A7A70">
        <w:rPr>
          <w:lang w:eastAsia="en-AU"/>
        </w:rPr>
        <w:t>Red Tape Rapid Assessment Tool</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14:paraId="33583461" w14:textId="71A37B02" w:rsidR="00EA38A3" w:rsidRDefault="00EA38A3" w:rsidP="00CF276F">
      <w:pPr>
        <w:jc w:val="both"/>
        <w:rPr>
          <w:lang w:eastAsia="en-AU"/>
        </w:rPr>
      </w:pPr>
      <w:r>
        <w:rPr>
          <w:lang w:eastAsia="en-AU"/>
        </w:rPr>
        <w:t>T</w:t>
      </w:r>
      <w:r w:rsidRPr="004A7A70">
        <w:rPr>
          <w:lang w:eastAsia="en-AU"/>
        </w:rPr>
        <w:t xml:space="preserve">he Department of </w:t>
      </w:r>
      <w:r w:rsidR="00C34616">
        <w:rPr>
          <w:lang w:eastAsia="en-AU"/>
        </w:rPr>
        <w:t>Treasury</w:t>
      </w:r>
      <w:r w:rsidR="00C34616" w:rsidRPr="004A7A70">
        <w:rPr>
          <w:lang w:eastAsia="en-AU"/>
        </w:rPr>
        <w:t xml:space="preserve"> </w:t>
      </w:r>
      <w:r w:rsidR="00C34616">
        <w:rPr>
          <w:lang w:eastAsia="en-AU"/>
        </w:rPr>
        <w:t>administers</w:t>
      </w:r>
      <w:r w:rsidRPr="004A7A70">
        <w:rPr>
          <w:lang w:eastAsia="en-AU"/>
        </w:rPr>
        <w:t xml:space="preserve"> the Red Tape </w:t>
      </w:r>
      <w:hyperlink r:id="rId25" w:history="1">
        <w:r w:rsidRPr="004A7A70">
          <w:rPr>
            <w:rStyle w:val="Hyperlink"/>
            <w:lang w:eastAsia="en-AU"/>
          </w:rPr>
          <w:t>Rapid Assessment Tool (RAT)</w:t>
        </w:r>
      </w:hyperlink>
      <w:r w:rsidRPr="004A7A70">
        <w:rPr>
          <w:lang w:eastAsia="en-AU"/>
        </w:rPr>
        <w:t xml:space="preserve"> to provide a framework for examining processes and procedures. The RAT helps identify customers</w:t>
      </w:r>
      <w:r>
        <w:rPr>
          <w:lang w:eastAsia="en-AU"/>
        </w:rPr>
        <w:t>’</w:t>
      </w:r>
      <w:r w:rsidRPr="004A7A70">
        <w:rPr>
          <w:lang w:eastAsia="en-AU"/>
        </w:rPr>
        <w:t xml:space="preserve"> and agencies’ points of frustration or failures in a given process, and clarify options for improvement. </w:t>
      </w:r>
    </w:p>
    <w:p w14:paraId="59DE3E4F" w14:textId="77777777" w:rsidR="00EA38A3" w:rsidRDefault="00EA38A3" w:rsidP="00CF276F">
      <w:pPr>
        <w:jc w:val="both"/>
        <w:rPr>
          <w:lang w:eastAsia="en-AU"/>
        </w:rPr>
      </w:pPr>
      <w:r w:rsidRPr="004A7A70">
        <w:rPr>
          <w:lang w:eastAsia="en-AU"/>
        </w:rPr>
        <w:t xml:space="preserve">The RAT allows </w:t>
      </w:r>
      <w:r>
        <w:rPr>
          <w:lang w:eastAsia="en-AU"/>
        </w:rPr>
        <w:t>users</w:t>
      </w:r>
      <w:r w:rsidRPr="004A7A70">
        <w:rPr>
          <w:lang w:eastAsia="en-AU"/>
        </w:rPr>
        <w:t xml:space="preserve"> to take a step back to see the whole picture, and map out the journey of how different stakeholders interact to achieve the desired outcome. This is appropriate when there is a specific process </w:t>
      </w:r>
      <w:r>
        <w:rPr>
          <w:lang w:eastAsia="en-AU"/>
        </w:rPr>
        <w:t>to be mapped</w:t>
      </w:r>
      <w:r w:rsidRPr="004A7A70">
        <w:rPr>
          <w:lang w:eastAsia="en-AU"/>
        </w:rPr>
        <w:t xml:space="preserve"> to pinpoint areas for improvement (e.g. delays, duplication, bottlenecks, waste, and capacity issues). </w:t>
      </w:r>
    </w:p>
    <w:p w14:paraId="3E094B12" w14:textId="77777777" w:rsidR="00EA38A3" w:rsidRPr="004A7A70" w:rsidRDefault="00EA38A3" w:rsidP="00CF276F">
      <w:pPr>
        <w:pStyle w:val="Heading3"/>
        <w:jc w:val="both"/>
        <w:rPr>
          <w:lang w:eastAsia="en-AU"/>
        </w:rPr>
      </w:pPr>
      <w:bookmarkStart w:id="1846" w:name="_Toc492368983"/>
      <w:bookmarkStart w:id="1847" w:name="_Toc492386710"/>
      <w:bookmarkStart w:id="1848" w:name="_Toc492468952"/>
      <w:bookmarkStart w:id="1849" w:name="_Toc492470628"/>
      <w:bookmarkStart w:id="1850" w:name="_Toc492471308"/>
      <w:bookmarkStart w:id="1851" w:name="_Toc492471430"/>
      <w:bookmarkStart w:id="1852" w:name="_Toc493746807"/>
      <w:bookmarkStart w:id="1853" w:name="_Toc493768939"/>
      <w:bookmarkStart w:id="1854" w:name="_Toc493860010"/>
      <w:bookmarkStart w:id="1855" w:name="_Toc495491901"/>
      <w:bookmarkStart w:id="1856" w:name="_Toc495497680"/>
      <w:bookmarkStart w:id="1857" w:name="_Toc495671514"/>
      <w:bookmarkStart w:id="1858" w:name="_Toc495676115"/>
      <w:bookmarkStart w:id="1859" w:name="_Toc495678410"/>
      <w:bookmarkStart w:id="1860" w:name="_Toc495998407"/>
      <w:bookmarkStart w:id="1861" w:name="_Toc497741872"/>
      <w:r w:rsidRPr="004A7A70">
        <w:rPr>
          <w:lang w:eastAsia="en-AU"/>
        </w:rPr>
        <w:t>Regulatory Burden Measure</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sidRPr="004A7A70">
        <w:rPr>
          <w:lang w:eastAsia="en-AU"/>
        </w:rPr>
        <w:t xml:space="preserve"> </w:t>
      </w:r>
    </w:p>
    <w:p w14:paraId="0591BA60" w14:textId="03219CDD" w:rsidR="00EA38A3" w:rsidRDefault="00C34616" w:rsidP="00CF276F">
      <w:pPr>
        <w:pStyle w:val="BodyText-nospacebelow"/>
        <w:jc w:val="both"/>
        <w:rPr>
          <w:lang w:eastAsia="en-AU"/>
        </w:rPr>
      </w:pPr>
      <w:r>
        <w:rPr>
          <w:lang w:eastAsia="en-AU"/>
        </w:rPr>
        <w:t>The Department of Treasury administers t</w:t>
      </w:r>
      <w:r w:rsidR="00EA38A3" w:rsidRPr="004A7A70">
        <w:rPr>
          <w:lang w:eastAsia="en-AU"/>
        </w:rPr>
        <w:t xml:space="preserve">he </w:t>
      </w:r>
      <w:hyperlink r:id="rId26" w:history="1">
        <w:r w:rsidR="00EA38A3" w:rsidRPr="009B20A9">
          <w:rPr>
            <w:rStyle w:val="Hyperlink"/>
            <w:lang w:eastAsia="en-AU"/>
          </w:rPr>
          <w:t>Regulatory Burden Measure (RBM)</w:t>
        </w:r>
      </w:hyperlink>
      <w:r w:rsidR="00EA38A3" w:rsidRPr="004A7A70">
        <w:rPr>
          <w:lang w:eastAsia="en-AU"/>
        </w:rPr>
        <w:t xml:space="preserve"> to assist in calculating the compliance costs of regulatory proposals on business, individuals and community organisations using an activity-based costing methodology. The tool also calculates the cost of administering regulatory proposals. This helps to illustrate the cost burden on government of enforcing and monitoring a particular regulatory process. </w:t>
      </w:r>
    </w:p>
    <w:p w14:paraId="42A79744" w14:textId="77777777" w:rsidR="00EA38A3" w:rsidRPr="004A7A70" w:rsidRDefault="00EA38A3" w:rsidP="00CF276F">
      <w:pPr>
        <w:pStyle w:val="BodyText-nospacebelow"/>
        <w:jc w:val="both"/>
        <w:rPr>
          <w:lang w:eastAsia="en-AU"/>
        </w:rPr>
      </w:pPr>
    </w:p>
    <w:p w14:paraId="3262F3DB" w14:textId="77777777" w:rsidR="00EA38A3" w:rsidRDefault="00EA38A3" w:rsidP="00CF276F">
      <w:pPr>
        <w:pStyle w:val="BodyText-nospacebelow"/>
        <w:jc w:val="both"/>
        <w:rPr>
          <w:lang w:eastAsia="en-AU"/>
        </w:rPr>
      </w:pPr>
      <w:r w:rsidRPr="004A7A70">
        <w:rPr>
          <w:lang w:eastAsia="en-AU"/>
        </w:rPr>
        <w:t xml:space="preserve">The quality of the cost analysis through the RBM is dependent on the quality of data available. This can help paint a better picture of the administrative and compliance activities imposed, including the volume of work, steps required and time taken to comply. This information will feed into an RBM assessment. </w:t>
      </w:r>
    </w:p>
    <w:p w14:paraId="1931DE78" w14:textId="77777777" w:rsidR="00EA38A3" w:rsidRPr="004A7A70" w:rsidRDefault="00EA38A3" w:rsidP="00CF276F">
      <w:pPr>
        <w:pStyle w:val="BodyText-nospacebelow"/>
        <w:jc w:val="both"/>
        <w:rPr>
          <w:lang w:eastAsia="en-AU"/>
        </w:rPr>
      </w:pPr>
    </w:p>
    <w:p w14:paraId="40F1260B" w14:textId="77777777" w:rsidR="00EA38A3" w:rsidRPr="004A7A70" w:rsidRDefault="00EA38A3" w:rsidP="00CF276F">
      <w:pPr>
        <w:pStyle w:val="BodyText-nospacebelow"/>
        <w:jc w:val="both"/>
        <w:rPr>
          <w:lang w:eastAsia="en-AU"/>
        </w:rPr>
      </w:pPr>
      <w:r w:rsidRPr="004A7A70">
        <w:rPr>
          <w:lang w:eastAsia="en-AU"/>
        </w:rPr>
        <w:t>As an alternative to calculating a final dollar saving, other means of articulating a red tape reduction saving include:</w:t>
      </w:r>
    </w:p>
    <w:p w14:paraId="7E4D51A7" w14:textId="3DFFCD12" w:rsidR="00EA38A3" w:rsidRPr="004A7A70" w:rsidRDefault="00EA38A3" w:rsidP="00CF276F">
      <w:pPr>
        <w:pStyle w:val="BodyText-nospacebelow"/>
        <w:numPr>
          <w:ilvl w:val="0"/>
          <w:numId w:val="79"/>
        </w:numPr>
        <w:jc w:val="both"/>
        <w:rPr>
          <w:lang w:eastAsia="en-AU"/>
        </w:rPr>
      </w:pPr>
      <w:r w:rsidRPr="004A7A70">
        <w:rPr>
          <w:lang w:eastAsia="en-AU"/>
        </w:rPr>
        <w:t>Number of licences, registrations and documents being moved online</w:t>
      </w:r>
    </w:p>
    <w:p w14:paraId="774275D1" w14:textId="35D60BB7" w:rsidR="00EA38A3" w:rsidRPr="004A7A70" w:rsidRDefault="00EA38A3" w:rsidP="00CF276F">
      <w:pPr>
        <w:pStyle w:val="BodyText-nospacebelow"/>
        <w:numPr>
          <w:ilvl w:val="0"/>
          <w:numId w:val="79"/>
        </w:numPr>
        <w:jc w:val="both"/>
        <w:rPr>
          <w:lang w:eastAsia="en-AU"/>
        </w:rPr>
      </w:pPr>
      <w:r w:rsidRPr="004A7A70">
        <w:rPr>
          <w:lang w:eastAsia="en-AU"/>
        </w:rPr>
        <w:t>Number of hours/days/weeks/months saved from going online, reduced waiting times, fewer delays</w:t>
      </w:r>
    </w:p>
    <w:p w14:paraId="4BAEC065" w14:textId="6C3622B5" w:rsidR="00EA38A3" w:rsidRDefault="00EA38A3" w:rsidP="00CF276F">
      <w:pPr>
        <w:pStyle w:val="BodyText-nospacebelow"/>
        <w:numPr>
          <w:ilvl w:val="0"/>
          <w:numId w:val="79"/>
        </w:numPr>
        <w:jc w:val="both"/>
        <w:rPr>
          <w:lang w:eastAsia="en-AU"/>
        </w:rPr>
      </w:pPr>
      <w:r w:rsidRPr="004A7A70">
        <w:rPr>
          <w:lang w:eastAsia="en-AU"/>
        </w:rPr>
        <w:t>Number of paper pages no longer required or being published online</w:t>
      </w:r>
    </w:p>
    <w:p w14:paraId="0A17CB12" w14:textId="77777777" w:rsidR="00EA38A3" w:rsidRPr="004A7A70" w:rsidRDefault="00EA38A3" w:rsidP="00CF276F">
      <w:pPr>
        <w:pStyle w:val="BodyText-nospacebelow"/>
        <w:ind w:left="360"/>
        <w:jc w:val="both"/>
        <w:rPr>
          <w:lang w:eastAsia="en-AU"/>
        </w:rPr>
      </w:pPr>
    </w:p>
    <w:p w14:paraId="4DD625FD" w14:textId="0C021DCD" w:rsidR="00EA38A3" w:rsidRPr="004A7A70" w:rsidRDefault="00EA38A3" w:rsidP="00CF276F">
      <w:pPr>
        <w:jc w:val="both"/>
        <w:rPr>
          <w:lang w:eastAsia="en-AU"/>
        </w:rPr>
      </w:pPr>
      <w:r w:rsidRPr="004A7A70">
        <w:rPr>
          <w:lang w:eastAsia="en-AU"/>
        </w:rPr>
        <w:t>All feedback received on this topic will be analysed and considered for implementation.</w:t>
      </w:r>
      <w:r w:rsidRPr="004A7A70" w:rsidDel="00CE0A84">
        <w:rPr>
          <w:lang w:eastAsia="en-AU"/>
        </w:rPr>
        <w:t xml:space="preserve"> </w:t>
      </w:r>
      <w:r w:rsidRPr="004A7A70">
        <w:rPr>
          <w:lang w:eastAsia="en-AU"/>
        </w:rPr>
        <w:t xml:space="preserve">Easy to implement and well-considered suggestions may be implemented in </w:t>
      </w:r>
      <w:r>
        <w:rPr>
          <w:lang w:eastAsia="en-AU"/>
        </w:rPr>
        <w:t>p</w:t>
      </w:r>
      <w:r w:rsidRPr="004A7A70">
        <w:rPr>
          <w:lang w:eastAsia="en-AU"/>
        </w:rPr>
        <w:t xml:space="preserve">hase </w:t>
      </w:r>
      <w:r>
        <w:rPr>
          <w:lang w:eastAsia="en-AU"/>
        </w:rPr>
        <w:t>1</w:t>
      </w:r>
      <w:r w:rsidRPr="004A7A70">
        <w:rPr>
          <w:lang w:eastAsia="en-AU"/>
        </w:rPr>
        <w:t xml:space="preserve">. More complicated suggestions will be considered for inclusion in </w:t>
      </w:r>
      <w:r>
        <w:rPr>
          <w:lang w:eastAsia="en-AU"/>
        </w:rPr>
        <w:t>p</w:t>
      </w:r>
      <w:r w:rsidRPr="004A7A70">
        <w:rPr>
          <w:lang w:eastAsia="en-AU"/>
        </w:rPr>
        <w:t xml:space="preserve">hase </w:t>
      </w:r>
      <w:r>
        <w:rPr>
          <w:lang w:eastAsia="en-AU"/>
        </w:rPr>
        <w:t>2</w:t>
      </w:r>
      <w:r w:rsidRPr="004A7A70">
        <w:rPr>
          <w:lang w:eastAsia="en-AU"/>
        </w:rPr>
        <w:t xml:space="preserve"> of the review.</w:t>
      </w:r>
    </w:p>
    <w:p w14:paraId="2B7C3A72" w14:textId="77777777" w:rsidR="0047431A" w:rsidRDefault="0047431A" w:rsidP="00EA38A3">
      <w:pPr>
        <w:pStyle w:val="Heading2"/>
        <w:numPr>
          <w:ilvl w:val="1"/>
          <w:numId w:val="100"/>
        </w:numPr>
      </w:pPr>
      <w:bookmarkStart w:id="1862" w:name="_Toc493746799"/>
      <w:bookmarkStart w:id="1863" w:name="_Toc493768931"/>
      <w:bookmarkStart w:id="1864" w:name="_Toc493860002"/>
      <w:bookmarkStart w:id="1865" w:name="_Toc495491902"/>
      <w:bookmarkStart w:id="1866" w:name="_Toc495497681"/>
      <w:bookmarkStart w:id="1867" w:name="_Toc495671515"/>
      <w:bookmarkStart w:id="1868" w:name="_Toc495676116"/>
      <w:bookmarkStart w:id="1869" w:name="_Toc495678411"/>
      <w:bookmarkStart w:id="1870" w:name="_Toc495998408"/>
      <w:bookmarkStart w:id="1871" w:name="_Toc497741873"/>
      <w:r>
        <w:t>Potential red tape reductions</w:t>
      </w:r>
      <w:bookmarkEnd w:id="1862"/>
      <w:bookmarkEnd w:id="1863"/>
      <w:bookmarkEnd w:id="1864"/>
      <w:bookmarkEnd w:id="1865"/>
      <w:bookmarkEnd w:id="1866"/>
      <w:bookmarkEnd w:id="1867"/>
      <w:bookmarkEnd w:id="1868"/>
      <w:bookmarkEnd w:id="1869"/>
      <w:bookmarkEnd w:id="1870"/>
      <w:bookmarkEnd w:id="1871"/>
    </w:p>
    <w:p w14:paraId="57DAF198" w14:textId="77777777" w:rsidR="0047431A" w:rsidRPr="0047431A" w:rsidRDefault="0047431A" w:rsidP="0047431A">
      <w:pPr>
        <w:pStyle w:val="Heading3"/>
        <w:rPr>
          <w:lang w:eastAsia="en-AU"/>
        </w:rPr>
      </w:pPr>
      <w:bookmarkStart w:id="1872" w:name="_Toc491097318"/>
      <w:bookmarkStart w:id="1873" w:name="_Toc491097708"/>
      <w:bookmarkStart w:id="1874" w:name="_Toc491857165"/>
      <w:bookmarkStart w:id="1875" w:name="_Toc491872786"/>
      <w:bookmarkStart w:id="1876" w:name="_Toc491873721"/>
      <w:bookmarkStart w:id="1877" w:name="_Toc491934347"/>
      <w:bookmarkStart w:id="1878" w:name="_Toc492368976"/>
      <w:bookmarkStart w:id="1879" w:name="_Toc492386703"/>
      <w:bookmarkStart w:id="1880" w:name="_Toc492468945"/>
      <w:bookmarkStart w:id="1881" w:name="_Toc492470621"/>
      <w:bookmarkStart w:id="1882" w:name="_Toc492471301"/>
      <w:bookmarkStart w:id="1883" w:name="_Toc492471423"/>
      <w:bookmarkStart w:id="1884" w:name="_Toc493746800"/>
      <w:bookmarkStart w:id="1885" w:name="_Toc493768932"/>
      <w:bookmarkStart w:id="1886" w:name="_Toc493860003"/>
      <w:bookmarkStart w:id="1887" w:name="_Toc495491903"/>
      <w:bookmarkStart w:id="1888" w:name="_Toc495497682"/>
      <w:bookmarkStart w:id="1889" w:name="_Toc495671516"/>
      <w:bookmarkStart w:id="1890" w:name="_Toc495676117"/>
      <w:bookmarkStart w:id="1891" w:name="_Toc495678412"/>
      <w:bookmarkStart w:id="1892" w:name="_Toc495998409"/>
      <w:bookmarkStart w:id="1893" w:name="_Toc497741874"/>
      <w:r w:rsidRPr="0047431A">
        <w:rPr>
          <w:lang w:eastAsia="en-AU"/>
        </w:rPr>
        <w:t>Special Majority</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14:paraId="05732751" w14:textId="3B8B6A6E" w:rsidR="0047431A" w:rsidRDefault="0047431A" w:rsidP="00CF276F">
      <w:pPr>
        <w:pStyle w:val="BodyText-nospacebelow"/>
        <w:jc w:val="both"/>
        <w:rPr>
          <w:lang w:eastAsia="en-AU"/>
        </w:rPr>
      </w:pPr>
      <w:r w:rsidRPr="0047431A">
        <w:rPr>
          <w:lang w:eastAsia="en-AU"/>
        </w:rPr>
        <w:t>Section 1.10 of the Act defines a special majority decision as one made by a council with more than 11 members through a 75</w:t>
      </w:r>
      <w:r w:rsidR="006539BA">
        <w:rPr>
          <w:lang w:eastAsia="en-AU"/>
        </w:rPr>
        <w:t xml:space="preserve"> per cent</w:t>
      </w:r>
      <w:r w:rsidRPr="0047431A">
        <w:rPr>
          <w:lang w:eastAsia="en-AU"/>
        </w:rPr>
        <w:t xml:space="preserve"> majority.  In cases where there are 11 </w:t>
      </w:r>
      <w:r w:rsidR="00246B9A">
        <w:rPr>
          <w:lang w:eastAsia="en-AU"/>
        </w:rPr>
        <w:t>elected member</w:t>
      </w:r>
      <w:r w:rsidRPr="0047431A">
        <w:rPr>
          <w:lang w:eastAsia="en-AU"/>
        </w:rPr>
        <w:t xml:space="preserve">s or fewer, decisions that require a special majority may be made through an absolute </w:t>
      </w:r>
      <w:r w:rsidR="00FB3726">
        <w:rPr>
          <w:lang w:eastAsia="en-AU"/>
        </w:rPr>
        <w:t xml:space="preserve">(more than 50 per cent) </w:t>
      </w:r>
      <w:r w:rsidRPr="0047431A">
        <w:rPr>
          <w:lang w:eastAsia="en-AU"/>
        </w:rPr>
        <w:t>majority.</w:t>
      </w:r>
    </w:p>
    <w:p w14:paraId="2DB812C3" w14:textId="77777777" w:rsidR="0047431A" w:rsidRPr="0047431A" w:rsidRDefault="0047431A" w:rsidP="00CF276F">
      <w:pPr>
        <w:pStyle w:val="BodyText-nospacebelow"/>
        <w:jc w:val="both"/>
        <w:rPr>
          <w:lang w:eastAsia="en-AU"/>
        </w:rPr>
      </w:pPr>
    </w:p>
    <w:p w14:paraId="47B93ABC" w14:textId="13A457DD" w:rsidR="0047431A" w:rsidRDefault="0047431A" w:rsidP="00CF276F">
      <w:pPr>
        <w:pStyle w:val="BodyText-nospacebelow"/>
        <w:jc w:val="both"/>
        <w:rPr>
          <w:lang w:eastAsia="en-AU"/>
        </w:rPr>
      </w:pPr>
      <w:r w:rsidRPr="0047431A">
        <w:rPr>
          <w:lang w:eastAsia="en-AU"/>
        </w:rPr>
        <w:t>The rules concerning special majorities currently apply to</w:t>
      </w:r>
      <w:r w:rsidR="00FB3726">
        <w:rPr>
          <w:lang w:eastAsia="en-AU"/>
        </w:rPr>
        <w:t xml:space="preserve"> just</w:t>
      </w:r>
      <w:r w:rsidRPr="0047431A">
        <w:rPr>
          <w:lang w:eastAsia="en-AU"/>
        </w:rPr>
        <w:t xml:space="preserve"> 18 of the </w:t>
      </w:r>
      <w:r w:rsidR="006539BA">
        <w:rPr>
          <w:lang w:eastAsia="en-AU"/>
        </w:rPr>
        <w:t>S</w:t>
      </w:r>
      <w:r w:rsidRPr="0047431A">
        <w:rPr>
          <w:lang w:eastAsia="en-AU"/>
        </w:rPr>
        <w:t>tate’s local governments</w:t>
      </w:r>
      <w:r w:rsidR="00FB3726">
        <w:rPr>
          <w:lang w:eastAsia="en-AU"/>
        </w:rPr>
        <w:t>, and a</w:t>
      </w:r>
      <w:r w:rsidRPr="0047431A">
        <w:rPr>
          <w:lang w:eastAsia="en-AU"/>
        </w:rPr>
        <w:t xml:space="preserve"> special majority is only required when changing the method of filling the office of mayor or president.</w:t>
      </w:r>
    </w:p>
    <w:p w14:paraId="280F1763" w14:textId="77777777" w:rsidR="0047431A" w:rsidRPr="0047431A" w:rsidRDefault="0047431A" w:rsidP="00CF276F">
      <w:pPr>
        <w:pStyle w:val="BodyText-nospacebelow"/>
        <w:jc w:val="both"/>
        <w:rPr>
          <w:lang w:eastAsia="en-AU"/>
        </w:rPr>
      </w:pPr>
    </w:p>
    <w:p w14:paraId="660109AE" w14:textId="77777777" w:rsidR="0047431A" w:rsidRPr="0047431A" w:rsidRDefault="0047431A" w:rsidP="00CF276F">
      <w:pPr>
        <w:pStyle w:val="BodyText-nospacebelow"/>
        <w:jc w:val="both"/>
        <w:rPr>
          <w:lang w:eastAsia="en-AU"/>
        </w:rPr>
      </w:pPr>
      <w:r w:rsidRPr="0047431A">
        <w:rPr>
          <w:lang w:eastAsia="en-AU"/>
        </w:rPr>
        <w:t xml:space="preserve">This means that a special majority is required very infrequently and by only a few local governments. </w:t>
      </w:r>
    </w:p>
    <w:p w14:paraId="50DD3472" w14:textId="77777777" w:rsidR="00274E93" w:rsidRDefault="00274E93" w:rsidP="00274E93">
      <w:pPr>
        <w:pStyle w:val="IntenseQuote"/>
        <w:rPr>
          <w:b/>
          <w:sz w:val="28"/>
        </w:rPr>
      </w:pPr>
      <w:r>
        <w:rPr>
          <w:b/>
          <w:sz w:val="28"/>
        </w:rPr>
        <w:t>Special majority: Guidance question</w:t>
      </w:r>
    </w:p>
    <w:p w14:paraId="5131EA41" w14:textId="77777777" w:rsidR="0047431A" w:rsidRPr="0047431A" w:rsidRDefault="0047431A" w:rsidP="00DB759E">
      <w:pPr>
        <w:pStyle w:val="BodyText2-nospacebelow"/>
        <w:numPr>
          <w:ilvl w:val="0"/>
          <w:numId w:val="19"/>
        </w:numPr>
        <w:spacing w:after="120"/>
      </w:pPr>
      <w:r w:rsidRPr="0047431A">
        <w:t>Should the provisions for a special majority be removed?</w:t>
      </w:r>
      <w:r w:rsidR="00274E93">
        <w:t xml:space="preserve">  Why or why not?</w:t>
      </w:r>
    </w:p>
    <w:p w14:paraId="02F4AE96" w14:textId="77777777" w:rsidR="0047431A" w:rsidRDefault="0047431A" w:rsidP="00F0563B">
      <w:pPr>
        <w:pStyle w:val="BodyText-nospacebelow"/>
      </w:pPr>
    </w:p>
    <w:p w14:paraId="7FDA6457" w14:textId="77777777" w:rsidR="0047431A" w:rsidRPr="0047431A" w:rsidRDefault="0047431A" w:rsidP="00CF276F">
      <w:pPr>
        <w:pStyle w:val="Heading3"/>
        <w:jc w:val="both"/>
      </w:pPr>
      <w:bookmarkStart w:id="1894" w:name="_Toc491097319"/>
      <w:bookmarkStart w:id="1895" w:name="_Toc491097709"/>
      <w:bookmarkStart w:id="1896" w:name="_Toc491857166"/>
      <w:bookmarkStart w:id="1897" w:name="_Toc491872787"/>
      <w:bookmarkStart w:id="1898" w:name="_Toc491873722"/>
      <w:bookmarkStart w:id="1899" w:name="_Toc491934348"/>
      <w:bookmarkStart w:id="1900" w:name="_Toc492368977"/>
      <w:bookmarkStart w:id="1901" w:name="_Toc492386704"/>
      <w:bookmarkStart w:id="1902" w:name="_Toc492468946"/>
      <w:bookmarkStart w:id="1903" w:name="_Toc492470622"/>
      <w:bookmarkStart w:id="1904" w:name="_Toc492471302"/>
      <w:bookmarkStart w:id="1905" w:name="_Toc492471424"/>
      <w:bookmarkStart w:id="1906" w:name="_Toc493746801"/>
      <w:bookmarkStart w:id="1907" w:name="_Toc493768933"/>
      <w:bookmarkStart w:id="1908" w:name="_Toc493860004"/>
      <w:bookmarkStart w:id="1909" w:name="_Toc495491904"/>
      <w:bookmarkStart w:id="1910" w:name="_Toc495497683"/>
      <w:bookmarkStart w:id="1911" w:name="_Toc495671517"/>
      <w:bookmarkStart w:id="1912" w:name="_Toc495676118"/>
      <w:bookmarkStart w:id="1913" w:name="_Toc495678413"/>
      <w:bookmarkStart w:id="1914" w:name="_Toc495998410"/>
      <w:bookmarkStart w:id="1915" w:name="_Toc497741875"/>
      <w:r w:rsidRPr="0047431A">
        <w:t>Senior employees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p>
    <w:p w14:paraId="7848521E" w14:textId="6D11BF38" w:rsidR="0047431A" w:rsidRDefault="00A15156" w:rsidP="00CF276F">
      <w:pPr>
        <w:pStyle w:val="BodyText-nospacebelow"/>
        <w:jc w:val="both"/>
      </w:pPr>
      <w:r>
        <w:t>A</w:t>
      </w:r>
      <w:r w:rsidR="0047431A" w:rsidRPr="0047431A">
        <w:t xml:space="preserve"> local government may designate employees to be senior employees.</w:t>
      </w:r>
      <w:r>
        <w:rPr>
          <w:rStyle w:val="FootnoteReference"/>
        </w:rPr>
        <w:footnoteReference w:id="20"/>
      </w:r>
      <w:r w:rsidR="0047431A" w:rsidRPr="0047431A">
        <w:t xml:space="preserve">  </w:t>
      </w:r>
      <w:r w:rsidR="00670618">
        <w:t>Currently, l</w:t>
      </w:r>
      <w:r w:rsidR="0047431A" w:rsidRPr="0047431A">
        <w:t xml:space="preserve">ocal government CEOs are required to inform the council of a proposal to employ or dismiss a senior employee.  The council may accept or reject the CEO recommendation but if council rejects the CEO’s recommendation it must provide reasons for doing so. </w:t>
      </w:r>
    </w:p>
    <w:p w14:paraId="09834B0D" w14:textId="77777777" w:rsidR="0047431A" w:rsidRPr="0047431A" w:rsidRDefault="0047431A" w:rsidP="00CF276F">
      <w:pPr>
        <w:pStyle w:val="BodyText-nospacebelow"/>
        <w:jc w:val="both"/>
      </w:pPr>
    </w:p>
    <w:p w14:paraId="0CE2F8D5" w14:textId="77777777" w:rsidR="0047431A" w:rsidRDefault="0047431A" w:rsidP="00CF276F">
      <w:pPr>
        <w:pStyle w:val="BodyText-nospacebelow"/>
        <w:jc w:val="both"/>
      </w:pPr>
      <w:r w:rsidRPr="0047431A">
        <w:t>Some local government CEOs have argued that council involvement in workforce matters related to senior employees confuses the separate roles of council and administration established elsewhere in the Act</w:t>
      </w:r>
      <w:r w:rsidR="00562E68">
        <w:t>,</w:t>
      </w:r>
      <w:r w:rsidRPr="0047431A">
        <w:t xml:space="preserve"> and can be source of tension between council and CEOs</w:t>
      </w:r>
      <w:r w:rsidRPr="0047431A">
        <w:rPr>
          <w:vertAlign w:val="superscript"/>
        </w:rPr>
        <w:footnoteReference w:id="21"/>
      </w:r>
      <w:r w:rsidRPr="0047431A">
        <w:t>.</w:t>
      </w:r>
    </w:p>
    <w:p w14:paraId="7A70C550" w14:textId="77777777" w:rsidR="0047431A" w:rsidRPr="0047431A" w:rsidRDefault="0047431A" w:rsidP="00CF276F">
      <w:pPr>
        <w:pStyle w:val="BodyText-nospacebelow"/>
        <w:jc w:val="both"/>
      </w:pPr>
    </w:p>
    <w:p w14:paraId="534E8845" w14:textId="77777777" w:rsidR="0047431A" w:rsidRDefault="0047431A" w:rsidP="00CF276F">
      <w:pPr>
        <w:pStyle w:val="BodyText-nospacebelow"/>
        <w:jc w:val="both"/>
      </w:pPr>
      <w:r w:rsidRPr="0047431A">
        <w:t>For employees other than senior employees, the Act provides the CEO with broad workforce management powers, including the power to employ, direct</w:t>
      </w:r>
      <w:r w:rsidR="00EC7F6D">
        <w:t>,</w:t>
      </w:r>
      <w:r w:rsidRPr="0047431A">
        <w:t xml:space="preserve"> and dismiss employees.  As a responsibility of the CEO, council has no role in the recruitment, selection and performance management of non-senior employees. </w:t>
      </w:r>
    </w:p>
    <w:p w14:paraId="06CEA2CD" w14:textId="77777777" w:rsidR="0047431A" w:rsidRPr="0047431A" w:rsidRDefault="0047431A" w:rsidP="00CF276F">
      <w:pPr>
        <w:pStyle w:val="BodyText-nospacebelow"/>
        <w:jc w:val="both"/>
      </w:pPr>
    </w:p>
    <w:p w14:paraId="40483CE2" w14:textId="77777777" w:rsidR="0047431A" w:rsidRDefault="0047431A" w:rsidP="00CF276F">
      <w:pPr>
        <w:pStyle w:val="BodyText-nospacebelow"/>
        <w:jc w:val="both"/>
      </w:pPr>
      <w:r w:rsidRPr="0047431A" w:rsidDel="00525082">
        <w:t>The</w:t>
      </w:r>
      <w:r w:rsidRPr="0047431A">
        <w:t xml:space="preserve"> Act does not define what criteria should be used to determine if an employee should be designated as a senior employee.  A local government could</w:t>
      </w:r>
      <w:r w:rsidR="00562E68">
        <w:t>,</w:t>
      </w:r>
      <w:r w:rsidRPr="0047431A">
        <w:t xml:space="preserve"> if it wished, designate all employees as senior employees.</w:t>
      </w:r>
    </w:p>
    <w:p w14:paraId="2E547C99" w14:textId="77777777" w:rsidR="0047431A" w:rsidRPr="0047431A" w:rsidRDefault="0047431A" w:rsidP="00CF276F">
      <w:pPr>
        <w:pStyle w:val="BodyText-nospacebelow"/>
        <w:jc w:val="both"/>
      </w:pPr>
    </w:p>
    <w:p w14:paraId="7A3CD2E5" w14:textId="70A39A5E" w:rsidR="0047431A" w:rsidRDefault="0047431A" w:rsidP="00CF276F">
      <w:pPr>
        <w:pStyle w:val="BodyText-nospacebelow"/>
        <w:jc w:val="both"/>
      </w:pPr>
      <w:r w:rsidRPr="0047431A">
        <w:t xml:space="preserve">Most commonly, local governments will designate employees that report directly to the CEO as senior employees.  As </w:t>
      </w:r>
      <w:r w:rsidR="00347FA6">
        <w:t xml:space="preserve">these people are </w:t>
      </w:r>
      <w:r w:rsidRPr="0047431A">
        <w:t xml:space="preserve">key personnel, often </w:t>
      </w:r>
      <w:r w:rsidR="00347FA6">
        <w:t xml:space="preserve">responsible for </w:t>
      </w:r>
      <w:r w:rsidRPr="0047431A">
        <w:t xml:space="preserve">large portfolios and budgets, council may wish to </w:t>
      </w:r>
      <w:r w:rsidR="00347FA6">
        <w:t>retain</w:t>
      </w:r>
      <w:r w:rsidR="008B0C80" w:rsidRPr="0047431A">
        <w:t xml:space="preserve"> </w:t>
      </w:r>
      <w:r w:rsidRPr="0047431A">
        <w:t>the</w:t>
      </w:r>
      <w:r w:rsidR="00562E68">
        <w:t xml:space="preserve"> current</w:t>
      </w:r>
      <w:r w:rsidRPr="0047431A">
        <w:t xml:space="preserve"> oversight provi</w:t>
      </w:r>
      <w:r w:rsidR="00347FA6">
        <w:t>sions.</w:t>
      </w:r>
    </w:p>
    <w:p w14:paraId="0A7388D1" w14:textId="77777777" w:rsidR="0047431A" w:rsidRPr="0047431A" w:rsidRDefault="0047431A" w:rsidP="00CF276F">
      <w:pPr>
        <w:pStyle w:val="BodyText-nospacebelow"/>
        <w:jc w:val="both"/>
      </w:pPr>
    </w:p>
    <w:p w14:paraId="0D546384" w14:textId="6E7ED4E1" w:rsidR="0047431A" w:rsidRDefault="0047431A" w:rsidP="00CF276F">
      <w:pPr>
        <w:pStyle w:val="BodyText-nospacebelow"/>
        <w:jc w:val="both"/>
      </w:pPr>
      <w:r w:rsidRPr="0047431A">
        <w:t>A</w:t>
      </w:r>
      <w:r w:rsidR="00347FA6">
        <w:t>n alternative view is that</w:t>
      </w:r>
      <w:r w:rsidR="00950E5D">
        <w:t>,</w:t>
      </w:r>
      <w:r w:rsidRPr="0047431A">
        <w:t xml:space="preserve"> as council cannot direct </w:t>
      </w:r>
      <w:r w:rsidR="00FB3726">
        <w:t>local government</w:t>
      </w:r>
      <w:r w:rsidR="00FB3726" w:rsidRPr="0047431A">
        <w:t xml:space="preserve"> </w:t>
      </w:r>
      <w:r w:rsidRPr="0047431A">
        <w:t>staff (other than the CEO)</w:t>
      </w:r>
      <w:r w:rsidR="008B0C80">
        <w:t>,</w:t>
      </w:r>
      <w:r w:rsidRPr="0047431A">
        <w:t xml:space="preserve"> council involvement in workforce issues (beyond those involving the CEO) </w:t>
      </w:r>
      <w:r w:rsidR="00347FA6">
        <w:t>is</w:t>
      </w:r>
      <w:r w:rsidRPr="0047431A">
        <w:t xml:space="preserve"> an unnecessary expansion of council responsibility</w:t>
      </w:r>
      <w:r w:rsidR="00670618">
        <w:t>.  It also can be viewed as a</w:t>
      </w:r>
      <w:r w:rsidR="00347FA6" w:rsidDel="00670618">
        <w:t xml:space="preserve"> </w:t>
      </w:r>
      <w:r w:rsidRPr="0047431A">
        <w:t xml:space="preserve">restriction of the powers and responsibility of the CEO to manage the day to day operations of the local government and implement council decisions. </w:t>
      </w:r>
    </w:p>
    <w:p w14:paraId="797A6B28" w14:textId="77777777" w:rsidR="0047431A" w:rsidRPr="0047431A" w:rsidRDefault="0047431A" w:rsidP="0047431A">
      <w:pPr>
        <w:pStyle w:val="BodyText-nospacebelow"/>
      </w:pPr>
    </w:p>
    <w:p w14:paraId="686DE42D" w14:textId="77777777" w:rsidR="0047431A" w:rsidRPr="0047431A" w:rsidRDefault="0047431A" w:rsidP="0047431A">
      <w:pPr>
        <w:pStyle w:val="Heading2"/>
      </w:pPr>
      <w:bookmarkStart w:id="1916" w:name="_Toc491097320"/>
      <w:bookmarkStart w:id="1917" w:name="_Toc491097710"/>
      <w:bookmarkStart w:id="1918" w:name="_Toc491857167"/>
      <w:bookmarkStart w:id="1919" w:name="_Toc491872788"/>
      <w:bookmarkStart w:id="1920" w:name="_Toc491873723"/>
      <w:bookmarkStart w:id="1921" w:name="_Toc491934349"/>
      <w:bookmarkStart w:id="1922" w:name="_Toc492368978"/>
      <w:bookmarkStart w:id="1923" w:name="_Toc492386705"/>
      <w:bookmarkStart w:id="1924" w:name="_Toc492468947"/>
      <w:bookmarkStart w:id="1925" w:name="_Toc492470623"/>
      <w:bookmarkStart w:id="1926" w:name="_Toc492471303"/>
      <w:bookmarkStart w:id="1927" w:name="_Toc492471425"/>
      <w:bookmarkStart w:id="1928" w:name="_Toc493746802"/>
      <w:bookmarkStart w:id="1929" w:name="_Toc493768934"/>
      <w:bookmarkStart w:id="1930" w:name="_Toc493860005"/>
      <w:bookmarkStart w:id="1931" w:name="_Toc495491905"/>
      <w:bookmarkStart w:id="1932" w:name="_Toc495497684"/>
      <w:bookmarkStart w:id="1933" w:name="_Toc495671518"/>
      <w:bookmarkStart w:id="1934" w:name="_Toc495676119"/>
      <w:bookmarkStart w:id="1935" w:name="_Toc495678414"/>
      <w:bookmarkStart w:id="1936" w:name="_Toc495998411"/>
      <w:bookmarkStart w:id="1937" w:name="_Toc497741876"/>
      <w:r w:rsidRPr="0047431A">
        <w:t>Across Australia</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tbl>
      <w:tblPr>
        <w:tblStyle w:val="DLGCTable-Data"/>
        <w:tblW w:w="8931" w:type="dxa"/>
        <w:tblLayout w:type="fixed"/>
        <w:tblLook w:val="04A0" w:firstRow="1" w:lastRow="0" w:firstColumn="1" w:lastColumn="0" w:noHBand="0" w:noVBand="1"/>
      </w:tblPr>
      <w:tblGrid>
        <w:gridCol w:w="1980"/>
        <w:gridCol w:w="6951"/>
      </w:tblGrid>
      <w:tr w:rsidR="0047431A" w:rsidRPr="0047431A" w14:paraId="516ACB9A" w14:textId="77777777" w:rsidTr="00A7265E">
        <w:trPr>
          <w:cnfStyle w:val="100000000000" w:firstRow="1" w:lastRow="0" w:firstColumn="0" w:lastColumn="0" w:oddVBand="0" w:evenVBand="0" w:oddHBand="0" w:evenHBand="0" w:firstRowFirstColumn="0" w:firstRowLastColumn="0" w:lastRowFirstColumn="0" w:lastRowLastColumn="0"/>
          <w:trHeight w:val="615"/>
        </w:trPr>
        <w:tc>
          <w:tcPr>
            <w:tcW w:w="1980" w:type="dxa"/>
          </w:tcPr>
          <w:p w14:paraId="5AD77BEC" w14:textId="77777777" w:rsidR="0047431A" w:rsidRPr="0047431A" w:rsidRDefault="0047431A" w:rsidP="0047431A">
            <w:pPr>
              <w:pStyle w:val="BodyText-nospacebelow"/>
            </w:pPr>
            <w:r w:rsidRPr="0047431A">
              <w:t>Jurisdiction</w:t>
            </w:r>
          </w:p>
        </w:tc>
        <w:tc>
          <w:tcPr>
            <w:tcW w:w="6951" w:type="dxa"/>
          </w:tcPr>
          <w:p w14:paraId="17B9E3F4" w14:textId="77777777" w:rsidR="0047431A" w:rsidRPr="0047431A" w:rsidRDefault="0047431A" w:rsidP="0047431A">
            <w:pPr>
              <w:pStyle w:val="BodyText-nospacebelow"/>
            </w:pPr>
            <w:r w:rsidRPr="0047431A">
              <w:t>Status</w:t>
            </w:r>
          </w:p>
        </w:tc>
      </w:tr>
      <w:tr w:rsidR="0047431A" w:rsidRPr="0047431A" w14:paraId="46C13FCB" w14:textId="77777777" w:rsidTr="001228B3">
        <w:trPr>
          <w:trHeight w:val="481"/>
        </w:trPr>
        <w:tc>
          <w:tcPr>
            <w:tcW w:w="1980" w:type="dxa"/>
          </w:tcPr>
          <w:p w14:paraId="0911A31F" w14:textId="77777777" w:rsidR="0047431A" w:rsidRPr="0047431A" w:rsidRDefault="00332EB0" w:rsidP="00347FA6">
            <w:pPr>
              <w:pStyle w:val="BodyText-nospacebelow"/>
              <w:spacing w:after="100"/>
            </w:pPr>
            <w:r>
              <w:t>New South Wales</w:t>
            </w:r>
          </w:p>
        </w:tc>
        <w:tc>
          <w:tcPr>
            <w:tcW w:w="6951" w:type="dxa"/>
          </w:tcPr>
          <w:p w14:paraId="04AB9D61" w14:textId="4794142F" w:rsidR="0047431A" w:rsidRPr="0047431A" w:rsidRDefault="0047431A" w:rsidP="00347FA6">
            <w:pPr>
              <w:pStyle w:val="BodyText-nospacebelow"/>
              <w:spacing w:after="100"/>
            </w:pPr>
            <w:r w:rsidRPr="0047431A">
              <w:t>Senior staff are a defined category of person linked to the Executive Band of the Local Government (State) Award. The CEO can appoint (and dismiss) alt</w:t>
            </w:r>
            <w:r w:rsidR="00347FA6">
              <w:t>hough must consult with council</w:t>
            </w:r>
          </w:p>
        </w:tc>
      </w:tr>
      <w:tr w:rsidR="000976EB" w:rsidRPr="0047431A" w14:paraId="0331BB38" w14:textId="77777777" w:rsidTr="00CD184D">
        <w:trPr>
          <w:trHeight w:val="481"/>
        </w:trPr>
        <w:tc>
          <w:tcPr>
            <w:tcW w:w="1980" w:type="dxa"/>
          </w:tcPr>
          <w:p w14:paraId="0EFCB646" w14:textId="77777777" w:rsidR="000976EB" w:rsidRPr="0047431A" w:rsidRDefault="000976EB" w:rsidP="00CD184D">
            <w:pPr>
              <w:pStyle w:val="BodyText-nospacebelow"/>
              <w:spacing w:after="100"/>
            </w:pPr>
            <w:r>
              <w:t>Victoria</w:t>
            </w:r>
          </w:p>
        </w:tc>
        <w:tc>
          <w:tcPr>
            <w:tcW w:w="6951" w:type="dxa"/>
          </w:tcPr>
          <w:p w14:paraId="0FE94611" w14:textId="77777777" w:rsidR="000976EB" w:rsidRPr="0047431A" w:rsidRDefault="000976EB" w:rsidP="00CD184D">
            <w:pPr>
              <w:pStyle w:val="BodyText-nospacebelow"/>
              <w:spacing w:after="100"/>
            </w:pPr>
            <w:r>
              <w:t>Nil</w:t>
            </w:r>
          </w:p>
        </w:tc>
      </w:tr>
      <w:tr w:rsidR="0047431A" w:rsidRPr="0047431A" w14:paraId="3BB2D04E" w14:textId="77777777" w:rsidTr="001228B3">
        <w:trPr>
          <w:trHeight w:val="481"/>
        </w:trPr>
        <w:tc>
          <w:tcPr>
            <w:tcW w:w="1980" w:type="dxa"/>
          </w:tcPr>
          <w:p w14:paraId="7EB9395E" w14:textId="6976F58B" w:rsidR="0047431A" w:rsidRPr="0047431A" w:rsidRDefault="001D1A87" w:rsidP="00347FA6">
            <w:pPr>
              <w:pStyle w:val="BodyText-nospacebelow"/>
              <w:spacing w:after="100"/>
            </w:pPr>
            <w:r>
              <w:t>Queensland</w:t>
            </w:r>
          </w:p>
        </w:tc>
        <w:tc>
          <w:tcPr>
            <w:tcW w:w="6951" w:type="dxa"/>
          </w:tcPr>
          <w:p w14:paraId="22DAB732" w14:textId="2C036A91" w:rsidR="0047431A" w:rsidRPr="0047431A" w:rsidRDefault="001D1A87" w:rsidP="00322DDB">
            <w:pPr>
              <w:pStyle w:val="BodyText-nospacebelow"/>
              <w:spacing w:after="100"/>
            </w:pPr>
            <w:r w:rsidRPr="0047431A">
              <w:t xml:space="preserve">Senior employees are a defined category and </w:t>
            </w:r>
            <w:r>
              <w:t xml:space="preserve">are </w:t>
            </w:r>
            <w:r w:rsidRPr="0047431A">
              <w:t>appointed by a panel that includ</w:t>
            </w:r>
            <w:r>
              <w:t>es the mayor, CEO and one other</w:t>
            </w:r>
          </w:p>
        </w:tc>
      </w:tr>
      <w:tr w:rsidR="0047431A" w:rsidRPr="0047431A" w14:paraId="68546DC8" w14:textId="77777777" w:rsidTr="001228B3">
        <w:trPr>
          <w:trHeight w:val="481"/>
        </w:trPr>
        <w:tc>
          <w:tcPr>
            <w:tcW w:w="1980" w:type="dxa"/>
          </w:tcPr>
          <w:p w14:paraId="5A39B03B" w14:textId="77777777" w:rsidR="0047431A" w:rsidRPr="0047431A" w:rsidRDefault="00332EB0" w:rsidP="00950E5D">
            <w:pPr>
              <w:pStyle w:val="BodyText-nospacebelow"/>
              <w:spacing w:after="100"/>
            </w:pPr>
            <w:r>
              <w:t>South Australia</w:t>
            </w:r>
          </w:p>
        </w:tc>
        <w:tc>
          <w:tcPr>
            <w:tcW w:w="6951" w:type="dxa"/>
          </w:tcPr>
          <w:p w14:paraId="722AA04C" w14:textId="77777777" w:rsidR="0047431A" w:rsidRPr="0047431A" w:rsidRDefault="0047431A" w:rsidP="00347FA6">
            <w:pPr>
              <w:pStyle w:val="BodyText-nospacebelow"/>
              <w:spacing w:after="100"/>
            </w:pPr>
            <w:r w:rsidRPr="0047431A">
              <w:t>No separate senior employee category. The Deputy CEO is appointed by the CEO with the concurrence of the council. All other appointments are made by the CEO.</w:t>
            </w:r>
          </w:p>
        </w:tc>
      </w:tr>
      <w:tr w:rsidR="0047431A" w:rsidRPr="0047431A" w14:paraId="6FE09CF0" w14:textId="77777777" w:rsidTr="001228B3">
        <w:trPr>
          <w:trHeight w:val="481"/>
        </w:trPr>
        <w:tc>
          <w:tcPr>
            <w:tcW w:w="1980" w:type="dxa"/>
          </w:tcPr>
          <w:p w14:paraId="0A047A56" w14:textId="77777777" w:rsidR="0047431A" w:rsidRPr="0047431A" w:rsidRDefault="00332EB0" w:rsidP="00950E5D">
            <w:pPr>
              <w:pStyle w:val="BodyText-nospacebelow"/>
              <w:spacing w:after="100"/>
            </w:pPr>
            <w:r>
              <w:t>Tasmania</w:t>
            </w:r>
          </w:p>
        </w:tc>
        <w:tc>
          <w:tcPr>
            <w:tcW w:w="6951" w:type="dxa"/>
          </w:tcPr>
          <w:p w14:paraId="68D5DF33" w14:textId="346D1D67" w:rsidR="0047431A" w:rsidRPr="0047431A" w:rsidRDefault="0047431A" w:rsidP="00347FA6">
            <w:pPr>
              <w:pStyle w:val="BodyText-nospacebelow"/>
              <w:spacing w:after="100"/>
            </w:pPr>
            <w:r w:rsidRPr="0047431A">
              <w:t>No separate category and the CEO is responsible for the appointment of all s</w:t>
            </w:r>
            <w:r w:rsidR="00347FA6">
              <w:t>taff</w:t>
            </w:r>
          </w:p>
        </w:tc>
      </w:tr>
      <w:tr w:rsidR="0047431A" w:rsidRPr="0047431A" w14:paraId="30D43CCC" w14:textId="77777777" w:rsidTr="001228B3">
        <w:trPr>
          <w:trHeight w:val="481"/>
        </w:trPr>
        <w:tc>
          <w:tcPr>
            <w:tcW w:w="1980" w:type="dxa"/>
          </w:tcPr>
          <w:p w14:paraId="16F1953B" w14:textId="77777777" w:rsidR="0047431A" w:rsidRPr="0047431A" w:rsidRDefault="00332EB0" w:rsidP="00950E5D">
            <w:pPr>
              <w:pStyle w:val="BodyText-nospacebelow"/>
              <w:spacing w:after="100"/>
            </w:pPr>
            <w:r>
              <w:t>Northern Territory</w:t>
            </w:r>
          </w:p>
        </w:tc>
        <w:tc>
          <w:tcPr>
            <w:tcW w:w="6951" w:type="dxa"/>
          </w:tcPr>
          <w:p w14:paraId="4CF6BD98" w14:textId="4ACE83DF" w:rsidR="0047431A" w:rsidRPr="0047431A" w:rsidRDefault="0047431A" w:rsidP="00347FA6">
            <w:pPr>
              <w:pStyle w:val="BodyText-nospacebelow"/>
              <w:spacing w:after="100"/>
            </w:pPr>
            <w:r w:rsidRPr="0047431A">
              <w:t>No separate category and the CEO is responsib</w:t>
            </w:r>
            <w:r w:rsidR="00347FA6">
              <w:t>le for appointment of all staff</w:t>
            </w:r>
          </w:p>
        </w:tc>
      </w:tr>
    </w:tbl>
    <w:p w14:paraId="592D2A03" w14:textId="77777777" w:rsidR="0047431A" w:rsidRPr="0047431A" w:rsidRDefault="0047431A" w:rsidP="0047431A">
      <w:pPr>
        <w:pStyle w:val="BodyText-nospacebelow"/>
      </w:pPr>
    </w:p>
    <w:p w14:paraId="34B18F01" w14:textId="228FD991" w:rsidR="00E10DEE" w:rsidRDefault="00E10DEE" w:rsidP="00E10DEE">
      <w:pPr>
        <w:pStyle w:val="IntenseQuote"/>
        <w:rPr>
          <w:b/>
          <w:sz w:val="28"/>
        </w:rPr>
      </w:pPr>
      <w:r>
        <w:rPr>
          <w:b/>
          <w:sz w:val="28"/>
        </w:rPr>
        <w:t xml:space="preserve">Senior </w:t>
      </w:r>
      <w:r w:rsidR="001D1A87">
        <w:rPr>
          <w:b/>
          <w:sz w:val="28"/>
        </w:rPr>
        <w:t>employees</w:t>
      </w:r>
      <w:r>
        <w:rPr>
          <w:b/>
          <w:sz w:val="28"/>
        </w:rPr>
        <w:t>: Guidance questions</w:t>
      </w:r>
    </w:p>
    <w:p w14:paraId="1AC7F202" w14:textId="5657BB94" w:rsidR="0047431A" w:rsidRDefault="00670618" w:rsidP="00DB759E">
      <w:pPr>
        <w:pStyle w:val="BodyText2-nospacebelow"/>
        <w:numPr>
          <w:ilvl w:val="0"/>
          <w:numId w:val="19"/>
        </w:numPr>
        <w:spacing w:after="120"/>
        <w:rPr>
          <w:lang w:eastAsia="en-AU"/>
        </w:rPr>
      </w:pPr>
      <w:r>
        <w:t xml:space="preserve">Is it appropriate that </w:t>
      </w:r>
      <w:r w:rsidR="0047431A" w:rsidRPr="0047431A">
        <w:rPr>
          <w:lang w:eastAsia="en-AU"/>
        </w:rPr>
        <w:t xml:space="preserve">council have a role in the appointment, dismissal or performance management of </w:t>
      </w:r>
      <w:r w:rsidR="008B0C80">
        <w:rPr>
          <w:lang w:eastAsia="en-AU"/>
        </w:rPr>
        <w:t>any</w:t>
      </w:r>
      <w:r w:rsidR="0047431A" w:rsidRPr="0047431A">
        <w:rPr>
          <w:lang w:eastAsia="en-AU"/>
        </w:rPr>
        <w:t xml:space="preserve"> employees other than the CEO?</w:t>
      </w:r>
      <w:r w:rsidR="00E10DEE">
        <w:rPr>
          <w:lang w:eastAsia="en-AU"/>
        </w:rPr>
        <w:t xml:space="preserve">  Why or why not?</w:t>
      </w:r>
    </w:p>
    <w:p w14:paraId="0EC54674" w14:textId="683F42D8" w:rsidR="0047431A" w:rsidRPr="0047431A" w:rsidRDefault="00D87E3C" w:rsidP="00DB759E">
      <w:pPr>
        <w:pStyle w:val="BodyText2-nospacebelow"/>
        <w:numPr>
          <w:ilvl w:val="0"/>
          <w:numId w:val="19"/>
        </w:numPr>
        <w:spacing w:after="120"/>
      </w:pPr>
      <w:r>
        <w:rPr>
          <w:lang w:eastAsia="en-AU"/>
        </w:rPr>
        <w:t>Is it</w:t>
      </w:r>
      <w:r w:rsidR="00670618">
        <w:rPr>
          <w:lang w:eastAsia="en-AU"/>
        </w:rPr>
        <w:t xml:space="preserve"> necessary for some employees to be designated as </w:t>
      </w:r>
      <w:r w:rsidR="0047431A" w:rsidRPr="0047431A">
        <w:rPr>
          <w:lang w:eastAsia="en-AU"/>
        </w:rPr>
        <w:t>senior employees?</w:t>
      </w:r>
      <w:r w:rsidR="008B0C80">
        <w:rPr>
          <w:lang w:eastAsia="en-AU"/>
        </w:rPr>
        <w:t xml:space="preserve"> </w:t>
      </w:r>
      <w:r w:rsidR="008B0C80" w:rsidDel="00670618">
        <w:rPr>
          <w:lang w:eastAsia="en-AU"/>
        </w:rPr>
        <w:t xml:space="preserve">If so, what </w:t>
      </w:r>
      <w:r w:rsidR="00670618">
        <w:rPr>
          <w:lang w:eastAsia="en-AU"/>
        </w:rPr>
        <w:t>criteria should define which employees are senior employees?</w:t>
      </w:r>
    </w:p>
    <w:p w14:paraId="412C985F" w14:textId="77777777" w:rsidR="0047431A" w:rsidRDefault="0047431A" w:rsidP="00F0563B">
      <w:pPr>
        <w:pStyle w:val="BodyText-nospacebelow"/>
      </w:pPr>
    </w:p>
    <w:p w14:paraId="66DE523F" w14:textId="77777777" w:rsidR="0047431A" w:rsidRPr="0047431A" w:rsidRDefault="0047431A" w:rsidP="0047431A">
      <w:pPr>
        <w:pStyle w:val="Heading3"/>
      </w:pPr>
      <w:bookmarkStart w:id="1938" w:name="_Toc491097321"/>
      <w:bookmarkStart w:id="1939" w:name="_Toc491097711"/>
      <w:bookmarkStart w:id="1940" w:name="_Toc491857168"/>
      <w:bookmarkStart w:id="1941" w:name="_Toc491872789"/>
      <w:bookmarkStart w:id="1942" w:name="_Toc491873724"/>
      <w:bookmarkStart w:id="1943" w:name="_Toc491934350"/>
      <w:bookmarkStart w:id="1944" w:name="_Toc492368979"/>
      <w:bookmarkStart w:id="1945" w:name="_Toc492386706"/>
      <w:bookmarkStart w:id="1946" w:name="_Toc492468948"/>
      <w:bookmarkStart w:id="1947" w:name="_Toc492470624"/>
      <w:bookmarkStart w:id="1948" w:name="_Toc492471304"/>
      <w:bookmarkStart w:id="1949" w:name="_Toc492471426"/>
      <w:bookmarkStart w:id="1950" w:name="_Toc493746803"/>
      <w:bookmarkStart w:id="1951" w:name="_Toc493768935"/>
      <w:bookmarkStart w:id="1952" w:name="_Toc493860006"/>
      <w:bookmarkStart w:id="1953" w:name="_Toc495491906"/>
      <w:bookmarkStart w:id="1954" w:name="_Toc495497685"/>
      <w:bookmarkStart w:id="1955" w:name="_Toc495671519"/>
      <w:bookmarkStart w:id="1956" w:name="_Toc495676120"/>
      <w:bookmarkStart w:id="1957" w:name="_Toc495678415"/>
      <w:bookmarkStart w:id="1958" w:name="_Toc495998412"/>
      <w:bookmarkStart w:id="1959" w:name="_Toc497741877"/>
      <w:r w:rsidRPr="0047431A">
        <w:t xml:space="preserve">Exemption from </w:t>
      </w:r>
      <w:r w:rsidR="009B20A9">
        <w:t>A</w:t>
      </w:r>
      <w:r w:rsidRPr="0047431A">
        <w:t xml:space="preserve">ccounting </w:t>
      </w:r>
      <w:r w:rsidR="009B20A9">
        <w:t>S</w:t>
      </w:r>
      <w:r w:rsidRPr="0047431A">
        <w:t xml:space="preserve">tandard AASB124 — Related </w:t>
      </w:r>
      <w:r w:rsidR="009B20A9">
        <w:t>P</w:t>
      </w:r>
      <w:r w:rsidRPr="0047431A">
        <w:t xml:space="preserve">arty </w:t>
      </w:r>
      <w:bookmarkEnd w:id="1938"/>
      <w:bookmarkEnd w:id="1939"/>
      <w:r w:rsidRPr="0047431A">
        <w:t>Disclosures</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14:paraId="7A061DA4" w14:textId="77777777" w:rsidR="0047431A" w:rsidRPr="0047431A" w:rsidRDefault="0047431A" w:rsidP="00CF276F">
      <w:pPr>
        <w:pStyle w:val="BodyText-nospacebelow"/>
        <w:jc w:val="both"/>
      </w:pPr>
      <w:r w:rsidRPr="0047431A">
        <w:t>The Australian Accounting Standards Board (AASB) establish</w:t>
      </w:r>
      <w:r w:rsidR="008B0C80">
        <w:t>es</w:t>
      </w:r>
      <w:r w:rsidRPr="0047431A">
        <w:t xml:space="preserve"> Accounting Standards that regulate financial transactions and management of financial matters.  Local government treatment of financial reporting must conform with AASB </w:t>
      </w:r>
      <w:r w:rsidR="00562E68">
        <w:t>S</w:t>
      </w:r>
      <w:r w:rsidRPr="0047431A">
        <w:t xml:space="preserve">tandards, although regulations provide that if a provision of the Australian Accounting Standards is inconsistent with a provision of the </w:t>
      </w:r>
      <w:r w:rsidRPr="00917337">
        <w:rPr>
          <w:i/>
        </w:rPr>
        <w:t>Local Government (Financ</w:t>
      </w:r>
      <w:r w:rsidRPr="003B1439">
        <w:rPr>
          <w:i/>
        </w:rPr>
        <w:t>ial Management) Regulations 1996</w:t>
      </w:r>
      <w:r w:rsidRPr="0047431A">
        <w:t>, the provision of the regulations prevails to the extent of the inconsistency.</w:t>
      </w:r>
    </w:p>
    <w:p w14:paraId="57AC05DA" w14:textId="77777777" w:rsidR="008B0C80" w:rsidRDefault="008B0C80" w:rsidP="00CF276F">
      <w:pPr>
        <w:pStyle w:val="BodyText-nospacebelow"/>
        <w:jc w:val="both"/>
      </w:pPr>
    </w:p>
    <w:p w14:paraId="7D695DF9" w14:textId="12B9A132" w:rsidR="0047431A" w:rsidRDefault="0047431A" w:rsidP="00CF276F">
      <w:pPr>
        <w:pStyle w:val="BodyText-nospacebelow"/>
        <w:jc w:val="both"/>
      </w:pPr>
      <w:r w:rsidRPr="0047431A">
        <w:t>In July 2016 changes were made to AASB</w:t>
      </w:r>
      <w:r w:rsidR="00562E68">
        <w:t xml:space="preserve"> </w:t>
      </w:r>
      <w:r w:rsidRPr="0047431A">
        <w:t xml:space="preserve">124 </w:t>
      </w:r>
      <w:r w:rsidR="00562E68">
        <w:t xml:space="preserve">- </w:t>
      </w:r>
      <w:r w:rsidRPr="0047431A">
        <w:t xml:space="preserve">Related Party Disclosures.  The </w:t>
      </w:r>
      <w:r w:rsidR="00562E68">
        <w:t>S</w:t>
      </w:r>
      <w:r w:rsidRPr="0047431A">
        <w:t xml:space="preserve">tandard requires that transactions made between ‘related parties’ are to be disclosed.  Related parties are defined as entities with a close relationship and in the context of local governments could include regional subsidiaries, key management personnel like the </w:t>
      </w:r>
      <w:r w:rsidR="00562E68">
        <w:t>mayor or president</w:t>
      </w:r>
      <w:r w:rsidRPr="0047431A">
        <w:t xml:space="preserve">, </w:t>
      </w:r>
      <w:r w:rsidR="00246B9A">
        <w:t>elected member</w:t>
      </w:r>
      <w:r w:rsidRPr="0047431A">
        <w:t>s and CEO, close family members of key management personnel</w:t>
      </w:r>
      <w:r w:rsidR="00562E68">
        <w:t>,</w:t>
      </w:r>
      <w:r w:rsidRPr="0047431A">
        <w:t xml:space="preserve"> and entities that are controlled by key management personnel. </w:t>
      </w:r>
      <w:r w:rsidR="008A13AB">
        <w:t xml:space="preserve">  </w:t>
      </w:r>
      <w:r w:rsidRPr="0047431A">
        <w:t xml:space="preserve">Only related party transactions that are material </w:t>
      </w:r>
      <w:r w:rsidR="00FD10B3">
        <w:t xml:space="preserve">(significant) </w:t>
      </w:r>
      <w:r w:rsidRPr="0047431A">
        <w:t>are required to be disclosed.</w:t>
      </w:r>
    </w:p>
    <w:p w14:paraId="4E471B3B" w14:textId="77777777" w:rsidR="008A13AB" w:rsidRPr="0047431A" w:rsidRDefault="008A13AB" w:rsidP="00CF276F">
      <w:pPr>
        <w:pStyle w:val="BodyText-nospacebelow"/>
        <w:jc w:val="both"/>
      </w:pPr>
    </w:p>
    <w:p w14:paraId="18EC975A" w14:textId="7669AC8A" w:rsidR="0047431A" w:rsidRPr="0047431A" w:rsidRDefault="0047431A" w:rsidP="00CF276F">
      <w:pPr>
        <w:pStyle w:val="BodyText-nospacebelow"/>
        <w:jc w:val="both"/>
      </w:pPr>
      <w:r w:rsidRPr="0047431A">
        <w:t xml:space="preserve">Provisions in the Act </w:t>
      </w:r>
      <w:r w:rsidR="008A13AB">
        <w:t xml:space="preserve">already </w:t>
      </w:r>
      <w:r w:rsidRPr="0047431A">
        <w:t xml:space="preserve">require local governments to disclose certain financial interests.  Interests must be disclosed through the form of a primary return or annual return by the </w:t>
      </w:r>
      <w:r w:rsidR="00246B9A">
        <w:t>elected member</w:t>
      </w:r>
      <w:r w:rsidR="008A13AB">
        <w:t xml:space="preserve"> and senior staff</w:t>
      </w:r>
      <w:r w:rsidRPr="0047431A">
        <w:t xml:space="preserve">, and lodged with the CEO (or in the case of the CEO disclosing </w:t>
      </w:r>
      <w:r w:rsidR="00562E68">
        <w:t xml:space="preserve">an </w:t>
      </w:r>
      <w:r w:rsidRPr="0047431A">
        <w:t xml:space="preserve">interest, it must be lodged with the </w:t>
      </w:r>
      <w:r w:rsidR="00562E68">
        <w:t>mayor</w:t>
      </w:r>
      <w:r w:rsidRPr="0047431A">
        <w:t xml:space="preserve"> or </w:t>
      </w:r>
      <w:r w:rsidR="00562E68">
        <w:t>president</w:t>
      </w:r>
      <w:r w:rsidRPr="0047431A">
        <w:t xml:space="preserve">). This must be done within three months of the day that they take up that position. The CEO (or the </w:t>
      </w:r>
      <w:r w:rsidR="00322DDB">
        <w:t>m</w:t>
      </w:r>
      <w:r w:rsidRPr="0047431A">
        <w:t xml:space="preserve">ayor or </w:t>
      </w:r>
      <w:r w:rsidR="00322DDB">
        <w:t>p</w:t>
      </w:r>
      <w:r w:rsidRPr="0047431A">
        <w:t>resident) must also provide written acknowledgement of receipt</w:t>
      </w:r>
      <w:r w:rsidR="008A13AB">
        <w:t xml:space="preserve"> of the disclosure</w:t>
      </w:r>
      <w:r w:rsidRPr="0047431A">
        <w:t xml:space="preserve">. </w:t>
      </w:r>
    </w:p>
    <w:p w14:paraId="47772745" w14:textId="77777777" w:rsidR="008A13AB" w:rsidRDefault="008A13AB" w:rsidP="00CF276F">
      <w:pPr>
        <w:pStyle w:val="BodyText-nospacebelow"/>
        <w:jc w:val="both"/>
      </w:pPr>
    </w:p>
    <w:p w14:paraId="412A5829" w14:textId="77777777" w:rsidR="0047431A" w:rsidRPr="0047431A" w:rsidRDefault="0047431A" w:rsidP="00CF276F">
      <w:pPr>
        <w:pStyle w:val="BodyText-nospacebelow"/>
        <w:jc w:val="both"/>
      </w:pPr>
      <w:r w:rsidRPr="0047431A">
        <w:t xml:space="preserve">The </w:t>
      </w:r>
      <w:r w:rsidR="008A13AB">
        <w:t xml:space="preserve">AASB </w:t>
      </w:r>
      <w:r w:rsidRPr="0047431A">
        <w:t xml:space="preserve">disclosure requirements may represent a duplication or overlap as most related party transactions should already be addressed by the Act’s disclosure provisions.  Alternatively, it can be argued that the AASB requirements introduce consistency between local governments </w:t>
      </w:r>
      <w:r w:rsidR="008A13AB">
        <w:t>and</w:t>
      </w:r>
      <w:r w:rsidRPr="0047431A">
        <w:t xml:space="preserve"> private entities</w:t>
      </w:r>
      <w:r w:rsidR="008A13AB">
        <w:t>, and thus</w:t>
      </w:r>
      <w:r w:rsidRPr="0047431A">
        <w:t xml:space="preserve"> strengthen accountability. </w:t>
      </w:r>
    </w:p>
    <w:p w14:paraId="1084EB6C" w14:textId="77777777" w:rsidR="007F0A6D" w:rsidRDefault="007F0A6D" w:rsidP="00F0563B">
      <w:pPr>
        <w:pStyle w:val="BodyText-nospacebelow"/>
      </w:pPr>
    </w:p>
    <w:p w14:paraId="56484F7F" w14:textId="77777777" w:rsidR="00F37252" w:rsidRDefault="001D1A87" w:rsidP="00F37252">
      <w:pPr>
        <w:pStyle w:val="IntenseQuote"/>
        <w:rPr>
          <w:b/>
          <w:sz w:val="28"/>
        </w:rPr>
      </w:pPr>
      <w:r>
        <w:rPr>
          <w:b/>
          <w:sz w:val="28"/>
        </w:rPr>
        <w:t xml:space="preserve">Exemption from accounting standard AASB124 - </w:t>
      </w:r>
      <w:r w:rsidR="00F37252">
        <w:rPr>
          <w:b/>
          <w:sz w:val="28"/>
        </w:rPr>
        <w:t>Related party disclosures: Guidance questions</w:t>
      </w:r>
    </w:p>
    <w:p w14:paraId="2F1E9CFF" w14:textId="77777777" w:rsidR="0047431A" w:rsidRPr="0047431A" w:rsidRDefault="0047431A" w:rsidP="00DB759E">
      <w:pPr>
        <w:pStyle w:val="BodyText2-nospacebelow"/>
        <w:numPr>
          <w:ilvl w:val="0"/>
          <w:numId w:val="19"/>
        </w:numPr>
        <w:spacing w:after="120"/>
      </w:pPr>
      <w:r w:rsidRPr="0047431A">
        <w:t xml:space="preserve">Are the </w:t>
      </w:r>
      <w:r w:rsidRPr="0047431A">
        <w:rPr>
          <w:lang w:eastAsia="en-AU"/>
        </w:rPr>
        <w:t>existing</w:t>
      </w:r>
      <w:r w:rsidRPr="0047431A">
        <w:t xml:space="preserve"> related party disclosure provisions in the Act sufficient without the additional requirements introduced by AASB 124?</w:t>
      </w:r>
      <w:r w:rsidR="00F37252">
        <w:t xml:space="preserve">  Why or why not?</w:t>
      </w:r>
    </w:p>
    <w:p w14:paraId="44799EA8" w14:textId="77777777" w:rsidR="0047431A" w:rsidRDefault="0047431A" w:rsidP="00F0563B">
      <w:pPr>
        <w:pStyle w:val="BodyText-nospacebelow"/>
      </w:pPr>
    </w:p>
    <w:p w14:paraId="08C85978" w14:textId="77777777" w:rsidR="0047431A" w:rsidRPr="0047431A" w:rsidRDefault="0047431A" w:rsidP="0047431A">
      <w:pPr>
        <w:pStyle w:val="Heading3"/>
      </w:pPr>
      <w:bookmarkStart w:id="1960" w:name="_Toc492368980"/>
      <w:bookmarkStart w:id="1961" w:name="_Toc492386707"/>
      <w:bookmarkStart w:id="1962" w:name="_Toc492468949"/>
      <w:bookmarkStart w:id="1963" w:name="_Toc492470625"/>
      <w:bookmarkStart w:id="1964" w:name="_Toc492471305"/>
      <w:bookmarkStart w:id="1965" w:name="_Toc492471427"/>
      <w:bookmarkStart w:id="1966" w:name="_Toc493746804"/>
      <w:bookmarkStart w:id="1967" w:name="_Toc493768936"/>
      <w:bookmarkStart w:id="1968" w:name="_Toc493860007"/>
      <w:bookmarkStart w:id="1969" w:name="_Toc495491907"/>
      <w:bookmarkStart w:id="1970" w:name="_Toc495497686"/>
      <w:bookmarkStart w:id="1971" w:name="_Toc495671520"/>
      <w:bookmarkStart w:id="1972" w:name="_Toc495676121"/>
      <w:bookmarkStart w:id="1973" w:name="_Toc495678416"/>
      <w:bookmarkStart w:id="1974" w:name="_Toc495998413"/>
      <w:bookmarkStart w:id="1975" w:name="_Toc497741878"/>
      <w:r w:rsidRPr="0047431A">
        <w:t>Disposal of Property</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14:paraId="091CFA2F" w14:textId="77777777" w:rsidR="00917337" w:rsidRDefault="00917337" w:rsidP="00CF276F">
      <w:pPr>
        <w:pStyle w:val="BodyText-nospacebelow"/>
        <w:jc w:val="both"/>
      </w:pPr>
      <w:r>
        <w:t>S</w:t>
      </w:r>
      <w:r w:rsidR="0047431A" w:rsidRPr="0047431A">
        <w:t xml:space="preserve">ection 3.58 of the Act </w:t>
      </w:r>
      <w:r>
        <w:t>outlines</w:t>
      </w:r>
      <w:r w:rsidR="0047431A" w:rsidRPr="0047431A">
        <w:t xml:space="preserve"> the process that a local government is required to follow in order to dispose of property. Disposal is defined as </w:t>
      </w:r>
      <w:r>
        <w:t>‘</w:t>
      </w:r>
      <w:r w:rsidR="0047431A" w:rsidRPr="0047431A">
        <w:t>to sell, lease or otherwise dispose of any property (other than money)</w:t>
      </w:r>
      <w:r>
        <w:t>’</w:t>
      </w:r>
      <w:r w:rsidR="0047431A" w:rsidRPr="0047431A">
        <w:t xml:space="preserve">. </w:t>
      </w:r>
    </w:p>
    <w:p w14:paraId="37B68948" w14:textId="77777777" w:rsidR="00DA5B7C" w:rsidRDefault="00DA5B7C" w:rsidP="00CF276F">
      <w:pPr>
        <w:pStyle w:val="BodyText-nospacebelow"/>
        <w:jc w:val="both"/>
      </w:pPr>
    </w:p>
    <w:p w14:paraId="70BD6F70" w14:textId="77777777" w:rsidR="0047431A" w:rsidRPr="0047431A" w:rsidRDefault="00917337" w:rsidP="00CF276F">
      <w:pPr>
        <w:pStyle w:val="BodyText-nospacebelow"/>
        <w:jc w:val="both"/>
      </w:pPr>
      <w:r>
        <w:t>Property can be disposed of</w:t>
      </w:r>
      <w:r w:rsidR="0047431A" w:rsidRPr="0047431A">
        <w:t>:</w:t>
      </w:r>
    </w:p>
    <w:p w14:paraId="2E690530" w14:textId="75A77879" w:rsidR="0047431A" w:rsidRPr="0047431A" w:rsidRDefault="0047431A" w:rsidP="00CF276F">
      <w:pPr>
        <w:pStyle w:val="BodyText-nospacebelow"/>
        <w:numPr>
          <w:ilvl w:val="0"/>
          <w:numId w:val="76"/>
        </w:numPr>
        <w:jc w:val="both"/>
      </w:pPr>
      <w:r w:rsidRPr="0047431A">
        <w:t>through a public auction to the highest bidder; or</w:t>
      </w:r>
    </w:p>
    <w:p w14:paraId="0DF8D2B0" w14:textId="34C5A16F" w:rsidR="0047431A" w:rsidRDefault="0047431A" w:rsidP="00CF276F">
      <w:pPr>
        <w:pStyle w:val="BodyText-nospacebelow"/>
        <w:numPr>
          <w:ilvl w:val="0"/>
          <w:numId w:val="76"/>
        </w:numPr>
        <w:jc w:val="both"/>
      </w:pPr>
      <w:r w:rsidRPr="0047431A">
        <w:t xml:space="preserve">through public tender to the most acceptable tender. </w:t>
      </w:r>
    </w:p>
    <w:p w14:paraId="1DB77205" w14:textId="77777777" w:rsidR="0047431A" w:rsidRPr="0047431A" w:rsidRDefault="0047431A" w:rsidP="00CF276F">
      <w:pPr>
        <w:pStyle w:val="BodyText-nospacebelow"/>
        <w:ind w:left="360"/>
        <w:jc w:val="both"/>
      </w:pPr>
    </w:p>
    <w:p w14:paraId="219DF99E" w14:textId="77777777" w:rsidR="0047431A" w:rsidRDefault="0047431A" w:rsidP="00CF276F">
      <w:pPr>
        <w:pStyle w:val="BodyText-nospacebelow"/>
        <w:jc w:val="both"/>
      </w:pPr>
      <w:r w:rsidRPr="0047431A">
        <w:t xml:space="preserve">Alternatively, a local government can dispose of property if </w:t>
      </w:r>
      <w:r w:rsidR="00917337">
        <w:t>a</w:t>
      </w:r>
      <w:r w:rsidRPr="0047431A">
        <w:t xml:space="preserve"> local public notice is given and submissions sought on the proposed disposal of the property.</w:t>
      </w:r>
    </w:p>
    <w:p w14:paraId="447DE708" w14:textId="77777777" w:rsidR="0047431A" w:rsidRPr="0047431A" w:rsidRDefault="0047431A" w:rsidP="00CF276F">
      <w:pPr>
        <w:pStyle w:val="BodyText-nospacebelow"/>
        <w:jc w:val="both"/>
      </w:pPr>
    </w:p>
    <w:p w14:paraId="2D15066F" w14:textId="77777777" w:rsidR="0047431A" w:rsidRDefault="0047431A" w:rsidP="00CF276F">
      <w:pPr>
        <w:pStyle w:val="BodyText-nospacebelow"/>
        <w:jc w:val="both"/>
      </w:pPr>
      <w:r w:rsidRPr="0047431A">
        <w:t>There are some exemptions to these requirements with respect to real property, property disposed of as part of a trading undertaking</w:t>
      </w:r>
      <w:r w:rsidR="006539BA">
        <w:t>,</w:t>
      </w:r>
      <w:r w:rsidRPr="0047431A">
        <w:t xml:space="preserve"> and other exemptions </w:t>
      </w:r>
      <w:r w:rsidR="00C52977">
        <w:t>set out</w:t>
      </w:r>
      <w:r w:rsidRPr="0047431A">
        <w:t xml:space="preserve"> </w:t>
      </w:r>
      <w:r w:rsidR="00917337">
        <w:t>in</w:t>
      </w:r>
      <w:r w:rsidR="00917337" w:rsidRPr="0047431A">
        <w:t xml:space="preserve"> </w:t>
      </w:r>
      <w:r w:rsidR="00DA5B7C">
        <w:t>r</w:t>
      </w:r>
      <w:r w:rsidRPr="0047431A">
        <w:t xml:space="preserve">egulations. </w:t>
      </w:r>
    </w:p>
    <w:p w14:paraId="1AA492B7" w14:textId="77777777" w:rsidR="0047431A" w:rsidRPr="0047431A" w:rsidRDefault="0047431A" w:rsidP="00CF276F">
      <w:pPr>
        <w:pStyle w:val="BodyText-nospacebelow"/>
        <w:jc w:val="both"/>
      </w:pPr>
    </w:p>
    <w:p w14:paraId="369D2769" w14:textId="77777777" w:rsidR="0047431A" w:rsidRDefault="0047431A" w:rsidP="00CF276F">
      <w:pPr>
        <w:pStyle w:val="BodyText-nospacebelow"/>
        <w:jc w:val="both"/>
      </w:pPr>
      <w:r w:rsidRPr="0047431A">
        <w:t xml:space="preserve">Regulation 30 of the </w:t>
      </w:r>
      <w:r w:rsidRPr="0047431A">
        <w:rPr>
          <w:i/>
        </w:rPr>
        <w:t>Local Government (Functions and General) Regulations 1996</w:t>
      </w:r>
      <w:r w:rsidRPr="0047431A">
        <w:t xml:space="preserve"> provides for </w:t>
      </w:r>
      <w:r w:rsidR="00C52977">
        <w:t>a number of</w:t>
      </w:r>
      <w:r w:rsidRPr="0047431A">
        <w:t xml:space="preserve"> exemptions from these requirements predominately with respect to land transactions. </w:t>
      </w:r>
      <w:r w:rsidR="006539BA">
        <w:t>O</w:t>
      </w:r>
      <w:r w:rsidRPr="0047431A">
        <w:t xml:space="preserve">ther exemptions exist where the requirements of the Act </w:t>
      </w:r>
      <w:r w:rsidR="00C52977">
        <w:t>have</w:t>
      </w:r>
      <w:r w:rsidRPr="0047431A">
        <w:t xml:space="preserve"> been complied with </w:t>
      </w:r>
      <w:r w:rsidR="00C52977">
        <w:t>but</w:t>
      </w:r>
      <w:r w:rsidRPr="0047431A">
        <w:t xml:space="preserve"> the property was not disposed of. </w:t>
      </w:r>
    </w:p>
    <w:p w14:paraId="45FDB213" w14:textId="77777777" w:rsidR="0047431A" w:rsidRDefault="0047431A" w:rsidP="00CF276F">
      <w:pPr>
        <w:pStyle w:val="BodyText-nospacebelow"/>
        <w:jc w:val="both"/>
      </w:pPr>
    </w:p>
    <w:p w14:paraId="30A54EF5" w14:textId="77777777" w:rsidR="0047431A" w:rsidRDefault="006539BA" w:rsidP="00CF276F">
      <w:pPr>
        <w:pStyle w:val="BodyText-nospacebelow"/>
        <w:jc w:val="both"/>
      </w:pPr>
      <w:r>
        <w:t>Two</w:t>
      </w:r>
      <w:r w:rsidR="0047431A" w:rsidRPr="0047431A">
        <w:t xml:space="preserve"> exemptions concern property that has a market value of less than $20,000</w:t>
      </w:r>
      <w:r>
        <w:t>,</w:t>
      </w:r>
      <w:r w:rsidR="0047431A" w:rsidRPr="0047431A">
        <w:t xml:space="preserve"> and property that is disposed of during a ‘trade-in’ when less than $75,000 is pa</w:t>
      </w:r>
      <w:r>
        <w:t>i</w:t>
      </w:r>
      <w:r w:rsidR="0047431A" w:rsidRPr="0047431A">
        <w:t>d.</w:t>
      </w:r>
      <w:r w:rsidR="00C52977">
        <w:t xml:space="preserve">  It has been suggested that </w:t>
      </w:r>
      <w:r w:rsidR="0047431A" w:rsidRPr="0047431A">
        <w:t xml:space="preserve">these thresholds </w:t>
      </w:r>
      <w:r w:rsidR="009B20A9">
        <w:t>create</w:t>
      </w:r>
      <w:r w:rsidR="0047431A" w:rsidRPr="0047431A">
        <w:t xml:space="preserve"> a burden that is not commensurate with the monetary</w:t>
      </w:r>
      <w:r w:rsidR="00C52977">
        <w:t xml:space="preserve"> value of the property involved.</w:t>
      </w:r>
      <w:r w:rsidR="0047431A" w:rsidRPr="0047431A">
        <w:t xml:space="preserve"> </w:t>
      </w:r>
    </w:p>
    <w:p w14:paraId="50D2CE7E" w14:textId="77777777" w:rsidR="0047431A" w:rsidRPr="0047431A" w:rsidRDefault="0047431A" w:rsidP="00CF276F">
      <w:pPr>
        <w:pStyle w:val="BodyText-nospacebelow"/>
        <w:jc w:val="both"/>
      </w:pPr>
    </w:p>
    <w:p w14:paraId="4248882C" w14:textId="77777777" w:rsidR="0047431A" w:rsidRPr="0047431A" w:rsidRDefault="0047431A" w:rsidP="00CF276F">
      <w:pPr>
        <w:pStyle w:val="BodyText-nospacebelow"/>
        <w:jc w:val="both"/>
      </w:pPr>
      <w:r w:rsidRPr="0047431A">
        <w:t xml:space="preserve">Trading-in property when purchasing new property of a similar type is </w:t>
      </w:r>
      <w:r w:rsidR="00C52977">
        <w:t xml:space="preserve">a </w:t>
      </w:r>
      <w:r w:rsidRPr="0047431A">
        <w:t xml:space="preserve">method of asset disposal that is widely used and accepted in the community. The threshold as currently set can create issues with the disposal of major equipment that is used by local governments </w:t>
      </w:r>
      <w:r w:rsidR="00C52977">
        <w:t>such as graders, trucks or buses as an item valued over $75,000 will need to be offered for sale by public auction or public tender.</w:t>
      </w:r>
    </w:p>
    <w:p w14:paraId="739CD600" w14:textId="77777777" w:rsidR="0047431A" w:rsidRDefault="0047431A" w:rsidP="00F0563B">
      <w:pPr>
        <w:pStyle w:val="BodyText-nospacebelow"/>
      </w:pPr>
    </w:p>
    <w:p w14:paraId="62CAABEB" w14:textId="77777777" w:rsidR="00C52977" w:rsidRDefault="004B7E2D" w:rsidP="00C52977">
      <w:pPr>
        <w:pStyle w:val="IntenseQuote"/>
        <w:rPr>
          <w:b/>
          <w:sz w:val="28"/>
        </w:rPr>
      </w:pPr>
      <w:r>
        <w:rPr>
          <w:b/>
          <w:sz w:val="28"/>
        </w:rPr>
        <w:t>Disposal of property</w:t>
      </w:r>
      <w:r w:rsidR="00C52977">
        <w:rPr>
          <w:b/>
          <w:sz w:val="28"/>
        </w:rPr>
        <w:t>: Guidance questions</w:t>
      </w:r>
    </w:p>
    <w:p w14:paraId="14324232" w14:textId="10CC0135" w:rsidR="0047431A" w:rsidRDefault="0047431A" w:rsidP="00DB759E">
      <w:pPr>
        <w:pStyle w:val="BodyText2-nospacebelow"/>
        <w:numPr>
          <w:ilvl w:val="0"/>
          <w:numId w:val="19"/>
        </w:numPr>
        <w:spacing w:after="120"/>
        <w:rPr>
          <w:lang w:eastAsia="en-AU"/>
        </w:rPr>
      </w:pPr>
      <w:r w:rsidRPr="0047431A">
        <w:t xml:space="preserve">The </w:t>
      </w:r>
      <w:r w:rsidRPr="0047431A">
        <w:rPr>
          <w:lang w:eastAsia="en-AU"/>
        </w:rPr>
        <w:t>threshold for trade-ins was set originally to $50,000 in 1996 and raised to $75,000 in 2015. Should that threshold be raised higher, if so how high?</w:t>
      </w:r>
    </w:p>
    <w:p w14:paraId="67223A40" w14:textId="77777777" w:rsidR="0047431A" w:rsidRPr="0047431A" w:rsidRDefault="0047431A" w:rsidP="00DB759E">
      <w:pPr>
        <w:pStyle w:val="BodyText2-nospacebelow"/>
        <w:numPr>
          <w:ilvl w:val="0"/>
          <w:numId w:val="19"/>
        </w:numPr>
        <w:spacing w:after="120"/>
        <w:rPr>
          <w:lang w:eastAsia="en-AU"/>
        </w:rPr>
      </w:pPr>
      <w:r w:rsidRPr="0047431A">
        <w:rPr>
          <w:lang w:eastAsia="en-AU"/>
        </w:rPr>
        <w:t xml:space="preserve">Should the threshold remain at $75,000 </w:t>
      </w:r>
      <w:r w:rsidR="00C52977">
        <w:rPr>
          <w:lang w:eastAsia="en-AU"/>
        </w:rPr>
        <w:t>but with</w:t>
      </w:r>
      <w:r w:rsidRPr="0047431A">
        <w:rPr>
          <w:lang w:eastAsia="en-AU"/>
        </w:rPr>
        <w:t xml:space="preserve"> separate exemptions for specific types of equipment</w:t>
      </w:r>
      <w:r w:rsidR="006539BA">
        <w:rPr>
          <w:lang w:eastAsia="en-AU"/>
        </w:rPr>
        <w:t>,</w:t>
      </w:r>
      <w:r w:rsidRPr="0047431A">
        <w:rPr>
          <w:lang w:eastAsia="en-AU"/>
        </w:rPr>
        <w:t xml:space="preserve"> for example plant? </w:t>
      </w:r>
    </w:p>
    <w:p w14:paraId="27218B09" w14:textId="77777777" w:rsidR="0047431A" w:rsidRDefault="0047431A" w:rsidP="00DB759E">
      <w:pPr>
        <w:pStyle w:val="BodyText2-nospacebelow"/>
        <w:numPr>
          <w:ilvl w:val="0"/>
          <w:numId w:val="19"/>
        </w:numPr>
        <w:spacing w:after="120"/>
        <w:rPr>
          <w:lang w:eastAsia="en-AU"/>
        </w:rPr>
      </w:pPr>
      <w:r w:rsidRPr="0047431A">
        <w:rPr>
          <w:lang w:eastAsia="en-AU"/>
        </w:rPr>
        <w:t>The general $20,000 threshold was put in place in 1996 and has not been amended.</w:t>
      </w:r>
      <w:r w:rsidR="006539BA">
        <w:rPr>
          <w:lang w:eastAsia="en-AU"/>
        </w:rPr>
        <w:t xml:space="preserve"> </w:t>
      </w:r>
      <w:r w:rsidRPr="0047431A">
        <w:rPr>
          <w:lang w:eastAsia="en-AU"/>
        </w:rPr>
        <w:t>Should the threshold be raised higher than $20,000? If so, what should it be and why?</w:t>
      </w:r>
    </w:p>
    <w:p w14:paraId="4CDF8D51" w14:textId="77777777" w:rsidR="00C52977" w:rsidRDefault="00C52977" w:rsidP="00DB759E">
      <w:pPr>
        <w:pStyle w:val="BodyText2-nospacebelow"/>
        <w:numPr>
          <w:ilvl w:val="0"/>
          <w:numId w:val="19"/>
        </w:numPr>
        <w:spacing w:after="120"/>
        <w:rPr>
          <w:lang w:eastAsia="en-AU"/>
        </w:rPr>
      </w:pPr>
      <w:r>
        <w:rPr>
          <w:lang w:eastAsia="en-AU"/>
        </w:rPr>
        <w:t>Would raising these thresholds create an unacceptable risk that the items would not be disposed of to achieve the best price for the local government?</w:t>
      </w:r>
    </w:p>
    <w:p w14:paraId="70C00323" w14:textId="3F5EBAB5" w:rsidR="00BB3DC1" w:rsidRDefault="00716C9B" w:rsidP="00DB759E">
      <w:pPr>
        <w:pStyle w:val="BodyText2-nospacebelow"/>
        <w:numPr>
          <w:ilvl w:val="0"/>
          <w:numId w:val="19"/>
        </w:numPr>
        <w:spacing w:after="120"/>
        <w:rPr>
          <w:lang w:eastAsia="en-AU"/>
        </w:rPr>
      </w:pPr>
      <w:r>
        <w:rPr>
          <w:lang w:eastAsia="en-AU"/>
        </w:rPr>
        <w:t>Is</w:t>
      </w:r>
      <w:r w:rsidR="00BB3DC1">
        <w:rPr>
          <w:lang w:eastAsia="en-AU"/>
        </w:rPr>
        <w:t xml:space="preserve"> there an</w:t>
      </w:r>
      <w:r>
        <w:rPr>
          <w:lang w:eastAsia="en-AU"/>
        </w:rPr>
        <w:t xml:space="preserve"> alternative model</w:t>
      </w:r>
      <w:r w:rsidR="00BB3DC1">
        <w:rPr>
          <w:lang w:eastAsia="en-AU"/>
        </w:rPr>
        <w:t xml:space="preserve"> for managing </w:t>
      </w:r>
      <w:r w:rsidR="00DF6094">
        <w:rPr>
          <w:lang w:eastAsia="en-AU"/>
        </w:rPr>
        <w:t>the disposal of property</w:t>
      </w:r>
      <w:r w:rsidR="00BB3DC1">
        <w:rPr>
          <w:lang w:eastAsia="en-AU"/>
        </w:rPr>
        <w:t>? Please explain.</w:t>
      </w:r>
    </w:p>
    <w:p w14:paraId="2CF4FBC3" w14:textId="72AE630E" w:rsidR="00626D6B" w:rsidRDefault="00626D6B" w:rsidP="00C44D33">
      <w:pPr>
        <w:pStyle w:val="BodyText2-nospacebelow"/>
        <w:spacing w:after="120"/>
        <w:rPr>
          <w:lang w:eastAsia="en-AU"/>
        </w:rPr>
      </w:pPr>
    </w:p>
    <w:p w14:paraId="4A0D1368" w14:textId="77777777" w:rsidR="00626D6B" w:rsidRDefault="00626D6B" w:rsidP="00C44D33">
      <w:pPr>
        <w:pStyle w:val="BodyText2-nospacebelow"/>
        <w:spacing w:after="120"/>
        <w:rPr>
          <w:lang w:eastAsia="en-AU"/>
        </w:rPr>
      </w:pPr>
    </w:p>
    <w:p w14:paraId="6AADE792" w14:textId="6301D3A6" w:rsidR="00626D6B" w:rsidRDefault="00626D6B" w:rsidP="00626D6B">
      <w:pPr>
        <w:pStyle w:val="IntenseQuote"/>
        <w:rPr>
          <w:b/>
          <w:sz w:val="28"/>
        </w:rPr>
      </w:pPr>
      <w:r>
        <w:rPr>
          <w:b/>
          <w:sz w:val="28"/>
        </w:rPr>
        <w:t>Reducing red tape: Guidance question</w:t>
      </w:r>
    </w:p>
    <w:p w14:paraId="094A476B" w14:textId="2C99B863" w:rsidR="00626D6B" w:rsidRPr="0047431A" w:rsidRDefault="00626D6B" w:rsidP="00DB759E">
      <w:pPr>
        <w:pStyle w:val="BodyText2-nospacebelow"/>
        <w:numPr>
          <w:ilvl w:val="0"/>
          <w:numId w:val="19"/>
        </w:numPr>
        <w:spacing w:after="120"/>
        <w:rPr>
          <w:lang w:eastAsia="en-AU"/>
        </w:rPr>
      </w:pPr>
      <w:r>
        <w:rPr>
          <w:lang w:eastAsia="en-AU"/>
        </w:rPr>
        <w:t>Do you have any other suggestions or comments on this topic?</w:t>
      </w:r>
    </w:p>
    <w:p w14:paraId="373D4D58" w14:textId="77777777" w:rsidR="0047431A" w:rsidRPr="0047431A" w:rsidRDefault="0047431A" w:rsidP="00F0563B">
      <w:pPr>
        <w:pStyle w:val="BodyText-nospacebelow"/>
      </w:pPr>
    </w:p>
    <w:p w14:paraId="45CCF88B" w14:textId="77777777" w:rsidR="004A7A70" w:rsidRPr="004A7A70" w:rsidRDefault="004A7A70" w:rsidP="004A7A70">
      <w:pPr>
        <w:pStyle w:val="BodyText-nospacebelow"/>
        <w:rPr>
          <w:lang w:eastAsia="en-AU"/>
        </w:rPr>
      </w:pPr>
    </w:p>
    <w:p w14:paraId="6367C296" w14:textId="77777777" w:rsidR="00BA3483" w:rsidRPr="00BA3483" w:rsidRDefault="00BA3483" w:rsidP="00BA3483">
      <w:pPr>
        <w:rPr>
          <w:lang w:eastAsia="en-AU"/>
        </w:rPr>
      </w:pPr>
    </w:p>
    <w:p w14:paraId="1EA0E962" w14:textId="3BDDECF4" w:rsidR="002B2B19" w:rsidRDefault="007F0A6D">
      <w:r>
        <w:br w:type="page"/>
      </w:r>
    </w:p>
    <w:p w14:paraId="1E2615DE" w14:textId="77777777" w:rsidR="002B2B19" w:rsidRDefault="002B2B19" w:rsidP="002B2B19">
      <w:pPr>
        <w:pStyle w:val="Heading1-Formblue"/>
      </w:pPr>
      <w:bookmarkStart w:id="1976" w:name="_Toc495491908"/>
      <w:bookmarkStart w:id="1977" w:name="_Toc495497687"/>
      <w:bookmarkStart w:id="1978" w:name="_Toc495671521"/>
      <w:bookmarkStart w:id="1979" w:name="_Toc495676122"/>
      <w:bookmarkStart w:id="1980" w:name="_Toc495678417"/>
      <w:bookmarkStart w:id="1981" w:name="_Toc495998414"/>
      <w:bookmarkStart w:id="1982" w:name="_Toc497741879"/>
      <w:r>
        <w:t>Regional Subsidiaries</w:t>
      </w:r>
      <w:bookmarkEnd w:id="1976"/>
      <w:bookmarkEnd w:id="1977"/>
      <w:bookmarkEnd w:id="1978"/>
      <w:bookmarkEnd w:id="1979"/>
      <w:bookmarkEnd w:id="1980"/>
      <w:bookmarkEnd w:id="1981"/>
      <w:bookmarkEnd w:id="1982"/>
    </w:p>
    <w:p w14:paraId="1A90A94D" w14:textId="2C2AF2F1" w:rsidR="00FB7FD7" w:rsidRDefault="00827A98" w:rsidP="00CF276F">
      <w:pPr>
        <w:jc w:val="both"/>
      </w:pPr>
      <w:bookmarkStart w:id="1983" w:name="_Toc493746808"/>
      <w:bookmarkStart w:id="1984" w:name="_Toc493768940"/>
      <w:bookmarkStart w:id="1985" w:name="_Toc493860011"/>
      <w:r>
        <w:t xml:space="preserve">Local governments are finding themselves under increased pressure to maintain community services in the current economic climate.  </w:t>
      </w:r>
      <w:r w:rsidR="00FB7FD7">
        <w:t>The Act provides local governments with several mechanisms by which they can cooperate and pool resources. This includes the ability to form semi-independent entities known as regional subsidiaries.</w:t>
      </w:r>
      <w:r>
        <w:t xml:space="preserve">  This model provides the ability for two or more local governments to provide a service or carry on an activity jointly with fewer </w:t>
      </w:r>
      <w:r w:rsidR="003F1CFF">
        <w:t xml:space="preserve">compliance </w:t>
      </w:r>
      <w:r>
        <w:t>obligations under the Act.</w:t>
      </w:r>
    </w:p>
    <w:p w14:paraId="71F33252" w14:textId="7B86BEDD" w:rsidR="003F1CFF" w:rsidRDefault="003F1CFF" w:rsidP="00CF276F">
      <w:pPr>
        <w:jc w:val="both"/>
      </w:pPr>
      <w:r>
        <w:t>Currently, many local governments are concerned that the regulatory requirements are too stringent to pursue the establishment of regional subsidiaries and at this time there are no regional subsidiaries in operation in WA.</w:t>
      </w:r>
    </w:p>
    <w:p w14:paraId="3ABBBEEC" w14:textId="77B269C1" w:rsidR="002B2B19" w:rsidRDefault="003F1CFF" w:rsidP="00CF276F">
      <w:pPr>
        <w:jc w:val="both"/>
      </w:pPr>
      <w:r>
        <w:t xml:space="preserve">The State Government strongly support local governments working collaboratively, and an effective subsidiary model will assist in delivering positive outcomes for local communities. </w:t>
      </w:r>
      <w:r w:rsidR="002B2B19">
        <w:br w:type="page"/>
      </w:r>
    </w:p>
    <w:p w14:paraId="4F98364E" w14:textId="77777777" w:rsidR="002B2B19" w:rsidRPr="002B2B19" w:rsidRDefault="002B2B19" w:rsidP="002B2B19">
      <w:pPr>
        <w:pStyle w:val="ListParagraph"/>
        <w:keepNext/>
        <w:keepLines/>
        <w:numPr>
          <w:ilvl w:val="0"/>
          <w:numId w:val="5"/>
        </w:numPr>
        <w:spacing w:before="480" w:after="360"/>
        <w:outlineLvl w:val="0"/>
        <w:rPr>
          <w:rFonts w:eastAsiaTheme="majorEastAsia" w:cs="Arial"/>
          <w:bCs/>
          <w:color w:val="2C5C86"/>
          <w:sz w:val="40"/>
          <w:szCs w:val="40"/>
        </w:rPr>
      </w:pPr>
      <w:r w:rsidRPr="002B2B19">
        <w:rPr>
          <w:rFonts w:eastAsiaTheme="majorEastAsia" w:cs="Arial"/>
          <w:bCs/>
          <w:color w:val="2C5C86"/>
          <w:sz w:val="40"/>
          <w:szCs w:val="40"/>
        </w:rPr>
        <w:t xml:space="preserve">  </w:t>
      </w:r>
      <w:bookmarkStart w:id="1986" w:name="_Toc495491909"/>
      <w:bookmarkStart w:id="1987" w:name="_Toc495497688"/>
      <w:bookmarkStart w:id="1988" w:name="_Toc495671522"/>
      <w:bookmarkStart w:id="1989" w:name="_Toc495676123"/>
      <w:bookmarkStart w:id="1990" w:name="_Toc495678418"/>
      <w:bookmarkStart w:id="1991" w:name="_Toc495998415"/>
      <w:bookmarkStart w:id="1992" w:name="_Toc497741880"/>
      <w:r>
        <w:rPr>
          <w:rFonts w:eastAsiaTheme="majorEastAsia" w:cs="Arial"/>
          <w:bCs/>
          <w:color w:val="2C5C86"/>
          <w:sz w:val="40"/>
          <w:szCs w:val="40"/>
        </w:rPr>
        <w:t>Regional Subsidiaries</w:t>
      </w:r>
      <w:bookmarkEnd w:id="1986"/>
      <w:bookmarkEnd w:id="1987"/>
      <w:bookmarkEnd w:id="1988"/>
      <w:bookmarkEnd w:id="1989"/>
      <w:bookmarkEnd w:id="1990"/>
      <w:bookmarkEnd w:id="1991"/>
      <w:bookmarkEnd w:id="1992"/>
    </w:p>
    <w:p w14:paraId="1D682E9F" w14:textId="77777777" w:rsidR="00FB7FD7" w:rsidRPr="00FB7FD7" w:rsidRDefault="00FB7FD7" w:rsidP="00CF276F">
      <w:pPr>
        <w:spacing w:after="0"/>
        <w:jc w:val="both"/>
        <w:rPr>
          <w:rFonts w:eastAsia="Calibri" w:cs="Times New Roman"/>
        </w:rPr>
      </w:pPr>
      <w:r w:rsidRPr="00FB7FD7">
        <w:rPr>
          <w:rFonts w:eastAsia="Calibri" w:cs="Times New Roman"/>
        </w:rPr>
        <w:t>Under the Act, local governments have the ability to form a corporate entity known as a regional subsidiary.</w:t>
      </w:r>
    </w:p>
    <w:p w14:paraId="40D14CE6" w14:textId="77777777" w:rsidR="00FB7FD7" w:rsidRPr="00FB7FD7" w:rsidRDefault="00FB7FD7" w:rsidP="00CF276F">
      <w:pPr>
        <w:spacing w:after="0"/>
        <w:jc w:val="both"/>
        <w:rPr>
          <w:rFonts w:eastAsia="Calibri" w:cs="Times New Roman"/>
        </w:rPr>
      </w:pPr>
    </w:p>
    <w:p w14:paraId="387FE3CE" w14:textId="53279D60" w:rsidR="00FB7FD7" w:rsidRPr="00FB7FD7" w:rsidRDefault="00FB7FD7" w:rsidP="00CF276F">
      <w:pPr>
        <w:spacing w:after="0"/>
        <w:jc w:val="both"/>
        <w:rPr>
          <w:rFonts w:eastAsia="Calibri" w:cs="Times New Roman"/>
        </w:rPr>
      </w:pPr>
      <w:r w:rsidRPr="00FB7FD7">
        <w:rPr>
          <w:rFonts w:eastAsia="Calibri" w:cs="Times New Roman"/>
        </w:rPr>
        <w:t xml:space="preserve">This arrangement allows multiple local governments to pool their resources to carry out their </w:t>
      </w:r>
      <w:r w:rsidR="00344F82">
        <w:rPr>
          <w:rFonts w:eastAsia="Calibri" w:cs="Times New Roman"/>
        </w:rPr>
        <w:t>statutory functions</w:t>
      </w:r>
      <w:r w:rsidRPr="00FB7FD7">
        <w:rPr>
          <w:rFonts w:eastAsia="Calibri" w:cs="Times New Roman"/>
        </w:rPr>
        <w:t xml:space="preserve">, provide services across multiple districts or provide other benefits to their communities. </w:t>
      </w:r>
    </w:p>
    <w:p w14:paraId="1D531DEB" w14:textId="77777777" w:rsidR="00FB7FD7" w:rsidRPr="00FB7FD7" w:rsidRDefault="00FB7FD7" w:rsidP="00CF276F">
      <w:pPr>
        <w:spacing w:after="0"/>
        <w:jc w:val="both"/>
        <w:rPr>
          <w:rFonts w:eastAsia="Calibri" w:cs="Times New Roman"/>
        </w:rPr>
      </w:pPr>
    </w:p>
    <w:p w14:paraId="18AF902C" w14:textId="31CD554D" w:rsidR="00FB7FD7" w:rsidRPr="00FB7FD7" w:rsidRDefault="00FB7FD7" w:rsidP="00CF276F">
      <w:pPr>
        <w:spacing w:after="0"/>
        <w:jc w:val="both"/>
        <w:rPr>
          <w:rFonts w:eastAsia="Calibri" w:cs="Times New Roman"/>
        </w:rPr>
      </w:pPr>
      <w:r w:rsidRPr="00FB7FD7">
        <w:rPr>
          <w:rFonts w:eastAsia="Calibri" w:cs="Times New Roman"/>
        </w:rPr>
        <w:t>The characteristics of a regional subsidiary are:</w:t>
      </w:r>
    </w:p>
    <w:p w14:paraId="223AAC9F" w14:textId="77777777" w:rsidR="00FB7FD7" w:rsidRPr="00FB7FD7" w:rsidRDefault="00FB7FD7" w:rsidP="00FB7FD7">
      <w:pPr>
        <w:spacing w:after="0"/>
        <w:rPr>
          <w:rFonts w:eastAsia="Calibri" w:cs="Times New Roman"/>
        </w:rPr>
      </w:pPr>
    </w:p>
    <w:p w14:paraId="09139D0C" w14:textId="77777777" w:rsidR="00547491" w:rsidRPr="00547491" w:rsidRDefault="00547491" w:rsidP="00547491">
      <w:pPr>
        <w:numPr>
          <w:ilvl w:val="0"/>
          <w:numId w:val="106"/>
        </w:numPr>
        <w:spacing w:after="0"/>
        <w:rPr>
          <w:rFonts w:eastAsia="Calibri" w:cs="Times New Roman"/>
        </w:rPr>
      </w:pPr>
      <w:r w:rsidRPr="00547491">
        <w:rPr>
          <w:rFonts w:eastAsia="Calibri" w:cs="Times New Roman"/>
        </w:rPr>
        <w:t xml:space="preserve">a separate legal entity from the local governments that form it </w:t>
      </w:r>
    </w:p>
    <w:p w14:paraId="507C9C8A" w14:textId="77777777" w:rsidR="00547491" w:rsidRPr="00547491" w:rsidRDefault="00547491" w:rsidP="00547491">
      <w:pPr>
        <w:numPr>
          <w:ilvl w:val="0"/>
          <w:numId w:val="106"/>
        </w:numPr>
        <w:spacing w:after="0"/>
        <w:rPr>
          <w:rFonts w:eastAsia="Calibri" w:cs="Times New Roman"/>
        </w:rPr>
      </w:pPr>
      <w:r w:rsidRPr="00547491">
        <w:rPr>
          <w:rFonts w:eastAsia="Calibri" w:cs="Times New Roman"/>
        </w:rPr>
        <w:t>governed by a binding charter which sets out its powers, functions and duties</w:t>
      </w:r>
    </w:p>
    <w:p w14:paraId="578E4966" w14:textId="77777777" w:rsidR="00547491" w:rsidRPr="00547491" w:rsidRDefault="00547491" w:rsidP="00547491">
      <w:pPr>
        <w:numPr>
          <w:ilvl w:val="0"/>
          <w:numId w:val="106"/>
        </w:numPr>
        <w:spacing w:after="0"/>
        <w:rPr>
          <w:rFonts w:eastAsia="Calibri" w:cs="Times New Roman"/>
        </w:rPr>
      </w:pPr>
      <w:r w:rsidRPr="00547491">
        <w:rPr>
          <w:rFonts w:eastAsia="Calibri" w:cs="Times New Roman"/>
        </w:rPr>
        <w:t xml:space="preserve">managed by a board appointed by the member councils, which can consist fully or partly of non-local government members (that is, people who are not elected members or employees) </w:t>
      </w:r>
    </w:p>
    <w:p w14:paraId="08A2C425" w14:textId="77777777" w:rsidR="00547491" w:rsidRPr="00547491" w:rsidRDefault="00547491" w:rsidP="00547491">
      <w:pPr>
        <w:numPr>
          <w:ilvl w:val="0"/>
          <w:numId w:val="106"/>
        </w:numPr>
        <w:spacing w:after="0"/>
        <w:rPr>
          <w:rFonts w:eastAsia="Calibri" w:cs="Times New Roman"/>
        </w:rPr>
      </w:pPr>
      <w:r w:rsidRPr="00547491">
        <w:rPr>
          <w:rFonts w:eastAsia="Calibri" w:cs="Times New Roman"/>
        </w:rPr>
        <w:t>In the event of a regional subsidiary being wound up, the assets would become the property of the local governments that formed it, and those local governments would be liable for any debts</w:t>
      </w:r>
    </w:p>
    <w:p w14:paraId="674B7D1B" w14:textId="77777777" w:rsidR="00547491" w:rsidRPr="00547491" w:rsidRDefault="00547491" w:rsidP="00547491">
      <w:pPr>
        <w:numPr>
          <w:ilvl w:val="0"/>
          <w:numId w:val="106"/>
        </w:numPr>
        <w:spacing w:after="0"/>
        <w:rPr>
          <w:rFonts w:eastAsia="Calibri" w:cs="Times New Roman"/>
        </w:rPr>
      </w:pPr>
      <w:r w:rsidRPr="00547491">
        <w:rPr>
          <w:rFonts w:eastAsia="Calibri" w:cs="Times New Roman"/>
        </w:rPr>
        <w:t xml:space="preserve">required to release an annual report and financial statement, with any other reporting requirements to be set out in the charter </w:t>
      </w:r>
    </w:p>
    <w:p w14:paraId="560B6174" w14:textId="77777777" w:rsidR="00547491" w:rsidRPr="00547491" w:rsidRDefault="00547491" w:rsidP="00547491">
      <w:pPr>
        <w:numPr>
          <w:ilvl w:val="0"/>
          <w:numId w:val="106"/>
        </w:numPr>
        <w:spacing w:after="0"/>
        <w:rPr>
          <w:rFonts w:eastAsia="Calibri" w:cs="Times New Roman"/>
        </w:rPr>
      </w:pPr>
      <w:r w:rsidRPr="00547491">
        <w:rPr>
          <w:rFonts w:eastAsia="Calibri" w:cs="Times New Roman"/>
        </w:rPr>
        <w:t>not allowed to pursue commercial enterprises or borrow money except from the local governments which form it</w:t>
      </w:r>
    </w:p>
    <w:p w14:paraId="6EEFCA29" w14:textId="77777777" w:rsidR="00FB7FD7" w:rsidRPr="00FB7FD7" w:rsidRDefault="00FB7FD7" w:rsidP="00FB7FD7">
      <w:pPr>
        <w:spacing w:after="0"/>
        <w:rPr>
          <w:rFonts w:eastAsia="Calibri" w:cs="Times New Roman"/>
        </w:rPr>
      </w:pPr>
    </w:p>
    <w:p w14:paraId="0BBA0A2B" w14:textId="627311A0" w:rsidR="00341883" w:rsidRDefault="00CE1280" w:rsidP="001608F1">
      <w:pPr>
        <w:spacing w:after="0"/>
        <w:jc w:val="both"/>
        <w:rPr>
          <w:rFonts w:eastAsia="Calibri" w:cs="Times New Roman"/>
        </w:rPr>
      </w:pPr>
      <w:r>
        <w:rPr>
          <w:rFonts w:eastAsia="Calibri" w:cs="Times New Roman"/>
        </w:rPr>
        <w:t xml:space="preserve">This model was designed as a low risk-low compliance one.  </w:t>
      </w:r>
      <w:r w:rsidR="00341883">
        <w:rPr>
          <w:rFonts w:eastAsia="Calibri" w:cs="Times New Roman"/>
        </w:rPr>
        <w:t xml:space="preserve">That is, most of the </w:t>
      </w:r>
      <w:r w:rsidR="00C33793">
        <w:rPr>
          <w:rFonts w:eastAsia="Calibri" w:cs="Times New Roman"/>
        </w:rPr>
        <w:t xml:space="preserve">reporting and other statutory obligations under the </w:t>
      </w:r>
      <w:r w:rsidR="003C0B3A">
        <w:rPr>
          <w:rFonts w:eastAsia="Calibri" w:cs="Times New Roman"/>
        </w:rPr>
        <w:t xml:space="preserve">Act </w:t>
      </w:r>
      <w:r w:rsidR="00C33793">
        <w:rPr>
          <w:rFonts w:eastAsia="Calibri" w:cs="Times New Roman"/>
        </w:rPr>
        <w:t>would not apply to a regional subsidiary as it would be undertaking activities that would not present a significant risk to the forming local governments and therefore to the communities in those districts.</w:t>
      </w:r>
    </w:p>
    <w:p w14:paraId="4D52D79D" w14:textId="77777777" w:rsidR="00341883" w:rsidRDefault="00341883" w:rsidP="001608F1">
      <w:pPr>
        <w:spacing w:after="0"/>
        <w:jc w:val="both"/>
        <w:rPr>
          <w:rFonts w:eastAsia="Calibri" w:cs="Times New Roman"/>
        </w:rPr>
      </w:pPr>
    </w:p>
    <w:p w14:paraId="002B8C0C" w14:textId="7EE98DB1" w:rsidR="00FB7FD7" w:rsidRPr="00FB7FD7" w:rsidRDefault="00FB7FD7" w:rsidP="001608F1">
      <w:pPr>
        <w:spacing w:after="0"/>
        <w:jc w:val="both"/>
        <w:rPr>
          <w:rFonts w:eastAsia="Calibri" w:cs="Times New Roman"/>
        </w:rPr>
      </w:pPr>
      <w:r w:rsidRPr="00FB7FD7">
        <w:rPr>
          <w:rFonts w:eastAsia="Calibri" w:cs="Times New Roman"/>
        </w:rPr>
        <w:t xml:space="preserve">Regional subsidiaries are designed to carry out </w:t>
      </w:r>
      <w:r w:rsidR="00C33793">
        <w:rPr>
          <w:rFonts w:eastAsia="Calibri" w:cs="Times New Roman"/>
        </w:rPr>
        <w:t>many of the</w:t>
      </w:r>
      <w:r w:rsidRPr="00FB7FD7">
        <w:rPr>
          <w:rFonts w:eastAsia="Calibri" w:cs="Times New Roman"/>
        </w:rPr>
        <w:t xml:space="preserve"> activit</w:t>
      </w:r>
      <w:r w:rsidR="00C33793">
        <w:rPr>
          <w:rFonts w:eastAsia="Calibri" w:cs="Times New Roman"/>
        </w:rPr>
        <w:t>ies</w:t>
      </w:r>
      <w:r w:rsidRPr="00FB7FD7">
        <w:rPr>
          <w:rFonts w:eastAsia="Calibri" w:cs="Times New Roman"/>
        </w:rPr>
        <w:t xml:space="preserve"> which could be performed by a local government</w:t>
      </w:r>
      <w:r w:rsidR="00C33793">
        <w:rPr>
          <w:rFonts w:eastAsia="Calibri" w:cs="Times New Roman"/>
        </w:rPr>
        <w:t>.</w:t>
      </w:r>
      <w:r w:rsidRPr="00FB7FD7">
        <w:rPr>
          <w:rFonts w:eastAsia="Calibri" w:cs="Times New Roman"/>
        </w:rPr>
        <w:t xml:space="preserve"> </w:t>
      </w:r>
      <w:r w:rsidR="00C33793">
        <w:rPr>
          <w:rFonts w:eastAsia="Calibri" w:cs="Times New Roman"/>
        </w:rPr>
        <w:t>They cannot, however, undertake</w:t>
      </w:r>
      <w:r w:rsidRPr="00FB7FD7">
        <w:rPr>
          <w:rFonts w:eastAsia="Calibri" w:cs="Times New Roman"/>
        </w:rPr>
        <w:t xml:space="preserve"> commercial </w:t>
      </w:r>
      <w:r w:rsidR="00CE5270">
        <w:rPr>
          <w:rFonts w:eastAsia="Calibri" w:cs="Times New Roman"/>
        </w:rPr>
        <w:t>enterprises</w:t>
      </w:r>
      <w:r w:rsidR="00C33793" w:rsidRPr="00FB7FD7">
        <w:rPr>
          <w:rFonts w:eastAsia="Calibri" w:cs="Times New Roman"/>
        </w:rPr>
        <w:t xml:space="preserve"> </w:t>
      </w:r>
      <w:r w:rsidRPr="00FB7FD7">
        <w:rPr>
          <w:rFonts w:eastAsia="Calibri" w:cs="Times New Roman"/>
        </w:rPr>
        <w:t>or speculative investments.</w:t>
      </w:r>
    </w:p>
    <w:p w14:paraId="21A8534C" w14:textId="77777777" w:rsidR="00FB7FD7" w:rsidRPr="00FB7FD7" w:rsidRDefault="00FB7FD7" w:rsidP="001608F1">
      <w:pPr>
        <w:spacing w:after="0"/>
        <w:jc w:val="both"/>
        <w:rPr>
          <w:rFonts w:eastAsia="Calibri" w:cs="Times New Roman"/>
        </w:rPr>
      </w:pPr>
    </w:p>
    <w:p w14:paraId="51904128" w14:textId="61D84C6A" w:rsidR="00FB7FD7" w:rsidRDefault="00FB7FD7" w:rsidP="001608F1">
      <w:pPr>
        <w:spacing w:after="0"/>
        <w:jc w:val="both"/>
        <w:rPr>
          <w:rFonts w:eastAsia="Calibri" w:cs="Times New Roman"/>
        </w:rPr>
      </w:pPr>
      <w:r w:rsidRPr="00FB7FD7">
        <w:rPr>
          <w:rFonts w:eastAsia="Calibri" w:cs="Times New Roman"/>
        </w:rPr>
        <w:t xml:space="preserve">Under the </w:t>
      </w:r>
      <w:r w:rsidRPr="00FB7FD7">
        <w:rPr>
          <w:rFonts w:eastAsia="Calibri" w:cs="Times New Roman"/>
          <w:i/>
        </w:rPr>
        <w:t>Local Government (Regional Subsidiaries) Regulations 2017</w:t>
      </w:r>
      <w:r w:rsidRPr="00FB7FD7">
        <w:rPr>
          <w:rFonts w:eastAsia="Calibri" w:cs="Times New Roman"/>
        </w:rPr>
        <w:t xml:space="preserve">, subsidiaries are </w:t>
      </w:r>
      <w:r w:rsidR="004D74DB">
        <w:rPr>
          <w:rFonts w:eastAsia="Calibri" w:cs="Times New Roman"/>
        </w:rPr>
        <w:t xml:space="preserve">currently </w:t>
      </w:r>
      <w:r w:rsidR="006E3866">
        <w:rPr>
          <w:rFonts w:eastAsia="Calibri" w:cs="Times New Roman"/>
        </w:rPr>
        <w:t>only able to</w:t>
      </w:r>
      <w:r w:rsidRPr="00FB7FD7">
        <w:rPr>
          <w:rFonts w:eastAsia="Calibri" w:cs="Times New Roman"/>
        </w:rPr>
        <w:t xml:space="preserve"> borrow money from </w:t>
      </w:r>
      <w:r w:rsidR="006E3866">
        <w:rPr>
          <w:rFonts w:eastAsia="Calibri" w:cs="Times New Roman"/>
        </w:rPr>
        <w:t>the local governments that form the subsidiary</w:t>
      </w:r>
      <w:r w:rsidR="00040EDF">
        <w:rPr>
          <w:rFonts w:eastAsia="Calibri" w:cs="Times New Roman"/>
        </w:rPr>
        <w:t xml:space="preserve"> (the member councils)</w:t>
      </w:r>
      <w:r w:rsidRPr="00FB7FD7">
        <w:rPr>
          <w:rFonts w:eastAsia="Calibri" w:cs="Times New Roman"/>
        </w:rPr>
        <w:t>. This restriction was put in place to ensure that regional subsidiaries would not incur excessive liabilities and cause risk to ratepayer money.</w:t>
      </w:r>
    </w:p>
    <w:p w14:paraId="26208CC0" w14:textId="77777777" w:rsidR="00FB7FD7" w:rsidRDefault="00FB7FD7" w:rsidP="001608F1">
      <w:pPr>
        <w:spacing w:after="0"/>
        <w:jc w:val="both"/>
        <w:rPr>
          <w:rFonts w:eastAsia="Calibri" w:cs="Times New Roman"/>
        </w:rPr>
      </w:pPr>
    </w:p>
    <w:p w14:paraId="26D07DB8" w14:textId="73781EDC" w:rsidR="00FB7FD7" w:rsidRDefault="00FB7FD7" w:rsidP="001608F1">
      <w:pPr>
        <w:spacing w:after="0"/>
        <w:jc w:val="both"/>
        <w:rPr>
          <w:rFonts w:eastAsia="Calibri" w:cs="Times New Roman"/>
        </w:rPr>
      </w:pPr>
      <w:r w:rsidRPr="00FB7FD7">
        <w:rPr>
          <w:rFonts w:eastAsia="Calibri" w:cs="Times New Roman"/>
        </w:rPr>
        <w:t xml:space="preserve">The local government sector has requested that regional subsidiaries be permitted to borrow money, either from financial institutions or the </w:t>
      </w:r>
      <w:r w:rsidR="00067D68">
        <w:rPr>
          <w:rFonts w:eastAsia="Calibri" w:cs="Times New Roman"/>
        </w:rPr>
        <w:t>T</w:t>
      </w:r>
      <w:r w:rsidR="00067D68" w:rsidRPr="00FB7FD7">
        <w:rPr>
          <w:rFonts w:eastAsia="Calibri" w:cs="Times New Roman"/>
        </w:rPr>
        <w:t>reasury</w:t>
      </w:r>
      <w:r w:rsidRPr="00FB7FD7">
        <w:rPr>
          <w:rFonts w:eastAsia="Calibri" w:cs="Times New Roman"/>
        </w:rPr>
        <w:t>.</w:t>
      </w:r>
      <w:r>
        <w:rPr>
          <w:rFonts w:eastAsia="Calibri" w:cs="Times New Roman"/>
        </w:rPr>
        <w:t xml:space="preserve"> </w:t>
      </w:r>
    </w:p>
    <w:p w14:paraId="08F4CE55" w14:textId="77777777" w:rsidR="003F1CFF" w:rsidRDefault="003F1CFF" w:rsidP="001608F1">
      <w:pPr>
        <w:spacing w:after="0"/>
        <w:jc w:val="both"/>
        <w:rPr>
          <w:rFonts w:eastAsia="Calibri" w:cs="Times New Roman"/>
        </w:rPr>
      </w:pPr>
    </w:p>
    <w:p w14:paraId="76C25E46" w14:textId="77777777" w:rsidR="003F1CFF" w:rsidRDefault="003F1CFF" w:rsidP="001608F1">
      <w:pPr>
        <w:spacing w:after="0"/>
        <w:jc w:val="both"/>
        <w:rPr>
          <w:rFonts w:eastAsia="Calibri" w:cs="Times New Roman"/>
        </w:rPr>
      </w:pPr>
      <w:r>
        <w:rPr>
          <w:rFonts w:eastAsia="Calibri" w:cs="Times New Roman"/>
        </w:rPr>
        <w:t>Further feedback from the sector has indicated that the restriction on borrowing is a major impediment to using regional subsidiaries to deal with matters such as waste management and other activities.</w:t>
      </w:r>
    </w:p>
    <w:p w14:paraId="71B81FA1" w14:textId="77777777" w:rsidR="003F1CFF" w:rsidRDefault="003F1CFF" w:rsidP="001608F1">
      <w:pPr>
        <w:spacing w:after="0"/>
        <w:jc w:val="both"/>
        <w:rPr>
          <w:rFonts w:eastAsia="Calibri" w:cs="Times New Roman"/>
        </w:rPr>
      </w:pPr>
    </w:p>
    <w:p w14:paraId="4FEF8B44" w14:textId="77777777" w:rsidR="003F1CFF" w:rsidRDefault="003F1CFF" w:rsidP="001608F1">
      <w:pPr>
        <w:spacing w:after="0"/>
        <w:jc w:val="both"/>
        <w:rPr>
          <w:rFonts w:eastAsia="Calibri" w:cs="Times New Roman"/>
        </w:rPr>
      </w:pPr>
      <w:r>
        <w:rPr>
          <w:rFonts w:eastAsia="Calibri" w:cs="Times New Roman"/>
        </w:rPr>
        <w:t>The implications of this proposal are discussed below.</w:t>
      </w:r>
    </w:p>
    <w:p w14:paraId="2773D563" w14:textId="77777777" w:rsidR="002B2B19" w:rsidRPr="002B2B19" w:rsidRDefault="002B2B19" w:rsidP="001608F1">
      <w:pPr>
        <w:spacing w:after="0"/>
        <w:jc w:val="both"/>
      </w:pPr>
    </w:p>
    <w:p w14:paraId="21CDECC4" w14:textId="77777777" w:rsidR="00FB7FD7" w:rsidRDefault="00FB7FD7" w:rsidP="001608F1">
      <w:pPr>
        <w:pStyle w:val="ListParagraph"/>
        <w:keepNext/>
        <w:keepLines/>
        <w:numPr>
          <w:ilvl w:val="1"/>
          <w:numId w:val="102"/>
        </w:numPr>
        <w:spacing w:before="360"/>
        <w:jc w:val="both"/>
        <w:outlineLvl w:val="1"/>
        <w:rPr>
          <w:rFonts w:eastAsiaTheme="majorEastAsia" w:cs="Arial"/>
          <w:bCs/>
          <w:color w:val="2C5C86"/>
          <w:sz w:val="32"/>
          <w:szCs w:val="26"/>
          <w:lang w:eastAsia="en-AU"/>
        </w:rPr>
      </w:pPr>
      <w:bookmarkStart w:id="1993" w:name="_Toc495497689"/>
      <w:bookmarkStart w:id="1994" w:name="_Toc495671523"/>
      <w:bookmarkStart w:id="1995" w:name="_Toc495676124"/>
      <w:bookmarkStart w:id="1996" w:name="_Toc495678419"/>
      <w:bookmarkStart w:id="1997" w:name="_Toc495998416"/>
      <w:bookmarkStart w:id="1998" w:name="_Toc497741881"/>
      <w:bookmarkStart w:id="1999" w:name="_Toc495491910"/>
      <w:r>
        <w:rPr>
          <w:rFonts w:eastAsiaTheme="majorEastAsia" w:cs="Arial"/>
          <w:bCs/>
          <w:color w:val="2C5C86"/>
          <w:sz w:val="32"/>
          <w:szCs w:val="26"/>
          <w:lang w:eastAsia="en-AU"/>
        </w:rPr>
        <w:t>Risks and benefits of borrowing</w:t>
      </w:r>
      <w:bookmarkEnd w:id="1993"/>
      <w:bookmarkEnd w:id="1994"/>
      <w:bookmarkEnd w:id="1995"/>
      <w:bookmarkEnd w:id="1996"/>
      <w:bookmarkEnd w:id="1997"/>
      <w:bookmarkEnd w:id="1998"/>
    </w:p>
    <w:p w14:paraId="606CDF35" w14:textId="6DEC9F9C" w:rsidR="000268CA" w:rsidRPr="00FB7FD7" w:rsidRDefault="00FB7FD7" w:rsidP="001608F1">
      <w:pPr>
        <w:spacing w:after="0"/>
        <w:jc w:val="both"/>
        <w:rPr>
          <w:rFonts w:eastAsia="Calibri" w:cs="Times New Roman"/>
        </w:rPr>
      </w:pPr>
      <w:r>
        <w:rPr>
          <w:rFonts w:eastAsia="Calibri" w:cs="Times New Roman"/>
        </w:rPr>
        <w:t xml:space="preserve">Regional subsidiaries were designed to be used as a form of collaborative service provision. </w:t>
      </w:r>
      <w:r w:rsidR="000268CA">
        <w:rPr>
          <w:rFonts w:eastAsia="Calibri" w:cs="Times New Roman"/>
        </w:rPr>
        <w:t xml:space="preserve">The intent was that the model would allow local governments to pool their resources to provide new services and </w:t>
      </w:r>
      <w:r w:rsidR="004D74DB">
        <w:rPr>
          <w:rFonts w:eastAsia="Calibri" w:cs="Times New Roman"/>
        </w:rPr>
        <w:t xml:space="preserve">more effective </w:t>
      </w:r>
      <w:r w:rsidR="000268CA">
        <w:rPr>
          <w:rFonts w:eastAsia="Calibri" w:cs="Times New Roman"/>
        </w:rPr>
        <w:t>existing services.</w:t>
      </w:r>
      <w:r w:rsidR="004D74DB">
        <w:rPr>
          <w:rFonts w:eastAsia="Calibri" w:cs="Times New Roman"/>
        </w:rPr>
        <w:t xml:space="preserve">   They could also use the model to share back-office functions, such as accounting, records management and human resources.</w:t>
      </w:r>
    </w:p>
    <w:p w14:paraId="4BBBCE18" w14:textId="77777777" w:rsidR="00FB7FD7" w:rsidRDefault="00FB7FD7" w:rsidP="001608F1">
      <w:pPr>
        <w:spacing w:after="0"/>
        <w:jc w:val="both"/>
        <w:rPr>
          <w:rFonts w:eastAsia="Calibri" w:cs="Times New Roman"/>
        </w:rPr>
      </w:pPr>
    </w:p>
    <w:p w14:paraId="2D8F0F9F" w14:textId="1DBAEC8D" w:rsidR="00F14369" w:rsidRDefault="00F14369" w:rsidP="001608F1">
      <w:pPr>
        <w:spacing w:after="0"/>
        <w:jc w:val="both"/>
        <w:rPr>
          <w:rFonts w:eastAsia="Calibri" w:cs="Times New Roman"/>
        </w:rPr>
      </w:pPr>
      <w:r>
        <w:rPr>
          <w:rFonts w:eastAsia="Calibri" w:cs="Times New Roman"/>
        </w:rPr>
        <w:t>For this reason, much of the financial management and reporting controls in the Act have not been applied to regional subsidiaries.</w:t>
      </w:r>
    </w:p>
    <w:p w14:paraId="4995E304" w14:textId="77777777" w:rsidR="003F1CFF" w:rsidRDefault="003F1CFF" w:rsidP="001608F1">
      <w:pPr>
        <w:spacing w:after="0"/>
        <w:jc w:val="both"/>
        <w:rPr>
          <w:rFonts w:eastAsia="Calibri" w:cs="Times New Roman"/>
        </w:rPr>
      </w:pPr>
    </w:p>
    <w:p w14:paraId="73F88903" w14:textId="509B4266" w:rsidR="003F1CFF" w:rsidRDefault="003F1CFF" w:rsidP="001608F1">
      <w:pPr>
        <w:spacing w:after="0"/>
        <w:jc w:val="both"/>
        <w:rPr>
          <w:rFonts w:eastAsia="Calibri" w:cs="Times New Roman"/>
        </w:rPr>
      </w:pPr>
      <w:r>
        <w:rPr>
          <w:rFonts w:eastAsia="Calibri" w:cs="Times New Roman"/>
        </w:rPr>
        <w:t>Importantly, for a regional subsidiary to be created, the Minister must approve an Establishment Charter which sets out the purp</w:t>
      </w:r>
      <w:r w:rsidR="009E763E">
        <w:rPr>
          <w:rFonts w:eastAsia="Calibri" w:cs="Times New Roman"/>
        </w:rPr>
        <w:t>ose of the regional subsidiary</w:t>
      </w:r>
      <w:r>
        <w:rPr>
          <w:rFonts w:eastAsia="Calibri" w:cs="Times New Roman"/>
        </w:rPr>
        <w:t xml:space="preserve"> and its governance arrangements prior to its creation.</w:t>
      </w:r>
    </w:p>
    <w:p w14:paraId="20AD3526" w14:textId="77777777" w:rsidR="003F1CFF" w:rsidRDefault="003F1CFF" w:rsidP="001608F1">
      <w:pPr>
        <w:spacing w:after="0"/>
        <w:jc w:val="both"/>
        <w:rPr>
          <w:rFonts w:eastAsia="Calibri" w:cs="Times New Roman"/>
        </w:rPr>
      </w:pPr>
    </w:p>
    <w:p w14:paraId="07A30226" w14:textId="02C8FEAF" w:rsidR="000268CA" w:rsidRDefault="00852FC5" w:rsidP="001608F1">
      <w:pPr>
        <w:spacing w:after="0"/>
        <w:jc w:val="both"/>
        <w:rPr>
          <w:rFonts w:eastAsia="Calibri" w:cs="Times New Roman"/>
        </w:rPr>
      </w:pPr>
      <w:r>
        <w:rPr>
          <w:rFonts w:eastAsia="Calibri" w:cs="Times New Roman"/>
        </w:rPr>
        <w:t>If subsidiaries were permitted to</w:t>
      </w:r>
      <w:r w:rsidR="00E00001">
        <w:rPr>
          <w:rFonts w:eastAsia="Calibri" w:cs="Times New Roman"/>
        </w:rPr>
        <w:t xml:space="preserve"> borrow money</w:t>
      </w:r>
      <w:r>
        <w:rPr>
          <w:rFonts w:eastAsia="Calibri" w:cs="Times New Roman"/>
        </w:rPr>
        <w:t>, this</w:t>
      </w:r>
      <w:r w:rsidR="00E00001">
        <w:rPr>
          <w:rFonts w:eastAsia="Calibri" w:cs="Times New Roman"/>
        </w:rPr>
        <w:t xml:space="preserve"> </w:t>
      </w:r>
      <w:r w:rsidR="006E3866">
        <w:rPr>
          <w:rFonts w:eastAsia="Calibri" w:cs="Times New Roman"/>
        </w:rPr>
        <w:t xml:space="preserve">could </w:t>
      </w:r>
      <w:r>
        <w:rPr>
          <w:rFonts w:eastAsia="Calibri" w:cs="Times New Roman"/>
        </w:rPr>
        <w:t>have a number of advantages:</w:t>
      </w:r>
    </w:p>
    <w:p w14:paraId="1396182A" w14:textId="77777777" w:rsidR="00E00001" w:rsidRPr="00736EDE" w:rsidRDefault="00E00001" w:rsidP="00E00001">
      <w:pPr>
        <w:pStyle w:val="BodyText-nospacebelow"/>
      </w:pPr>
    </w:p>
    <w:tbl>
      <w:tblPr>
        <w:tblStyle w:val="DLGCTable-Data"/>
        <w:tblW w:w="9026" w:type="dxa"/>
        <w:tblLook w:val="04A0" w:firstRow="1" w:lastRow="0" w:firstColumn="1" w:lastColumn="0" w:noHBand="0" w:noVBand="1"/>
      </w:tblPr>
      <w:tblGrid>
        <w:gridCol w:w="3828"/>
        <w:gridCol w:w="5198"/>
      </w:tblGrid>
      <w:tr w:rsidR="00E00001" w:rsidRPr="00736EDE" w14:paraId="6F9254BE" w14:textId="77777777" w:rsidTr="004837F1">
        <w:trPr>
          <w:cnfStyle w:val="100000000000" w:firstRow="1" w:lastRow="0" w:firstColumn="0" w:lastColumn="0" w:oddVBand="0" w:evenVBand="0" w:oddHBand="0" w:evenHBand="0" w:firstRowFirstColumn="0" w:firstRowLastColumn="0" w:lastRowFirstColumn="0" w:lastRowLastColumn="0"/>
        </w:trPr>
        <w:tc>
          <w:tcPr>
            <w:tcW w:w="3828" w:type="dxa"/>
          </w:tcPr>
          <w:bookmarkEnd w:id="1999"/>
          <w:p w14:paraId="0029CB1E" w14:textId="77777777" w:rsidR="00E00001" w:rsidRPr="00736EDE" w:rsidRDefault="00E00001" w:rsidP="00B0548E">
            <w:pPr>
              <w:pStyle w:val="BodyText-nospacebelow"/>
              <w:spacing w:after="100" w:line="276" w:lineRule="auto"/>
              <w:ind w:left="0" w:right="0"/>
            </w:pPr>
            <w:r>
              <w:t>Advantage</w:t>
            </w:r>
          </w:p>
        </w:tc>
        <w:tc>
          <w:tcPr>
            <w:tcW w:w="5198" w:type="dxa"/>
          </w:tcPr>
          <w:p w14:paraId="5E61F8CA" w14:textId="77777777" w:rsidR="00E00001" w:rsidRPr="00736EDE" w:rsidRDefault="00AD700E" w:rsidP="00B0548E">
            <w:pPr>
              <w:pStyle w:val="BodyText-nospacebelow"/>
              <w:spacing w:after="100" w:line="276" w:lineRule="auto"/>
              <w:ind w:left="0" w:right="0"/>
            </w:pPr>
            <w:r>
              <w:t>Reasoning</w:t>
            </w:r>
          </w:p>
        </w:tc>
      </w:tr>
      <w:tr w:rsidR="00E00001" w:rsidRPr="00736EDE" w14:paraId="700F307F" w14:textId="77777777" w:rsidTr="004837F1">
        <w:tc>
          <w:tcPr>
            <w:tcW w:w="3828" w:type="dxa"/>
          </w:tcPr>
          <w:p w14:paraId="5BC9F2CF" w14:textId="77777777" w:rsidR="00E00001" w:rsidRPr="00736EDE" w:rsidRDefault="00E00001" w:rsidP="00B0548E">
            <w:pPr>
              <w:pStyle w:val="BodyText-nospacebelow"/>
              <w:spacing w:after="100" w:line="276" w:lineRule="auto"/>
              <w:ind w:right="0"/>
            </w:pPr>
            <w:r>
              <w:t>Subsidiaries will have a greater capacity to obtain funds</w:t>
            </w:r>
          </w:p>
        </w:tc>
        <w:tc>
          <w:tcPr>
            <w:tcW w:w="5198" w:type="dxa"/>
          </w:tcPr>
          <w:p w14:paraId="6D74DDB7" w14:textId="065C07B8" w:rsidR="00E00001" w:rsidRDefault="00E00001" w:rsidP="00B0548E">
            <w:pPr>
              <w:pStyle w:val="BodyText-nospacebelow"/>
              <w:spacing w:after="100" w:line="276" w:lineRule="auto"/>
              <w:ind w:right="0"/>
            </w:pPr>
            <w:r>
              <w:t xml:space="preserve">The subsidiary </w:t>
            </w:r>
            <w:r w:rsidR="00040EDF">
              <w:t xml:space="preserve">could </w:t>
            </w:r>
            <w:r w:rsidR="00852FC5">
              <w:t xml:space="preserve">borrow money which can be used to </w:t>
            </w:r>
            <w:r>
              <w:t>pursue the subsidiary’s goals.</w:t>
            </w:r>
          </w:p>
          <w:p w14:paraId="376AB29D" w14:textId="77777777" w:rsidR="00E00001" w:rsidRDefault="00E00001" w:rsidP="00E00001">
            <w:pPr>
              <w:pStyle w:val="BodyText-nospacebelow"/>
              <w:spacing w:after="100" w:line="276" w:lineRule="auto"/>
              <w:ind w:right="0"/>
            </w:pPr>
            <w:r>
              <w:t>The subsidiary will be able to obtain funds for unexpected situations</w:t>
            </w:r>
            <w:r w:rsidR="00852FC5">
              <w:t xml:space="preserve"> or emergencies</w:t>
            </w:r>
            <w:r>
              <w:t>.</w:t>
            </w:r>
          </w:p>
          <w:p w14:paraId="1352F1B4" w14:textId="0018F92D" w:rsidR="00E00001" w:rsidRPr="00736EDE" w:rsidRDefault="00E00001" w:rsidP="00C85E65">
            <w:pPr>
              <w:pStyle w:val="BodyText-nospacebelow"/>
              <w:spacing w:after="100" w:line="276" w:lineRule="auto"/>
              <w:ind w:right="0"/>
            </w:pPr>
            <w:r>
              <w:t xml:space="preserve">Establishment of subsidiaries will be easier, since </w:t>
            </w:r>
            <w:r w:rsidR="00C85E65">
              <w:t>once the</w:t>
            </w:r>
            <w:r>
              <w:t xml:space="preserve"> subsidiary</w:t>
            </w:r>
            <w:r w:rsidR="00C85E65">
              <w:t xml:space="preserve"> is formed, it</w:t>
            </w:r>
            <w:r>
              <w:t xml:space="preserve"> can borrow money to </w:t>
            </w:r>
            <w:r w:rsidR="00C85E65">
              <w:t>assist with setting up its operations</w:t>
            </w:r>
            <w:r>
              <w:t>.</w:t>
            </w:r>
          </w:p>
        </w:tc>
      </w:tr>
      <w:tr w:rsidR="00E00001" w:rsidRPr="00736EDE" w14:paraId="622912FC" w14:textId="77777777" w:rsidTr="004837F1">
        <w:tc>
          <w:tcPr>
            <w:tcW w:w="3828" w:type="dxa"/>
          </w:tcPr>
          <w:p w14:paraId="11C47B7D" w14:textId="6E8DB568" w:rsidR="00E00001" w:rsidRDefault="00E00001" w:rsidP="00B0548E">
            <w:pPr>
              <w:pStyle w:val="BodyText-nospacebelow"/>
              <w:spacing w:after="100" w:line="276" w:lineRule="auto"/>
              <w:ind w:right="0"/>
            </w:pPr>
            <w:r>
              <w:t>Subsidiaries will be less dependent on financial contributions</w:t>
            </w:r>
            <w:r w:rsidR="00040EDF">
              <w:t xml:space="preserve"> from the member councils</w:t>
            </w:r>
          </w:p>
          <w:p w14:paraId="39C22DEC" w14:textId="77777777" w:rsidR="00E00001" w:rsidRDefault="00E00001" w:rsidP="00B0548E">
            <w:pPr>
              <w:pStyle w:val="BodyText-nospacebelow"/>
              <w:spacing w:after="100" w:line="276" w:lineRule="auto"/>
              <w:ind w:right="0"/>
            </w:pPr>
          </w:p>
          <w:p w14:paraId="69688375" w14:textId="77777777" w:rsidR="00E00001" w:rsidRPr="00736EDE" w:rsidRDefault="00E00001" w:rsidP="00B0548E">
            <w:pPr>
              <w:pStyle w:val="BodyText-nospacebelow"/>
              <w:spacing w:after="100" w:line="276" w:lineRule="auto"/>
              <w:ind w:right="0"/>
            </w:pPr>
          </w:p>
        </w:tc>
        <w:tc>
          <w:tcPr>
            <w:tcW w:w="5198" w:type="dxa"/>
          </w:tcPr>
          <w:p w14:paraId="69881FB4" w14:textId="77777777" w:rsidR="00E00001" w:rsidRDefault="004837F1" w:rsidP="00852FC5">
            <w:pPr>
              <w:pStyle w:val="BodyText-nospacebelow"/>
              <w:spacing w:after="100" w:line="276" w:lineRule="auto"/>
              <w:ind w:right="0"/>
            </w:pPr>
            <w:r>
              <w:t xml:space="preserve">Subsidiaries will </w:t>
            </w:r>
            <w:r w:rsidR="00852FC5">
              <w:t>require less funding from member councils, since they can borrow money when needed.</w:t>
            </w:r>
          </w:p>
          <w:p w14:paraId="2635346D" w14:textId="28AA7568" w:rsidR="00852FC5" w:rsidRPr="00736EDE" w:rsidRDefault="00852FC5" w:rsidP="003F1CFF">
            <w:pPr>
              <w:pStyle w:val="BodyText-nospacebelow"/>
              <w:spacing w:after="100" w:line="276" w:lineRule="auto"/>
              <w:ind w:right="0"/>
            </w:pPr>
            <w:r>
              <w:t xml:space="preserve">Borrowing money from a bank </w:t>
            </w:r>
            <w:r w:rsidR="003F1CFF">
              <w:t>is</w:t>
            </w:r>
            <w:r w:rsidR="00040EDF">
              <w:t xml:space="preserve"> </w:t>
            </w:r>
            <w:r>
              <w:t>less complex than obtaining funding from the member councils.</w:t>
            </w:r>
          </w:p>
        </w:tc>
      </w:tr>
      <w:tr w:rsidR="00E00001" w:rsidRPr="00736EDE" w14:paraId="48EA30EC" w14:textId="77777777" w:rsidTr="004837F1">
        <w:tc>
          <w:tcPr>
            <w:tcW w:w="3828" w:type="dxa"/>
          </w:tcPr>
          <w:p w14:paraId="5CCA4222" w14:textId="77777777" w:rsidR="00E00001" w:rsidRDefault="00852FC5" w:rsidP="00B0548E">
            <w:pPr>
              <w:pStyle w:val="BodyText-nospacebelow"/>
              <w:spacing w:after="100" w:line="276" w:lineRule="auto"/>
              <w:ind w:right="0"/>
            </w:pPr>
            <w:r>
              <w:t>Subsidiaries will be more attractive to local governments</w:t>
            </w:r>
          </w:p>
          <w:p w14:paraId="56580477" w14:textId="77777777" w:rsidR="00852FC5" w:rsidRPr="00736EDE" w:rsidRDefault="00852FC5" w:rsidP="00852FC5">
            <w:pPr>
              <w:pStyle w:val="BodyText-nospacebelow"/>
              <w:spacing w:after="100" w:line="276" w:lineRule="auto"/>
              <w:ind w:left="0" w:right="0"/>
            </w:pPr>
          </w:p>
        </w:tc>
        <w:tc>
          <w:tcPr>
            <w:tcW w:w="5198" w:type="dxa"/>
          </w:tcPr>
          <w:p w14:paraId="09B03B93" w14:textId="77777777" w:rsidR="00E00001" w:rsidRPr="00736EDE" w:rsidRDefault="00852FC5" w:rsidP="00852FC5">
            <w:pPr>
              <w:pStyle w:val="BodyText-nospacebelow"/>
              <w:spacing w:after="100" w:line="276" w:lineRule="auto"/>
              <w:ind w:right="0"/>
            </w:pPr>
            <w:r>
              <w:t>If the subsidiary model is more flexible, there is more chance that local governments will consider using the model.</w:t>
            </w:r>
          </w:p>
        </w:tc>
      </w:tr>
      <w:tr w:rsidR="00F14369" w:rsidRPr="00736EDE" w14:paraId="03BBBEE2" w14:textId="77777777" w:rsidTr="004837F1">
        <w:tc>
          <w:tcPr>
            <w:tcW w:w="3828" w:type="dxa"/>
          </w:tcPr>
          <w:p w14:paraId="375C70DA" w14:textId="2E66DE57" w:rsidR="00F14369" w:rsidRDefault="003C0B3A" w:rsidP="003C0B3A">
            <w:pPr>
              <w:pStyle w:val="BodyText-nospacebelow"/>
              <w:spacing w:after="100"/>
            </w:pPr>
            <w:r>
              <w:t>C</w:t>
            </w:r>
            <w:r w:rsidR="00F14369">
              <w:t xml:space="preserve">omplexity </w:t>
            </w:r>
            <w:r>
              <w:t xml:space="preserve">will be reduced </w:t>
            </w:r>
            <w:r w:rsidR="00F14369">
              <w:t>for the member councils</w:t>
            </w:r>
          </w:p>
        </w:tc>
        <w:tc>
          <w:tcPr>
            <w:tcW w:w="5198" w:type="dxa"/>
          </w:tcPr>
          <w:p w14:paraId="70623C99" w14:textId="1B0499BA" w:rsidR="00F14369" w:rsidRDefault="00F14369" w:rsidP="00852FC5">
            <w:pPr>
              <w:pStyle w:val="BodyText-nospacebelow"/>
              <w:spacing w:after="100"/>
            </w:pPr>
            <w:r>
              <w:t>The forming councils do not have to consider how the loan will be apportioned between them</w:t>
            </w:r>
            <w:r w:rsidR="003365EA">
              <w:t>.</w:t>
            </w:r>
          </w:p>
        </w:tc>
      </w:tr>
    </w:tbl>
    <w:p w14:paraId="5B63A241" w14:textId="77777777" w:rsidR="00852FC5" w:rsidRDefault="00852FC5" w:rsidP="00852FC5">
      <w:pPr>
        <w:spacing w:after="0"/>
        <w:rPr>
          <w:rFonts w:eastAsia="Calibri" w:cs="Times New Roman"/>
        </w:rPr>
      </w:pPr>
    </w:p>
    <w:p w14:paraId="18546D42" w14:textId="77777777" w:rsidR="00852FC5" w:rsidRDefault="00852FC5" w:rsidP="00852FC5">
      <w:pPr>
        <w:spacing w:after="0"/>
        <w:rPr>
          <w:rFonts w:eastAsia="Calibri" w:cs="Times New Roman"/>
        </w:rPr>
      </w:pPr>
      <w:r>
        <w:rPr>
          <w:rFonts w:eastAsia="Calibri" w:cs="Times New Roman"/>
        </w:rPr>
        <w:t>Allowing subsidiaries to borrow money would also involve a number of risks and disadvantages which are set out below:</w:t>
      </w:r>
    </w:p>
    <w:p w14:paraId="79F0480D" w14:textId="77777777" w:rsidR="00852FC5" w:rsidRPr="00736EDE" w:rsidRDefault="00852FC5" w:rsidP="00852FC5">
      <w:pPr>
        <w:pStyle w:val="BodyText-nospacebelow"/>
      </w:pPr>
    </w:p>
    <w:tbl>
      <w:tblPr>
        <w:tblStyle w:val="DLGCTable-Data"/>
        <w:tblW w:w="9026" w:type="dxa"/>
        <w:tblLook w:val="04A0" w:firstRow="1" w:lastRow="0" w:firstColumn="1" w:lastColumn="0" w:noHBand="0" w:noVBand="1"/>
      </w:tblPr>
      <w:tblGrid>
        <w:gridCol w:w="3828"/>
        <w:gridCol w:w="5198"/>
      </w:tblGrid>
      <w:tr w:rsidR="00852FC5" w:rsidRPr="00736EDE" w14:paraId="4C3E5D9C" w14:textId="77777777" w:rsidTr="00B0548E">
        <w:trPr>
          <w:cnfStyle w:val="100000000000" w:firstRow="1" w:lastRow="0" w:firstColumn="0" w:lastColumn="0" w:oddVBand="0" w:evenVBand="0" w:oddHBand="0" w:evenHBand="0" w:firstRowFirstColumn="0" w:firstRowLastColumn="0" w:lastRowFirstColumn="0" w:lastRowLastColumn="0"/>
        </w:trPr>
        <w:tc>
          <w:tcPr>
            <w:tcW w:w="3828" w:type="dxa"/>
          </w:tcPr>
          <w:p w14:paraId="12091B14" w14:textId="77777777" w:rsidR="00852FC5" w:rsidRPr="00736EDE" w:rsidRDefault="00852FC5" w:rsidP="00B0548E">
            <w:pPr>
              <w:pStyle w:val="BodyText-nospacebelow"/>
              <w:spacing w:after="100" w:line="276" w:lineRule="auto"/>
              <w:ind w:left="0" w:right="0"/>
            </w:pPr>
            <w:r>
              <w:t>Disadvantage</w:t>
            </w:r>
          </w:p>
        </w:tc>
        <w:tc>
          <w:tcPr>
            <w:tcW w:w="5198" w:type="dxa"/>
          </w:tcPr>
          <w:p w14:paraId="02608797" w14:textId="77777777" w:rsidR="00852FC5" w:rsidRPr="00736EDE" w:rsidRDefault="00AD700E" w:rsidP="00B0548E">
            <w:pPr>
              <w:pStyle w:val="BodyText-nospacebelow"/>
              <w:spacing w:after="100" w:line="276" w:lineRule="auto"/>
              <w:ind w:left="0" w:right="0"/>
            </w:pPr>
            <w:r>
              <w:t>Reasoning</w:t>
            </w:r>
          </w:p>
        </w:tc>
      </w:tr>
      <w:tr w:rsidR="00852FC5" w:rsidRPr="00736EDE" w14:paraId="5485C3E5" w14:textId="77777777" w:rsidTr="00B0548E">
        <w:tc>
          <w:tcPr>
            <w:tcW w:w="3828" w:type="dxa"/>
          </w:tcPr>
          <w:p w14:paraId="0F99F488" w14:textId="77777777" w:rsidR="00852FC5" w:rsidRPr="00736EDE" w:rsidRDefault="00852FC5" w:rsidP="00B0548E">
            <w:pPr>
              <w:pStyle w:val="BodyText-nospacebelow"/>
              <w:spacing w:after="100" w:line="276" w:lineRule="auto"/>
              <w:ind w:right="0"/>
            </w:pPr>
            <w:r>
              <w:t>Increased vulnerability</w:t>
            </w:r>
          </w:p>
        </w:tc>
        <w:tc>
          <w:tcPr>
            <w:tcW w:w="5198" w:type="dxa"/>
          </w:tcPr>
          <w:p w14:paraId="2046BB22" w14:textId="77777777" w:rsidR="00852FC5" w:rsidRPr="00736EDE" w:rsidRDefault="00852FC5" w:rsidP="00852FC5">
            <w:pPr>
              <w:pStyle w:val="BodyText-nospacebelow"/>
              <w:spacing w:after="100" w:line="276" w:lineRule="auto"/>
              <w:ind w:right="0"/>
            </w:pPr>
            <w:r>
              <w:t>If a subsidiary incurs significant levels of debt, this will make the subsidiary more vulnerable to financial or economic shocks.</w:t>
            </w:r>
          </w:p>
        </w:tc>
      </w:tr>
      <w:tr w:rsidR="00852FC5" w:rsidRPr="00736EDE" w14:paraId="65F8A87D" w14:textId="77777777" w:rsidTr="00B0548E">
        <w:tc>
          <w:tcPr>
            <w:tcW w:w="3828" w:type="dxa"/>
          </w:tcPr>
          <w:p w14:paraId="2AB8F90A" w14:textId="77777777" w:rsidR="00852FC5" w:rsidRDefault="00852FC5" w:rsidP="00B0548E">
            <w:pPr>
              <w:pStyle w:val="BodyText-nospacebelow"/>
              <w:spacing w:after="100" w:line="276" w:lineRule="auto"/>
              <w:ind w:right="0"/>
            </w:pPr>
            <w:r>
              <w:t>Increased chance of insolvency</w:t>
            </w:r>
          </w:p>
          <w:p w14:paraId="1536CE1A" w14:textId="77777777" w:rsidR="00852FC5" w:rsidRDefault="00852FC5" w:rsidP="00B0548E">
            <w:pPr>
              <w:pStyle w:val="BodyText-nospacebelow"/>
              <w:spacing w:after="100" w:line="276" w:lineRule="auto"/>
              <w:ind w:right="0"/>
            </w:pPr>
          </w:p>
          <w:p w14:paraId="728D6A46" w14:textId="77777777" w:rsidR="00852FC5" w:rsidRPr="00736EDE" w:rsidRDefault="00852FC5" w:rsidP="00B0548E">
            <w:pPr>
              <w:pStyle w:val="BodyText-nospacebelow"/>
              <w:spacing w:after="100" w:line="276" w:lineRule="auto"/>
              <w:ind w:right="0"/>
            </w:pPr>
          </w:p>
        </w:tc>
        <w:tc>
          <w:tcPr>
            <w:tcW w:w="5198" w:type="dxa"/>
          </w:tcPr>
          <w:p w14:paraId="3632ED6D" w14:textId="77777777" w:rsidR="00852FC5" w:rsidRDefault="00852FC5" w:rsidP="00B0548E">
            <w:pPr>
              <w:pStyle w:val="BodyText-nospacebelow"/>
              <w:spacing w:after="100" w:line="276" w:lineRule="auto"/>
              <w:ind w:right="0"/>
            </w:pPr>
            <w:r>
              <w:t xml:space="preserve">If a subsidiary is unable to pay its debts, the member councils will be required to pay the debts on the subsidiary’s behalf. </w:t>
            </w:r>
          </w:p>
          <w:p w14:paraId="41A159A3" w14:textId="20448E4B" w:rsidR="00852FC5" w:rsidRPr="00736EDE" w:rsidRDefault="00852FC5" w:rsidP="00B0548E">
            <w:pPr>
              <w:pStyle w:val="BodyText-nospacebelow"/>
              <w:spacing w:after="100" w:line="276" w:lineRule="auto"/>
              <w:ind w:right="0"/>
            </w:pPr>
            <w:r>
              <w:t>This could cause significant financial loss and the loss of jobs. It will also cause significant damage to public confidence.</w:t>
            </w:r>
          </w:p>
        </w:tc>
      </w:tr>
      <w:tr w:rsidR="00040EDF" w:rsidRPr="00736EDE" w14:paraId="6C48AD26" w14:textId="77777777" w:rsidTr="00B0548E">
        <w:tc>
          <w:tcPr>
            <w:tcW w:w="3828" w:type="dxa"/>
          </w:tcPr>
          <w:p w14:paraId="1CCC78DF" w14:textId="307AFABA" w:rsidR="00040EDF" w:rsidRDefault="00040EDF" w:rsidP="00B0548E">
            <w:pPr>
              <w:pStyle w:val="BodyText-nospacebelow"/>
              <w:spacing w:after="100"/>
            </w:pPr>
            <w:r>
              <w:t>Reduced control by member councils</w:t>
            </w:r>
          </w:p>
        </w:tc>
        <w:tc>
          <w:tcPr>
            <w:tcW w:w="5198" w:type="dxa"/>
          </w:tcPr>
          <w:p w14:paraId="3B802C4D" w14:textId="77777777" w:rsidR="00040EDF" w:rsidRDefault="00040EDF" w:rsidP="00B0548E">
            <w:pPr>
              <w:pStyle w:val="BodyText-nospacebelow"/>
              <w:spacing w:after="100"/>
            </w:pPr>
            <w:r>
              <w:t>Member councils will have less control over the borrowing activities of the subsidiary, with the degree of control and reporting entirely dependent upon any restrictions placed in the charter.</w:t>
            </w:r>
          </w:p>
          <w:p w14:paraId="1B345426" w14:textId="77777777" w:rsidR="00040EDF" w:rsidRDefault="00040EDF" w:rsidP="00B0548E">
            <w:pPr>
              <w:pStyle w:val="BodyText-nospacebelow"/>
              <w:spacing w:after="100"/>
            </w:pPr>
            <w:r>
              <w:t>Member councils may not foresee the need for these at the time of forming the subsidiary</w:t>
            </w:r>
            <w:r w:rsidR="00F14369">
              <w:t xml:space="preserve"> or may not have sufficient skills in this area to ensure that adequate safeguards are put in place.</w:t>
            </w:r>
          </w:p>
          <w:p w14:paraId="6B45B549" w14:textId="7444CD1B" w:rsidR="00EB0F2B" w:rsidRDefault="00EB0F2B" w:rsidP="00B0548E">
            <w:pPr>
              <w:pStyle w:val="BodyText-nospacebelow"/>
              <w:spacing w:after="100"/>
            </w:pPr>
            <w:r>
              <w:t>There is no requirement for the managing body of a regional subsidiary to have any members from the local governments (whether elected members or officers).</w:t>
            </w:r>
          </w:p>
        </w:tc>
      </w:tr>
      <w:tr w:rsidR="00852FC5" w:rsidRPr="00736EDE" w14:paraId="4EEDD7AE" w14:textId="77777777" w:rsidTr="00B0548E">
        <w:tc>
          <w:tcPr>
            <w:tcW w:w="3828" w:type="dxa"/>
          </w:tcPr>
          <w:p w14:paraId="0F64C14B" w14:textId="77777777" w:rsidR="00852FC5" w:rsidRDefault="00852FC5" w:rsidP="00B0548E">
            <w:pPr>
              <w:pStyle w:val="BodyText-nospacebelow"/>
              <w:spacing w:after="100" w:line="276" w:lineRule="auto"/>
              <w:ind w:right="0"/>
            </w:pPr>
            <w:r>
              <w:t>Repayments</w:t>
            </w:r>
          </w:p>
          <w:p w14:paraId="275813B8" w14:textId="77777777" w:rsidR="00852FC5" w:rsidRPr="00736EDE" w:rsidRDefault="00852FC5" w:rsidP="00B0548E">
            <w:pPr>
              <w:pStyle w:val="BodyText-nospacebelow"/>
              <w:spacing w:after="100" w:line="276" w:lineRule="auto"/>
              <w:ind w:left="0" w:right="0"/>
            </w:pPr>
          </w:p>
        </w:tc>
        <w:tc>
          <w:tcPr>
            <w:tcW w:w="5198" w:type="dxa"/>
          </w:tcPr>
          <w:p w14:paraId="78F93988" w14:textId="77777777" w:rsidR="005907F1" w:rsidRDefault="00AD700E" w:rsidP="005907F1">
            <w:pPr>
              <w:pStyle w:val="BodyText-nospacebelow"/>
              <w:spacing w:after="100" w:line="276" w:lineRule="auto"/>
              <w:ind w:right="0"/>
            </w:pPr>
            <w:r>
              <w:t>Once a subsidiary borrows money, it will need to pay the money back in addition to interest repayments.</w:t>
            </w:r>
          </w:p>
          <w:p w14:paraId="0C20FF62" w14:textId="77777777" w:rsidR="00AD700E" w:rsidRDefault="00AD700E" w:rsidP="005907F1">
            <w:pPr>
              <w:pStyle w:val="BodyText-nospacebelow"/>
              <w:spacing w:after="100" w:line="276" w:lineRule="auto"/>
              <w:ind w:right="0"/>
            </w:pPr>
            <w:r>
              <w:t>This will place the subsidiary under pressure to earn revenue to repay the loan.</w:t>
            </w:r>
          </w:p>
          <w:p w14:paraId="68F21882" w14:textId="77777777" w:rsidR="00AD700E" w:rsidRDefault="00AD700E" w:rsidP="00B0548E">
            <w:pPr>
              <w:pStyle w:val="BodyText-nospacebelow"/>
              <w:spacing w:after="100" w:line="276" w:lineRule="auto"/>
              <w:ind w:right="0"/>
            </w:pPr>
            <w:r>
              <w:t>Any money spent on interest repayments will divert money which could have been spent on service provision.</w:t>
            </w:r>
          </w:p>
          <w:p w14:paraId="2AA31F20" w14:textId="0E7D719C" w:rsidR="00AD700E" w:rsidRPr="00736EDE" w:rsidRDefault="00AD700E" w:rsidP="00EB0F2B">
            <w:pPr>
              <w:pStyle w:val="BodyText-nospacebelow"/>
              <w:spacing w:after="100" w:line="276" w:lineRule="auto"/>
              <w:ind w:right="0"/>
            </w:pPr>
            <w:r>
              <w:t>If a subsidiary is unable to pay back a loan, the member councils will be liable for any interest which is unpaid</w:t>
            </w:r>
            <w:r w:rsidR="00040EDF">
              <w:t xml:space="preserve"> as well as the principal</w:t>
            </w:r>
            <w:r w:rsidR="00C85E65">
              <w:t xml:space="preserve"> loan</w:t>
            </w:r>
            <w:r>
              <w:t xml:space="preserve">. </w:t>
            </w:r>
          </w:p>
        </w:tc>
      </w:tr>
      <w:tr w:rsidR="00AD700E" w:rsidRPr="00736EDE" w14:paraId="2221C6CF" w14:textId="77777777" w:rsidTr="00040EDF">
        <w:trPr>
          <w:trHeight w:val="3301"/>
        </w:trPr>
        <w:tc>
          <w:tcPr>
            <w:tcW w:w="3828" w:type="dxa"/>
          </w:tcPr>
          <w:p w14:paraId="15780BE0" w14:textId="1DCF084B" w:rsidR="00AC5E9C" w:rsidRDefault="00C85E65" w:rsidP="00B0548E">
            <w:pPr>
              <w:pStyle w:val="BodyText-nospacebelow"/>
              <w:spacing w:after="100"/>
            </w:pPr>
            <w:r>
              <w:t xml:space="preserve">Subprime </w:t>
            </w:r>
            <w:r w:rsidR="00AD700E">
              <w:t>lending</w:t>
            </w:r>
          </w:p>
          <w:p w14:paraId="396C45CD" w14:textId="77777777" w:rsidR="00AC5E9C" w:rsidRPr="00AC5E9C" w:rsidRDefault="00AC5E9C" w:rsidP="00AC5E9C"/>
          <w:p w14:paraId="15F8736A" w14:textId="77777777" w:rsidR="00AD700E" w:rsidRPr="00AC5E9C" w:rsidRDefault="00AD700E" w:rsidP="00F14369"/>
        </w:tc>
        <w:tc>
          <w:tcPr>
            <w:tcW w:w="5198" w:type="dxa"/>
          </w:tcPr>
          <w:p w14:paraId="7770787B" w14:textId="77777777" w:rsidR="005907F1" w:rsidRDefault="00AD700E" w:rsidP="00AC5E9C">
            <w:pPr>
              <w:pStyle w:val="BodyText-nospacebelow"/>
              <w:spacing w:after="100"/>
            </w:pPr>
            <w:r>
              <w:t>The debts of a subsidiary will always be guaranteed by member councils.</w:t>
            </w:r>
          </w:p>
          <w:p w14:paraId="30CAF1C2" w14:textId="7AD6BC13" w:rsidR="005907F1" w:rsidRDefault="005907F1" w:rsidP="00AC5E9C">
            <w:pPr>
              <w:pStyle w:val="BodyText-nospacebelow"/>
              <w:spacing w:after="100"/>
            </w:pPr>
            <w:r>
              <w:t>B</w:t>
            </w:r>
            <w:r w:rsidR="00AD700E">
              <w:t xml:space="preserve">anks </w:t>
            </w:r>
            <w:r>
              <w:t xml:space="preserve">will </w:t>
            </w:r>
            <w:r w:rsidR="00AD700E">
              <w:t xml:space="preserve">have little incentive to ensure that the subsidiary </w:t>
            </w:r>
            <w:r w:rsidR="00EB0F2B">
              <w:t xml:space="preserve">itself </w:t>
            </w:r>
            <w:r w:rsidR="00AD700E">
              <w:t>can repay the</w:t>
            </w:r>
            <w:r>
              <w:t xml:space="preserve"> loan, since the debt can always be recovered from ratepayer money.</w:t>
            </w:r>
          </w:p>
          <w:p w14:paraId="74A968AE" w14:textId="77777777" w:rsidR="00AD700E" w:rsidRDefault="005907F1" w:rsidP="00AC5E9C">
            <w:pPr>
              <w:pStyle w:val="BodyText-nospacebelow"/>
              <w:spacing w:after="100"/>
            </w:pPr>
            <w:r>
              <w:t xml:space="preserve">Banks that make risky loans to a subsidiary will actually be rewarded if the debt spirals out of control, since this increases the </w:t>
            </w:r>
            <w:r w:rsidR="002962AF">
              <w:t>to</w:t>
            </w:r>
            <w:r>
              <w:t xml:space="preserve">tal profit </w:t>
            </w:r>
            <w:r w:rsidR="00AC5E9C">
              <w:t>th</w:t>
            </w:r>
            <w:r>
              <w:t>at the bank will receive.</w:t>
            </w:r>
          </w:p>
        </w:tc>
      </w:tr>
    </w:tbl>
    <w:p w14:paraId="04D4C6C0" w14:textId="77777777" w:rsidR="00AC5E9C" w:rsidRDefault="00AC5E9C" w:rsidP="00AC5E9C">
      <w:pPr>
        <w:spacing w:after="0"/>
        <w:rPr>
          <w:rFonts w:eastAsia="Calibri" w:cs="Times New Roman"/>
        </w:rPr>
      </w:pPr>
    </w:p>
    <w:p w14:paraId="71D9552A" w14:textId="77777777" w:rsidR="00AC5E9C" w:rsidRDefault="00AC5E9C" w:rsidP="001608F1">
      <w:pPr>
        <w:spacing w:after="0"/>
        <w:jc w:val="both"/>
        <w:rPr>
          <w:rFonts w:eastAsia="Calibri" w:cs="Times New Roman"/>
        </w:rPr>
      </w:pPr>
      <w:r>
        <w:rPr>
          <w:rFonts w:eastAsia="Calibri" w:cs="Times New Roman"/>
        </w:rPr>
        <w:t xml:space="preserve">While the borrowing of money would lead to a number of risks, the danger could be mitigated by ensuring sufficient protections. </w:t>
      </w:r>
    </w:p>
    <w:p w14:paraId="39A52CE9" w14:textId="77F07907" w:rsidR="00AC5E9C" w:rsidRDefault="00AC5E9C" w:rsidP="001608F1">
      <w:pPr>
        <w:spacing w:after="0"/>
        <w:jc w:val="both"/>
        <w:rPr>
          <w:rFonts w:eastAsia="Calibri" w:cs="Times New Roman"/>
        </w:rPr>
      </w:pPr>
      <w:r>
        <w:rPr>
          <w:rFonts w:eastAsia="Calibri" w:cs="Times New Roman"/>
        </w:rPr>
        <w:t>These legislative protections could include</w:t>
      </w:r>
      <w:r w:rsidR="00EB0F2B">
        <w:rPr>
          <w:rFonts w:eastAsia="Calibri" w:cs="Times New Roman"/>
        </w:rPr>
        <w:t xml:space="preserve"> one or more of</w:t>
      </w:r>
      <w:r>
        <w:rPr>
          <w:rFonts w:eastAsia="Calibri" w:cs="Times New Roman"/>
        </w:rPr>
        <w:t>:</w:t>
      </w:r>
    </w:p>
    <w:p w14:paraId="10B8BBD7" w14:textId="04633636" w:rsidR="00AC5E9C" w:rsidRDefault="00AC5E9C" w:rsidP="001608F1">
      <w:pPr>
        <w:pStyle w:val="ListParagraph"/>
        <w:numPr>
          <w:ilvl w:val="0"/>
          <w:numId w:val="111"/>
        </w:numPr>
        <w:spacing w:after="0"/>
        <w:jc w:val="both"/>
        <w:rPr>
          <w:rFonts w:eastAsia="Calibri" w:cs="Times New Roman"/>
        </w:rPr>
      </w:pPr>
      <w:r>
        <w:rPr>
          <w:rFonts w:eastAsia="Calibri" w:cs="Times New Roman"/>
        </w:rPr>
        <w:t xml:space="preserve">Increasing the </w:t>
      </w:r>
      <w:r w:rsidR="00EB0F2B">
        <w:rPr>
          <w:rFonts w:eastAsia="Calibri" w:cs="Times New Roman"/>
        </w:rPr>
        <w:t xml:space="preserve">required </w:t>
      </w:r>
      <w:r>
        <w:rPr>
          <w:rFonts w:eastAsia="Calibri" w:cs="Times New Roman"/>
        </w:rPr>
        <w:t>reporting requirements of a subsidiary;</w:t>
      </w:r>
    </w:p>
    <w:p w14:paraId="1A0AEEBD" w14:textId="7A4E2D2C" w:rsidR="00AC5E9C" w:rsidRDefault="00AC5E9C" w:rsidP="001608F1">
      <w:pPr>
        <w:pStyle w:val="ListParagraph"/>
        <w:numPr>
          <w:ilvl w:val="0"/>
          <w:numId w:val="111"/>
        </w:numPr>
        <w:spacing w:after="0"/>
        <w:jc w:val="both"/>
        <w:rPr>
          <w:rFonts w:eastAsia="Calibri" w:cs="Times New Roman"/>
        </w:rPr>
      </w:pPr>
      <w:r>
        <w:rPr>
          <w:rFonts w:eastAsia="Calibri" w:cs="Times New Roman"/>
        </w:rPr>
        <w:t>Requiring the subsidiary to obtain consent to borrow;</w:t>
      </w:r>
    </w:p>
    <w:p w14:paraId="30759503" w14:textId="77777777" w:rsidR="00AC5E9C" w:rsidRDefault="00AC5E9C" w:rsidP="001608F1">
      <w:pPr>
        <w:pStyle w:val="ListParagraph"/>
        <w:numPr>
          <w:ilvl w:val="0"/>
          <w:numId w:val="111"/>
        </w:numPr>
        <w:spacing w:after="0"/>
        <w:jc w:val="both"/>
        <w:rPr>
          <w:rFonts w:eastAsia="Calibri" w:cs="Times New Roman"/>
        </w:rPr>
      </w:pPr>
      <w:r>
        <w:rPr>
          <w:rFonts w:eastAsia="Calibri" w:cs="Times New Roman"/>
        </w:rPr>
        <w:t xml:space="preserve">Only allowing borrowing to occur when permitted by the charter; </w:t>
      </w:r>
    </w:p>
    <w:p w14:paraId="29E27174" w14:textId="77777777" w:rsidR="00AC5E9C" w:rsidRDefault="00AC5E9C" w:rsidP="001608F1">
      <w:pPr>
        <w:pStyle w:val="ListParagraph"/>
        <w:numPr>
          <w:ilvl w:val="0"/>
          <w:numId w:val="111"/>
        </w:numPr>
        <w:spacing w:after="0"/>
        <w:jc w:val="both"/>
        <w:rPr>
          <w:rFonts w:eastAsia="Calibri" w:cs="Times New Roman"/>
        </w:rPr>
      </w:pPr>
      <w:r>
        <w:rPr>
          <w:rFonts w:eastAsia="Calibri" w:cs="Times New Roman"/>
        </w:rPr>
        <w:t>Limiting the purposes for which money can be borrowed; or</w:t>
      </w:r>
    </w:p>
    <w:p w14:paraId="6F272F0D" w14:textId="77777777" w:rsidR="00AC5E9C" w:rsidRDefault="00AC5E9C" w:rsidP="001608F1">
      <w:pPr>
        <w:pStyle w:val="ListParagraph"/>
        <w:numPr>
          <w:ilvl w:val="0"/>
          <w:numId w:val="111"/>
        </w:numPr>
        <w:spacing w:after="0"/>
        <w:jc w:val="both"/>
        <w:rPr>
          <w:rFonts w:eastAsia="Calibri" w:cs="Times New Roman"/>
        </w:rPr>
      </w:pPr>
      <w:r>
        <w:rPr>
          <w:rFonts w:eastAsia="Calibri" w:cs="Times New Roman"/>
        </w:rPr>
        <w:t>Limiting the amounts which can be borrowed by a subsidiary.</w:t>
      </w:r>
    </w:p>
    <w:p w14:paraId="4D45039A" w14:textId="77777777" w:rsidR="00AC5E9C" w:rsidRDefault="00AC5E9C" w:rsidP="001608F1">
      <w:pPr>
        <w:pStyle w:val="ListParagraph"/>
        <w:spacing w:after="0"/>
        <w:jc w:val="both"/>
        <w:rPr>
          <w:rFonts w:eastAsia="Calibri" w:cs="Times New Roman"/>
        </w:rPr>
      </w:pPr>
    </w:p>
    <w:p w14:paraId="6BA80AC7" w14:textId="77777777" w:rsidR="00AC5E9C" w:rsidRPr="00AC5E9C" w:rsidRDefault="00AC5E9C" w:rsidP="001608F1">
      <w:pPr>
        <w:spacing w:after="0"/>
        <w:jc w:val="both"/>
        <w:rPr>
          <w:rFonts w:eastAsia="Calibri" w:cs="Times New Roman"/>
        </w:rPr>
      </w:pPr>
      <w:r>
        <w:rPr>
          <w:rFonts w:eastAsia="Calibri" w:cs="Times New Roman"/>
        </w:rPr>
        <w:t>Each one of these precautions would lower the risk of a subsidiary, but</w:t>
      </w:r>
      <w:r w:rsidR="00B0548E">
        <w:rPr>
          <w:rFonts w:eastAsia="Calibri" w:cs="Times New Roman"/>
        </w:rPr>
        <w:t xml:space="preserve"> would also represent a reduction in the model’s </w:t>
      </w:r>
      <w:r>
        <w:rPr>
          <w:rFonts w:eastAsia="Calibri" w:cs="Times New Roman"/>
        </w:rPr>
        <w:t>flexibility.</w:t>
      </w:r>
    </w:p>
    <w:p w14:paraId="3EEAC314" w14:textId="77777777" w:rsidR="009F7BFB" w:rsidRPr="0047431A" w:rsidRDefault="009F7BFB" w:rsidP="009F7BFB">
      <w:pPr>
        <w:pStyle w:val="Heading2"/>
      </w:pPr>
      <w:bookmarkStart w:id="2000" w:name="_Toc495998417"/>
      <w:bookmarkStart w:id="2001" w:name="_Toc497741882"/>
      <w:bookmarkStart w:id="2002" w:name="_Toc495497690"/>
      <w:bookmarkStart w:id="2003" w:name="_Toc495671524"/>
      <w:bookmarkStart w:id="2004" w:name="_Toc495676125"/>
      <w:bookmarkStart w:id="2005" w:name="_Toc495678420"/>
      <w:r w:rsidRPr="0047431A">
        <w:t>Across Australia</w:t>
      </w:r>
      <w:bookmarkEnd w:id="2000"/>
      <w:bookmarkEnd w:id="2001"/>
    </w:p>
    <w:p w14:paraId="19BC2B7E" w14:textId="2427DB03" w:rsidR="005907F1" w:rsidRDefault="001209F3" w:rsidP="001608F1">
      <w:pPr>
        <w:spacing w:after="0"/>
        <w:jc w:val="both"/>
        <w:rPr>
          <w:rFonts w:eastAsia="Calibri" w:cs="Times New Roman"/>
        </w:rPr>
      </w:pPr>
      <w:bookmarkStart w:id="2006" w:name="_Toc495497691"/>
      <w:bookmarkStart w:id="2007" w:name="_Toc495671525"/>
      <w:bookmarkStart w:id="2008" w:name="_Toc495676126"/>
      <w:bookmarkStart w:id="2009" w:name="_Toc495678421"/>
      <w:bookmarkEnd w:id="2002"/>
      <w:bookmarkEnd w:id="2003"/>
      <w:bookmarkEnd w:id="2004"/>
      <w:bookmarkEnd w:id="2005"/>
      <w:r>
        <w:rPr>
          <w:rFonts w:eastAsia="Calibri" w:cs="Times New Roman"/>
        </w:rPr>
        <w:t xml:space="preserve">Each Australian jurisdiction has a different approach regarding whether subsidiaries are allowed to borrow money. </w:t>
      </w:r>
      <w:r w:rsidR="00EB0F2B">
        <w:rPr>
          <w:rFonts w:eastAsia="Calibri" w:cs="Times New Roman"/>
        </w:rPr>
        <w:t xml:space="preserve">Subsidiaries in this situation has been interpreted widely to be the most applicable model in that jurisdiction.  </w:t>
      </w:r>
      <w:r>
        <w:rPr>
          <w:rFonts w:eastAsia="Calibri" w:cs="Times New Roman"/>
        </w:rPr>
        <w:t>The range of approaches is as follows:</w:t>
      </w:r>
      <w:bookmarkEnd w:id="2006"/>
      <w:bookmarkEnd w:id="2007"/>
      <w:bookmarkEnd w:id="2008"/>
      <w:bookmarkEnd w:id="2009"/>
    </w:p>
    <w:p w14:paraId="4B76B785" w14:textId="77777777" w:rsidR="001608F1" w:rsidRPr="005907F1" w:rsidRDefault="001608F1" w:rsidP="001608F1">
      <w:pPr>
        <w:spacing w:after="0"/>
        <w:jc w:val="both"/>
        <w:rPr>
          <w:rFonts w:eastAsiaTheme="majorEastAsia" w:cs="Arial"/>
          <w:bCs/>
          <w:color w:val="2C5C86"/>
          <w:sz w:val="32"/>
          <w:szCs w:val="26"/>
          <w:lang w:eastAsia="en-AU"/>
        </w:rPr>
      </w:pPr>
    </w:p>
    <w:tbl>
      <w:tblPr>
        <w:tblStyle w:val="DLGCTable-Data"/>
        <w:tblW w:w="8931" w:type="dxa"/>
        <w:tblLayout w:type="fixed"/>
        <w:tblLook w:val="04A0" w:firstRow="1" w:lastRow="0" w:firstColumn="1" w:lastColumn="0" w:noHBand="0" w:noVBand="1"/>
      </w:tblPr>
      <w:tblGrid>
        <w:gridCol w:w="1980"/>
        <w:gridCol w:w="6951"/>
      </w:tblGrid>
      <w:tr w:rsidR="005907F1" w:rsidRPr="0047431A" w14:paraId="5F498AF8" w14:textId="77777777" w:rsidTr="00917A77">
        <w:trPr>
          <w:cnfStyle w:val="100000000000" w:firstRow="1" w:lastRow="0" w:firstColumn="0" w:lastColumn="0" w:oddVBand="0" w:evenVBand="0" w:oddHBand="0" w:evenHBand="0" w:firstRowFirstColumn="0" w:firstRowLastColumn="0" w:lastRowFirstColumn="0" w:lastRowLastColumn="0"/>
          <w:trHeight w:val="511"/>
        </w:trPr>
        <w:tc>
          <w:tcPr>
            <w:tcW w:w="1980" w:type="dxa"/>
          </w:tcPr>
          <w:p w14:paraId="62DD3718" w14:textId="77777777" w:rsidR="005907F1" w:rsidRPr="0047431A" w:rsidRDefault="005907F1" w:rsidP="00B0548E">
            <w:pPr>
              <w:pStyle w:val="BodyText-nospacebelow"/>
            </w:pPr>
            <w:r w:rsidRPr="0047431A">
              <w:t>Jurisdiction</w:t>
            </w:r>
          </w:p>
        </w:tc>
        <w:tc>
          <w:tcPr>
            <w:tcW w:w="6951" w:type="dxa"/>
          </w:tcPr>
          <w:p w14:paraId="5B978802" w14:textId="77777777" w:rsidR="005907F1" w:rsidRPr="0047431A" w:rsidRDefault="005907F1" w:rsidP="00B0548E">
            <w:pPr>
              <w:pStyle w:val="BodyText-nospacebelow"/>
            </w:pPr>
            <w:r w:rsidRPr="0047431A">
              <w:t>Status</w:t>
            </w:r>
          </w:p>
        </w:tc>
      </w:tr>
      <w:tr w:rsidR="000976EB" w:rsidRPr="0047431A" w14:paraId="38D4B919" w14:textId="77777777" w:rsidTr="00CD184D">
        <w:trPr>
          <w:trHeight w:val="796"/>
        </w:trPr>
        <w:tc>
          <w:tcPr>
            <w:tcW w:w="1980" w:type="dxa"/>
          </w:tcPr>
          <w:p w14:paraId="6DB20746" w14:textId="77777777" w:rsidR="000976EB" w:rsidRPr="0047431A" w:rsidRDefault="000976EB" w:rsidP="00CD184D">
            <w:pPr>
              <w:pStyle w:val="BodyText-nospacebelow"/>
            </w:pPr>
            <w:r>
              <w:t>Western Australia</w:t>
            </w:r>
          </w:p>
        </w:tc>
        <w:tc>
          <w:tcPr>
            <w:tcW w:w="6951" w:type="dxa"/>
          </w:tcPr>
          <w:p w14:paraId="61CE0CFA" w14:textId="77777777" w:rsidR="000976EB" w:rsidRPr="0047431A" w:rsidRDefault="000976EB" w:rsidP="00CD184D">
            <w:pPr>
              <w:pStyle w:val="BodyText-nospacebelow"/>
            </w:pPr>
            <w:r>
              <w:t>Subsidiaries can borrow money, but only from member councils that formed it.</w:t>
            </w:r>
          </w:p>
        </w:tc>
      </w:tr>
      <w:tr w:rsidR="000976EB" w:rsidRPr="0047431A" w14:paraId="39753E14" w14:textId="77777777" w:rsidTr="00CD184D">
        <w:trPr>
          <w:trHeight w:val="481"/>
        </w:trPr>
        <w:tc>
          <w:tcPr>
            <w:tcW w:w="1980" w:type="dxa"/>
          </w:tcPr>
          <w:p w14:paraId="6933ED5E" w14:textId="77777777" w:rsidR="000976EB" w:rsidRPr="0047431A" w:rsidRDefault="000976EB" w:rsidP="00CD184D">
            <w:pPr>
              <w:pStyle w:val="BodyText-nospacebelow"/>
              <w:spacing w:after="100"/>
            </w:pPr>
            <w:r>
              <w:t>New South Wales</w:t>
            </w:r>
          </w:p>
        </w:tc>
        <w:tc>
          <w:tcPr>
            <w:tcW w:w="6951" w:type="dxa"/>
          </w:tcPr>
          <w:p w14:paraId="08261EB8" w14:textId="77777777" w:rsidR="000976EB" w:rsidRPr="0047431A" w:rsidRDefault="000976EB" w:rsidP="00CD184D">
            <w:pPr>
              <w:pStyle w:val="BodyText-nospacebelow"/>
              <w:spacing w:after="100"/>
            </w:pPr>
            <w:r>
              <w:t>Subsidiaries can borrow money with Ministerial approval.</w:t>
            </w:r>
          </w:p>
        </w:tc>
      </w:tr>
      <w:tr w:rsidR="000976EB" w:rsidRPr="0047431A" w14:paraId="213DA613" w14:textId="77777777" w:rsidTr="00CD184D">
        <w:trPr>
          <w:trHeight w:val="481"/>
        </w:trPr>
        <w:tc>
          <w:tcPr>
            <w:tcW w:w="1980" w:type="dxa"/>
          </w:tcPr>
          <w:p w14:paraId="0EB363B1" w14:textId="77777777" w:rsidR="000976EB" w:rsidRPr="0047431A" w:rsidRDefault="000976EB" w:rsidP="00CD184D">
            <w:pPr>
              <w:pStyle w:val="BodyText-nospacebelow"/>
              <w:spacing w:after="100"/>
            </w:pPr>
            <w:r>
              <w:t>Victoria</w:t>
            </w:r>
          </w:p>
        </w:tc>
        <w:tc>
          <w:tcPr>
            <w:tcW w:w="6951" w:type="dxa"/>
          </w:tcPr>
          <w:p w14:paraId="1304264A" w14:textId="77777777" w:rsidR="000976EB" w:rsidRPr="0047431A" w:rsidRDefault="000976EB" w:rsidP="00CD184D">
            <w:pPr>
              <w:pStyle w:val="BodyText-nospacebelow"/>
              <w:spacing w:after="100"/>
            </w:pPr>
            <w:r>
              <w:t>Subsidiaries can borrow money with Ministerial approval.</w:t>
            </w:r>
          </w:p>
        </w:tc>
      </w:tr>
      <w:tr w:rsidR="002962AF" w:rsidRPr="0047431A" w14:paraId="593242B3" w14:textId="77777777" w:rsidTr="00D25DFB">
        <w:trPr>
          <w:trHeight w:val="482"/>
        </w:trPr>
        <w:tc>
          <w:tcPr>
            <w:tcW w:w="1980" w:type="dxa"/>
          </w:tcPr>
          <w:p w14:paraId="2365288F" w14:textId="77777777" w:rsidR="002962AF" w:rsidRPr="0047431A" w:rsidRDefault="002962AF" w:rsidP="002962AF">
            <w:pPr>
              <w:pStyle w:val="BodyText-nospacebelow"/>
            </w:pPr>
            <w:r>
              <w:t>Queensland</w:t>
            </w:r>
          </w:p>
        </w:tc>
        <w:tc>
          <w:tcPr>
            <w:tcW w:w="6951" w:type="dxa"/>
          </w:tcPr>
          <w:p w14:paraId="7AD1AEF7" w14:textId="77777777" w:rsidR="002962AF" w:rsidRPr="0047431A" w:rsidRDefault="002962AF" w:rsidP="00DD484E">
            <w:pPr>
              <w:pStyle w:val="BodyText-nospacebelow"/>
            </w:pPr>
            <w:r>
              <w:t xml:space="preserve">Subsidiaries cannot borrow money. </w:t>
            </w:r>
          </w:p>
        </w:tc>
      </w:tr>
      <w:tr w:rsidR="000976EB" w:rsidRPr="0047431A" w14:paraId="6CA47E1F" w14:textId="77777777" w:rsidTr="00CD184D">
        <w:trPr>
          <w:trHeight w:val="481"/>
        </w:trPr>
        <w:tc>
          <w:tcPr>
            <w:tcW w:w="1980" w:type="dxa"/>
          </w:tcPr>
          <w:p w14:paraId="3F3F038D" w14:textId="77777777" w:rsidR="000976EB" w:rsidRDefault="000976EB" w:rsidP="00CD184D">
            <w:pPr>
              <w:pStyle w:val="BodyText-nospacebelow"/>
              <w:spacing w:after="100"/>
            </w:pPr>
            <w:r>
              <w:t>South Australia</w:t>
            </w:r>
          </w:p>
        </w:tc>
        <w:tc>
          <w:tcPr>
            <w:tcW w:w="6951" w:type="dxa"/>
          </w:tcPr>
          <w:p w14:paraId="6F781402" w14:textId="77777777" w:rsidR="000976EB" w:rsidRDefault="000976EB" w:rsidP="00CD184D">
            <w:pPr>
              <w:pStyle w:val="BodyText-nospacebelow"/>
              <w:spacing w:after="100"/>
            </w:pPr>
            <w:r>
              <w:t>Subsidiaries can borrow money when permitted by the charter and with the consent of member councils.</w:t>
            </w:r>
          </w:p>
        </w:tc>
      </w:tr>
      <w:tr w:rsidR="002962AF" w:rsidRPr="0047431A" w14:paraId="050C5311" w14:textId="77777777" w:rsidTr="00B0548E">
        <w:trPr>
          <w:trHeight w:val="796"/>
        </w:trPr>
        <w:tc>
          <w:tcPr>
            <w:tcW w:w="1980" w:type="dxa"/>
          </w:tcPr>
          <w:p w14:paraId="4C8CF1BB" w14:textId="77777777" w:rsidR="002962AF" w:rsidRDefault="002962AF" w:rsidP="002962AF">
            <w:pPr>
              <w:pStyle w:val="BodyText-nospacebelow"/>
            </w:pPr>
            <w:r>
              <w:t>Tasmania</w:t>
            </w:r>
          </w:p>
        </w:tc>
        <w:tc>
          <w:tcPr>
            <w:tcW w:w="6951" w:type="dxa"/>
          </w:tcPr>
          <w:p w14:paraId="5622831A" w14:textId="4AD0EF64" w:rsidR="002962AF" w:rsidRDefault="002962AF" w:rsidP="002962AF">
            <w:pPr>
              <w:pStyle w:val="BodyText-nospacebelow"/>
            </w:pPr>
            <w:r>
              <w:t xml:space="preserve">Subsidiaries can borrow money, but </w:t>
            </w:r>
            <w:r w:rsidR="003C0B3A">
              <w:t>M</w:t>
            </w:r>
            <w:r>
              <w:t>inisterial approval is needed if liabilities exceed 30</w:t>
            </w:r>
            <w:r w:rsidR="003C0B3A">
              <w:t xml:space="preserve"> per cent</w:t>
            </w:r>
            <w:r>
              <w:t xml:space="preserve"> of subsidiary’s revenue.</w:t>
            </w:r>
          </w:p>
        </w:tc>
      </w:tr>
      <w:tr w:rsidR="002962AF" w:rsidRPr="0047431A" w14:paraId="151FCEC2" w14:textId="77777777" w:rsidTr="00B0548E">
        <w:trPr>
          <w:trHeight w:val="481"/>
        </w:trPr>
        <w:tc>
          <w:tcPr>
            <w:tcW w:w="1980" w:type="dxa"/>
          </w:tcPr>
          <w:p w14:paraId="79520683" w14:textId="77777777" w:rsidR="002962AF" w:rsidRPr="0047431A" w:rsidRDefault="002962AF" w:rsidP="002962AF">
            <w:pPr>
              <w:pStyle w:val="BodyText-nospacebelow"/>
              <w:spacing w:after="100"/>
            </w:pPr>
            <w:r>
              <w:t>New Zealand</w:t>
            </w:r>
          </w:p>
        </w:tc>
        <w:tc>
          <w:tcPr>
            <w:tcW w:w="6951" w:type="dxa"/>
          </w:tcPr>
          <w:p w14:paraId="5AD0BE42" w14:textId="77777777" w:rsidR="002962AF" w:rsidRPr="0047431A" w:rsidRDefault="002962AF" w:rsidP="00DD484E">
            <w:pPr>
              <w:pStyle w:val="BodyText-nospacebelow"/>
              <w:spacing w:after="100"/>
            </w:pPr>
            <w:r>
              <w:t xml:space="preserve">Subsidiaries can borrow money </w:t>
            </w:r>
            <w:r w:rsidR="00DD484E">
              <w:t>as necessary</w:t>
            </w:r>
            <w:r>
              <w:t>. Debts are not guaranteed by member councils.</w:t>
            </w:r>
          </w:p>
        </w:tc>
      </w:tr>
    </w:tbl>
    <w:p w14:paraId="004BA7B8" w14:textId="77777777" w:rsidR="002B2B19" w:rsidRDefault="002B2B19">
      <w:pPr>
        <w:rPr>
          <w:rFonts w:eastAsiaTheme="majorEastAsia" w:cs="Arial"/>
          <w:bCs/>
          <w:color w:val="2C5C86"/>
          <w:sz w:val="40"/>
          <w:szCs w:val="40"/>
        </w:rPr>
      </w:pPr>
    </w:p>
    <w:p w14:paraId="716DFD01" w14:textId="77777777" w:rsidR="002962AF" w:rsidRDefault="002962AF" w:rsidP="002962AF">
      <w:pPr>
        <w:pStyle w:val="ListParagraph"/>
        <w:keepNext/>
        <w:keepLines/>
        <w:numPr>
          <w:ilvl w:val="1"/>
          <w:numId w:val="102"/>
        </w:numPr>
        <w:spacing w:before="360"/>
        <w:outlineLvl w:val="1"/>
        <w:rPr>
          <w:rFonts w:eastAsiaTheme="majorEastAsia" w:cs="Arial"/>
          <w:bCs/>
          <w:color w:val="2C5C86"/>
          <w:sz w:val="32"/>
          <w:szCs w:val="26"/>
          <w:lang w:eastAsia="en-AU"/>
        </w:rPr>
      </w:pPr>
      <w:bookmarkStart w:id="2010" w:name="_Toc495497692"/>
      <w:bookmarkStart w:id="2011" w:name="_Toc495671526"/>
      <w:bookmarkStart w:id="2012" w:name="_Toc495676127"/>
      <w:bookmarkStart w:id="2013" w:name="_Toc495678422"/>
      <w:bookmarkStart w:id="2014" w:name="_Toc495998418"/>
      <w:bookmarkStart w:id="2015" w:name="_Toc497741883"/>
      <w:r>
        <w:rPr>
          <w:rFonts w:eastAsiaTheme="majorEastAsia" w:cs="Arial"/>
          <w:bCs/>
          <w:color w:val="2C5C86"/>
          <w:sz w:val="32"/>
          <w:szCs w:val="26"/>
          <w:lang w:eastAsia="en-AU"/>
        </w:rPr>
        <w:t>Options:</w:t>
      </w:r>
      <w:bookmarkEnd w:id="2010"/>
      <w:bookmarkEnd w:id="2011"/>
      <w:bookmarkEnd w:id="2012"/>
      <w:bookmarkEnd w:id="2013"/>
      <w:bookmarkEnd w:id="2014"/>
      <w:bookmarkEnd w:id="2015"/>
    </w:p>
    <w:p w14:paraId="2390144A" w14:textId="77777777" w:rsidR="00DD484E" w:rsidRPr="00011ACD" w:rsidRDefault="00DD484E" w:rsidP="001608F1">
      <w:pPr>
        <w:pStyle w:val="Heading3"/>
        <w:jc w:val="both"/>
        <w:rPr>
          <w:lang w:eastAsia="en-AU"/>
        </w:rPr>
      </w:pPr>
      <w:bookmarkStart w:id="2016" w:name="_Toc495497693"/>
      <w:bookmarkStart w:id="2017" w:name="_Toc495671527"/>
      <w:bookmarkStart w:id="2018" w:name="_Toc495676128"/>
      <w:bookmarkStart w:id="2019" w:name="_Toc495678423"/>
      <w:bookmarkStart w:id="2020" w:name="_Toc495998419"/>
      <w:bookmarkStart w:id="2021" w:name="_Toc497741884"/>
      <w:r w:rsidRPr="00011ACD">
        <w:rPr>
          <w:lang w:eastAsia="en-AU"/>
        </w:rPr>
        <w:t>Option 1</w:t>
      </w:r>
      <w:r>
        <w:rPr>
          <w:lang w:eastAsia="en-AU"/>
        </w:rPr>
        <w:t>:</w:t>
      </w:r>
      <w:r w:rsidRPr="00011ACD">
        <w:rPr>
          <w:lang w:eastAsia="en-AU"/>
        </w:rPr>
        <w:t xml:space="preserve"> </w:t>
      </w:r>
      <w:r>
        <w:rPr>
          <w:lang w:eastAsia="en-AU"/>
        </w:rPr>
        <w:t>Status quo</w:t>
      </w:r>
      <w:bookmarkEnd w:id="2016"/>
      <w:bookmarkEnd w:id="2017"/>
      <w:bookmarkEnd w:id="2018"/>
      <w:bookmarkEnd w:id="2019"/>
      <w:bookmarkEnd w:id="2020"/>
      <w:bookmarkEnd w:id="2021"/>
    </w:p>
    <w:p w14:paraId="69672596" w14:textId="77777777" w:rsidR="002B2B19" w:rsidRDefault="00DD484E" w:rsidP="001608F1">
      <w:pPr>
        <w:jc w:val="both"/>
        <w:rPr>
          <w:lang w:eastAsia="en-AU"/>
        </w:rPr>
      </w:pPr>
      <w:r w:rsidRPr="00011ACD">
        <w:rPr>
          <w:lang w:eastAsia="en-AU"/>
        </w:rPr>
        <w:t xml:space="preserve">This option proposes that </w:t>
      </w:r>
      <w:r>
        <w:rPr>
          <w:lang w:eastAsia="en-AU"/>
        </w:rPr>
        <w:t>the existing rules will remain unchanged and subsidiaries can only borrow from member councils.</w:t>
      </w:r>
    </w:p>
    <w:p w14:paraId="3519C901" w14:textId="57F543AD" w:rsidR="00DD484E" w:rsidRDefault="00DD484E" w:rsidP="001608F1">
      <w:pPr>
        <w:jc w:val="both"/>
        <w:rPr>
          <w:lang w:eastAsia="en-AU"/>
        </w:rPr>
      </w:pPr>
      <w:bookmarkStart w:id="2022" w:name="_Toc495491911"/>
      <w:r>
        <w:rPr>
          <w:lang w:eastAsia="en-AU"/>
        </w:rPr>
        <w:t xml:space="preserve">This option will mean that subsidiaries do not gain the advantage of being able to borrow money </w:t>
      </w:r>
      <w:r w:rsidR="00F14369">
        <w:rPr>
          <w:lang w:eastAsia="en-AU"/>
        </w:rPr>
        <w:t xml:space="preserve">from external bodies </w:t>
      </w:r>
      <w:r>
        <w:rPr>
          <w:lang w:eastAsia="en-AU"/>
        </w:rPr>
        <w:t xml:space="preserve">to pursue their objectives. </w:t>
      </w:r>
      <w:r w:rsidR="00F14369">
        <w:rPr>
          <w:lang w:eastAsia="en-AU"/>
        </w:rPr>
        <w:t>I</w:t>
      </w:r>
      <w:r>
        <w:rPr>
          <w:lang w:eastAsia="en-AU"/>
        </w:rPr>
        <w:t>t will mean</w:t>
      </w:r>
      <w:r w:rsidR="00F14369">
        <w:rPr>
          <w:lang w:eastAsia="en-AU"/>
        </w:rPr>
        <w:t>, however,</w:t>
      </w:r>
      <w:r>
        <w:rPr>
          <w:lang w:eastAsia="en-AU"/>
        </w:rPr>
        <w:t xml:space="preserve"> that subsidiaries will remain low-risk.</w:t>
      </w:r>
    </w:p>
    <w:p w14:paraId="0741D7CE" w14:textId="77777777" w:rsidR="003F1CFF" w:rsidRDefault="003F1CFF" w:rsidP="001608F1">
      <w:pPr>
        <w:jc w:val="both"/>
        <w:rPr>
          <w:lang w:eastAsia="en-AU"/>
        </w:rPr>
      </w:pPr>
      <w:r>
        <w:rPr>
          <w:lang w:eastAsia="en-AU"/>
        </w:rPr>
        <w:t>The current provisions have not provided the incentive for local governments to establish regional subsidiaries.  Consequently, the collaborative benefits sought in the development of the legislation have not eventuated.</w:t>
      </w:r>
    </w:p>
    <w:p w14:paraId="0400BF4C" w14:textId="77777777" w:rsidR="003F1CFF" w:rsidRDefault="003F1CFF" w:rsidP="001608F1">
      <w:pPr>
        <w:jc w:val="both"/>
        <w:rPr>
          <w:lang w:eastAsia="en-AU"/>
        </w:rPr>
      </w:pPr>
      <w:r>
        <w:rPr>
          <w:lang w:eastAsia="en-AU"/>
        </w:rPr>
        <w:t>Currently, there are no regional subsidiaries in operation in WA.</w:t>
      </w:r>
    </w:p>
    <w:p w14:paraId="0CA58242" w14:textId="77777777" w:rsidR="00DD484E" w:rsidRPr="00011ACD" w:rsidRDefault="00DD484E" w:rsidP="001608F1">
      <w:pPr>
        <w:pStyle w:val="Heading3"/>
        <w:jc w:val="both"/>
        <w:rPr>
          <w:lang w:eastAsia="en-AU"/>
        </w:rPr>
      </w:pPr>
      <w:bookmarkStart w:id="2023" w:name="_Toc495497694"/>
      <w:bookmarkStart w:id="2024" w:name="_Toc495671528"/>
      <w:bookmarkStart w:id="2025" w:name="_Toc495676129"/>
      <w:bookmarkStart w:id="2026" w:name="_Toc495678424"/>
      <w:bookmarkStart w:id="2027" w:name="_Toc495998420"/>
      <w:bookmarkStart w:id="2028" w:name="_Toc497741885"/>
      <w:r>
        <w:rPr>
          <w:lang w:eastAsia="en-AU"/>
        </w:rPr>
        <w:t>Option 2:</w:t>
      </w:r>
      <w:r w:rsidRPr="00011ACD">
        <w:rPr>
          <w:lang w:eastAsia="en-AU"/>
        </w:rPr>
        <w:t xml:space="preserve"> </w:t>
      </w:r>
      <w:r>
        <w:rPr>
          <w:lang w:eastAsia="en-AU"/>
        </w:rPr>
        <w:t>Regional subsidiaries are permitted to borrow from Treasury Corporation.</w:t>
      </w:r>
      <w:bookmarkEnd w:id="2023"/>
      <w:bookmarkEnd w:id="2024"/>
      <w:bookmarkEnd w:id="2025"/>
      <w:bookmarkEnd w:id="2026"/>
      <w:bookmarkEnd w:id="2027"/>
      <w:bookmarkEnd w:id="2028"/>
    </w:p>
    <w:p w14:paraId="4482D832" w14:textId="4E98DC10" w:rsidR="00DD484E" w:rsidRDefault="00DD484E" w:rsidP="001608F1">
      <w:pPr>
        <w:jc w:val="both"/>
        <w:rPr>
          <w:lang w:eastAsia="en-AU"/>
        </w:rPr>
      </w:pPr>
      <w:r w:rsidRPr="00011ACD">
        <w:rPr>
          <w:lang w:eastAsia="en-AU"/>
        </w:rPr>
        <w:t xml:space="preserve">This option proposes that </w:t>
      </w:r>
      <w:r>
        <w:rPr>
          <w:lang w:eastAsia="en-AU"/>
        </w:rPr>
        <w:t xml:space="preserve">regional subsidiaries will be permitted to borrow money from the </w:t>
      </w:r>
      <w:r w:rsidR="00F14369">
        <w:rPr>
          <w:lang w:eastAsia="en-AU"/>
        </w:rPr>
        <w:t>Treasury Corporation</w:t>
      </w:r>
      <w:r>
        <w:rPr>
          <w:lang w:eastAsia="en-AU"/>
        </w:rPr>
        <w:t>.</w:t>
      </w:r>
    </w:p>
    <w:p w14:paraId="6AACD52C" w14:textId="1011622E" w:rsidR="00AC5E9C" w:rsidRDefault="00DD484E" w:rsidP="001608F1">
      <w:pPr>
        <w:jc w:val="both"/>
        <w:rPr>
          <w:lang w:eastAsia="en-AU"/>
        </w:rPr>
      </w:pPr>
      <w:r>
        <w:rPr>
          <w:lang w:eastAsia="en-AU"/>
        </w:rPr>
        <w:t>This will mean that subsidiaries have le</w:t>
      </w:r>
      <w:r w:rsidR="00AC5E9C">
        <w:rPr>
          <w:lang w:eastAsia="en-AU"/>
        </w:rPr>
        <w:t>ss chance of becoming insolvent.</w:t>
      </w:r>
      <w:r>
        <w:rPr>
          <w:lang w:eastAsia="en-AU"/>
        </w:rPr>
        <w:t xml:space="preserve"> </w:t>
      </w:r>
      <w:r w:rsidR="00AC5E9C">
        <w:rPr>
          <w:lang w:eastAsia="en-AU"/>
        </w:rPr>
        <w:t>T</w:t>
      </w:r>
      <w:r>
        <w:rPr>
          <w:lang w:eastAsia="en-AU"/>
        </w:rPr>
        <w:t xml:space="preserve">he </w:t>
      </w:r>
      <w:r w:rsidR="00F14369">
        <w:rPr>
          <w:lang w:eastAsia="en-AU"/>
        </w:rPr>
        <w:t xml:space="preserve">Treasury </w:t>
      </w:r>
      <w:r>
        <w:rPr>
          <w:lang w:eastAsia="en-AU"/>
        </w:rPr>
        <w:t xml:space="preserve">will only lend money </w:t>
      </w:r>
      <w:r w:rsidR="00AC5E9C">
        <w:rPr>
          <w:lang w:eastAsia="en-AU"/>
        </w:rPr>
        <w:t xml:space="preserve">to the subsidiary </w:t>
      </w:r>
      <w:r>
        <w:rPr>
          <w:lang w:eastAsia="en-AU"/>
        </w:rPr>
        <w:t>in reasonable circumstances</w:t>
      </w:r>
      <w:r w:rsidR="00AC5E9C">
        <w:rPr>
          <w:lang w:eastAsia="en-AU"/>
        </w:rPr>
        <w:t xml:space="preserve"> and subject to reasonable terms</w:t>
      </w:r>
      <w:r>
        <w:rPr>
          <w:lang w:eastAsia="en-AU"/>
        </w:rPr>
        <w:t>.</w:t>
      </w:r>
    </w:p>
    <w:p w14:paraId="037ADF1E" w14:textId="4C7CB53B" w:rsidR="00AC5E9C" w:rsidRDefault="00F14369" w:rsidP="001608F1">
      <w:pPr>
        <w:jc w:val="both"/>
        <w:rPr>
          <w:lang w:eastAsia="en-AU"/>
        </w:rPr>
      </w:pPr>
      <w:r>
        <w:rPr>
          <w:lang w:eastAsia="en-AU"/>
        </w:rPr>
        <w:t>T</w:t>
      </w:r>
      <w:r w:rsidR="00AC5E9C">
        <w:rPr>
          <w:lang w:eastAsia="en-AU"/>
        </w:rPr>
        <w:t xml:space="preserve">here is still a possibility that the subsidiary may borrow money it lacks the capacity to repay. </w:t>
      </w:r>
      <w:r>
        <w:rPr>
          <w:lang w:eastAsia="en-AU"/>
        </w:rPr>
        <w:t>M</w:t>
      </w:r>
      <w:r w:rsidR="00AC5E9C">
        <w:rPr>
          <w:lang w:eastAsia="en-AU"/>
        </w:rPr>
        <w:t xml:space="preserve">ember councils </w:t>
      </w:r>
      <w:r>
        <w:rPr>
          <w:lang w:eastAsia="en-AU"/>
        </w:rPr>
        <w:t xml:space="preserve">will still be liable for the debt </w:t>
      </w:r>
      <w:r w:rsidR="00AC5E9C">
        <w:rPr>
          <w:lang w:eastAsia="en-AU"/>
        </w:rPr>
        <w:t xml:space="preserve">at the cost of </w:t>
      </w:r>
      <w:r w:rsidR="00B0548E">
        <w:rPr>
          <w:lang w:eastAsia="en-AU"/>
        </w:rPr>
        <w:t xml:space="preserve">their </w:t>
      </w:r>
      <w:r w:rsidR="00AC5E9C">
        <w:rPr>
          <w:lang w:eastAsia="en-AU"/>
        </w:rPr>
        <w:t>ratepaye</w:t>
      </w:r>
      <w:r w:rsidR="00B0548E">
        <w:rPr>
          <w:lang w:eastAsia="en-AU"/>
        </w:rPr>
        <w:t>rs.</w:t>
      </w:r>
    </w:p>
    <w:p w14:paraId="1BCE251E" w14:textId="77777777" w:rsidR="00AC5E9C" w:rsidRPr="00011ACD" w:rsidRDefault="00AC5E9C" w:rsidP="001608F1">
      <w:pPr>
        <w:pStyle w:val="Heading3"/>
        <w:jc w:val="both"/>
        <w:rPr>
          <w:lang w:eastAsia="en-AU"/>
        </w:rPr>
      </w:pPr>
      <w:bookmarkStart w:id="2029" w:name="_Toc495497695"/>
      <w:bookmarkStart w:id="2030" w:name="_Toc495671529"/>
      <w:bookmarkStart w:id="2031" w:name="_Toc495676130"/>
      <w:bookmarkStart w:id="2032" w:name="_Toc495678425"/>
      <w:bookmarkStart w:id="2033" w:name="_Toc495998421"/>
      <w:bookmarkStart w:id="2034" w:name="_Toc497741886"/>
      <w:r>
        <w:rPr>
          <w:lang w:eastAsia="en-AU"/>
        </w:rPr>
        <w:t>Option 3:</w:t>
      </w:r>
      <w:r w:rsidRPr="00011ACD">
        <w:rPr>
          <w:lang w:eastAsia="en-AU"/>
        </w:rPr>
        <w:t xml:space="preserve"> </w:t>
      </w:r>
      <w:r>
        <w:rPr>
          <w:lang w:eastAsia="en-AU"/>
        </w:rPr>
        <w:t>Regional subsidiaries are permitted to borrow from financial institutions</w:t>
      </w:r>
      <w:bookmarkEnd w:id="2029"/>
      <w:bookmarkEnd w:id="2030"/>
      <w:bookmarkEnd w:id="2031"/>
      <w:bookmarkEnd w:id="2032"/>
      <w:bookmarkEnd w:id="2033"/>
      <w:bookmarkEnd w:id="2034"/>
    </w:p>
    <w:p w14:paraId="4E72B19C" w14:textId="77777777" w:rsidR="00AC5E9C" w:rsidRDefault="00AC5E9C" w:rsidP="001608F1">
      <w:pPr>
        <w:jc w:val="both"/>
        <w:rPr>
          <w:lang w:eastAsia="en-AU"/>
        </w:rPr>
      </w:pPr>
      <w:r w:rsidRPr="00011ACD">
        <w:rPr>
          <w:lang w:eastAsia="en-AU"/>
        </w:rPr>
        <w:t xml:space="preserve">This option proposes that </w:t>
      </w:r>
      <w:r>
        <w:rPr>
          <w:lang w:eastAsia="en-AU"/>
        </w:rPr>
        <w:t>regional subsidiaries will be permitted to borrow money from financial institutions if permitted by the charter.</w:t>
      </w:r>
    </w:p>
    <w:p w14:paraId="211492FA" w14:textId="77777777" w:rsidR="00B0548E" w:rsidRDefault="00AC5E9C" w:rsidP="001608F1">
      <w:pPr>
        <w:jc w:val="both"/>
        <w:rPr>
          <w:lang w:eastAsia="en-AU"/>
        </w:rPr>
      </w:pPr>
      <w:r>
        <w:rPr>
          <w:lang w:eastAsia="en-AU"/>
        </w:rPr>
        <w:t>This course of action would result in the complete range of advantages and disadvantages listed in the previous section.</w:t>
      </w:r>
      <w:r w:rsidR="00B0548E">
        <w:rPr>
          <w:lang w:eastAsia="en-AU"/>
        </w:rPr>
        <w:t xml:space="preserve"> </w:t>
      </w:r>
    </w:p>
    <w:p w14:paraId="2D574A7A" w14:textId="276E9024" w:rsidR="00DD484E" w:rsidRDefault="00B0548E" w:rsidP="001608F1">
      <w:pPr>
        <w:jc w:val="both"/>
        <w:rPr>
          <w:lang w:eastAsia="en-AU"/>
        </w:rPr>
      </w:pPr>
      <w:r>
        <w:rPr>
          <w:lang w:eastAsia="en-AU"/>
        </w:rPr>
        <w:t xml:space="preserve">If this option is taken, the Government would need to review what additional legislative protections might be necessary to ensure that </w:t>
      </w:r>
      <w:r w:rsidR="005F3895">
        <w:rPr>
          <w:lang w:eastAsia="en-AU"/>
        </w:rPr>
        <w:t>borrowing does not cause excessive risks to ratepayer money.</w:t>
      </w:r>
      <w:r>
        <w:rPr>
          <w:lang w:eastAsia="en-AU"/>
        </w:rPr>
        <w:t xml:space="preserve"> </w:t>
      </w:r>
    </w:p>
    <w:p w14:paraId="08D0F301" w14:textId="77777777" w:rsidR="00AC5E9C" w:rsidRPr="00052447" w:rsidRDefault="00AC5E9C" w:rsidP="00AC5E9C">
      <w:pPr>
        <w:rPr>
          <w:lang w:eastAsia="en-AU"/>
        </w:rPr>
      </w:pPr>
    </w:p>
    <w:p w14:paraId="5307282E" w14:textId="77777777" w:rsidR="00DD484E" w:rsidRDefault="00DD484E" w:rsidP="00DD484E">
      <w:pPr>
        <w:pStyle w:val="IntenseQuote"/>
        <w:rPr>
          <w:b/>
          <w:sz w:val="28"/>
        </w:rPr>
      </w:pPr>
      <w:r>
        <w:rPr>
          <w:b/>
          <w:sz w:val="28"/>
        </w:rPr>
        <w:t>Regional subsidiaries: Guidance questions</w:t>
      </w:r>
    </w:p>
    <w:p w14:paraId="0098BC84" w14:textId="215025B4" w:rsidR="0008788F" w:rsidRDefault="0008788F" w:rsidP="00DB759E">
      <w:pPr>
        <w:pStyle w:val="BodyText2-nospacebelow"/>
        <w:numPr>
          <w:ilvl w:val="0"/>
          <w:numId w:val="19"/>
        </w:numPr>
        <w:spacing w:after="120"/>
        <w:rPr>
          <w:lang w:eastAsia="en-AU"/>
        </w:rPr>
      </w:pPr>
      <w:r>
        <w:rPr>
          <w:lang w:eastAsia="en-AU"/>
        </w:rPr>
        <w:t>Which option do you prefer?</w:t>
      </w:r>
    </w:p>
    <w:p w14:paraId="549D5D1A" w14:textId="06B3D380" w:rsidR="00DD484E" w:rsidRDefault="00DD484E" w:rsidP="00DB759E">
      <w:pPr>
        <w:pStyle w:val="BodyText2-nospacebelow"/>
        <w:numPr>
          <w:ilvl w:val="0"/>
          <w:numId w:val="19"/>
        </w:numPr>
        <w:spacing w:after="120"/>
        <w:rPr>
          <w:lang w:eastAsia="en-AU"/>
        </w:rPr>
      </w:pPr>
      <w:r>
        <w:rPr>
          <w:lang w:eastAsia="en-AU"/>
        </w:rPr>
        <w:t>Should regional subsidiaries be allowed to borrow money</w:t>
      </w:r>
      <w:r w:rsidR="00F14369">
        <w:rPr>
          <w:lang w:eastAsia="en-AU"/>
        </w:rPr>
        <w:t xml:space="preserve"> other than from the member councils</w:t>
      </w:r>
      <w:r>
        <w:rPr>
          <w:lang w:eastAsia="en-AU"/>
        </w:rPr>
        <w:t>?</w:t>
      </w:r>
    </w:p>
    <w:p w14:paraId="340999F8" w14:textId="2B3B508A" w:rsidR="00DD484E" w:rsidRDefault="00257AE2" w:rsidP="00DB759E">
      <w:pPr>
        <w:pStyle w:val="BodyText2-nospacebelow"/>
        <w:numPr>
          <w:ilvl w:val="0"/>
          <w:numId w:val="19"/>
        </w:numPr>
        <w:spacing w:after="120"/>
        <w:rPr>
          <w:lang w:eastAsia="en-AU"/>
        </w:rPr>
      </w:pPr>
      <w:r>
        <w:rPr>
          <w:lang w:eastAsia="en-AU"/>
        </w:rPr>
        <w:t>Why or why not?</w:t>
      </w:r>
    </w:p>
    <w:p w14:paraId="3F9E2C3C" w14:textId="7F6900BC" w:rsidR="00EB0F2B" w:rsidRDefault="00EB0F2B" w:rsidP="00DB759E">
      <w:pPr>
        <w:pStyle w:val="BodyText2-nospacebelow"/>
        <w:numPr>
          <w:ilvl w:val="0"/>
          <w:numId w:val="19"/>
        </w:numPr>
        <w:spacing w:after="120"/>
        <w:rPr>
          <w:lang w:eastAsia="en-AU"/>
        </w:rPr>
      </w:pPr>
      <w:r>
        <w:rPr>
          <w:lang w:eastAsia="en-AU"/>
        </w:rPr>
        <w:t>If a regional subsidiary is given the power to borrow directly, what provisions should be put in place to mitigate the risks?</w:t>
      </w:r>
    </w:p>
    <w:p w14:paraId="13DB5C54" w14:textId="77777777" w:rsidR="00DD484E" w:rsidRDefault="00DD484E">
      <w:pPr>
        <w:rPr>
          <w:rFonts w:eastAsiaTheme="majorEastAsia" w:cs="Arial"/>
          <w:bCs/>
          <w:color w:val="2C5C86"/>
          <w:sz w:val="40"/>
          <w:szCs w:val="40"/>
        </w:rPr>
      </w:pPr>
    </w:p>
    <w:p w14:paraId="243DC11B" w14:textId="48C44D5E" w:rsidR="00257AE2" w:rsidRDefault="00257AE2" w:rsidP="00257AE2">
      <w:pPr>
        <w:pStyle w:val="IntenseQuote"/>
        <w:rPr>
          <w:b/>
          <w:sz w:val="28"/>
        </w:rPr>
      </w:pPr>
      <w:r>
        <w:rPr>
          <w:b/>
          <w:sz w:val="28"/>
        </w:rPr>
        <w:t>Regional subsidiaries: Guidance question</w:t>
      </w:r>
    </w:p>
    <w:p w14:paraId="5D079B96" w14:textId="54F7B708" w:rsidR="00257AE2" w:rsidRDefault="00257AE2" w:rsidP="00DB759E">
      <w:pPr>
        <w:pStyle w:val="BodyText2-nospacebelow"/>
        <w:numPr>
          <w:ilvl w:val="0"/>
          <w:numId w:val="19"/>
        </w:numPr>
        <w:spacing w:after="120"/>
        <w:rPr>
          <w:lang w:eastAsia="en-AU"/>
        </w:rPr>
      </w:pPr>
      <w:r>
        <w:rPr>
          <w:lang w:eastAsia="en-AU"/>
        </w:rPr>
        <w:t>Do you have any other suggestions or comments on this topic</w:t>
      </w:r>
      <w:r w:rsidR="00CE5270">
        <w:rPr>
          <w:lang w:eastAsia="en-AU"/>
        </w:rPr>
        <w:t xml:space="preserve">, including on any other aspect of the </w:t>
      </w:r>
      <w:r w:rsidR="00674A8A" w:rsidRPr="00674A8A">
        <w:rPr>
          <w:i/>
          <w:lang w:eastAsia="en-AU"/>
        </w:rPr>
        <w:t xml:space="preserve">Local Government (Regional Subsidiaries) Regulations </w:t>
      </w:r>
      <w:r w:rsidR="00674A8A" w:rsidRPr="00F55359">
        <w:rPr>
          <w:i/>
          <w:lang w:eastAsia="en-AU"/>
        </w:rPr>
        <w:t>2017</w:t>
      </w:r>
      <w:r>
        <w:rPr>
          <w:lang w:eastAsia="en-AU"/>
        </w:rPr>
        <w:t>?</w:t>
      </w:r>
    </w:p>
    <w:p w14:paraId="11601A5D" w14:textId="5BFFA1E4" w:rsidR="00257AE2" w:rsidRDefault="00257AE2" w:rsidP="00674A8A">
      <w:pPr>
        <w:pStyle w:val="IntenseQuote"/>
        <w:rPr>
          <w:b/>
          <w:sz w:val="28"/>
        </w:rPr>
      </w:pPr>
      <w:r>
        <w:rPr>
          <w:b/>
          <w:sz w:val="28"/>
        </w:rPr>
        <w:t>Local Government Act review: Guidance question</w:t>
      </w:r>
    </w:p>
    <w:p w14:paraId="79EE46C8" w14:textId="1FA4584B" w:rsidR="00257AE2" w:rsidRPr="00257AE2" w:rsidRDefault="00257AE2" w:rsidP="00DB759E">
      <w:pPr>
        <w:pStyle w:val="BodyText2-nospacebelow"/>
        <w:numPr>
          <w:ilvl w:val="0"/>
          <w:numId w:val="19"/>
        </w:numPr>
        <w:spacing w:after="120"/>
        <w:rPr>
          <w:lang w:eastAsia="en-AU"/>
        </w:rPr>
      </w:pPr>
      <w:r w:rsidRPr="00257AE2">
        <w:rPr>
          <w:lang w:eastAsia="en-AU"/>
        </w:rPr>
        <w:t>You</w:t>
      </w:r>
      <w:r>
        <w:rPr>
          <w:lang w:eastAsia="en-AU"/>
        </w:rPr>
        <w:t xml:space="preserve"> are invited to make comment and put forward suggestions for change on other matters which have not be</w:t>
      </w:r>
      <w:r w:rsidR="00512477">
        <w:rPr>
          <w:lang w:eastAsia="en-AU"/>
        </w:rPr>
        <w:t>e</w:t>
      </w:r>
      <w:r>
        <w:rPr>
          <w:lang w:eastAsia="en-AU"/>
        </w:rPr>
        <w:t>n covered in this paper.</w:t>
      </w:r>
    </w:p>
    <w:p w14:paraId="7E1490B3" w14:textId="77777777" w:rsidR="00257AE2" w:rsidRDefault="00257AE2">
      <w:pPr>
        <w:rPr>
          <w:rFonts w:eastAsiaTheme="majorEastAsia" w:cs="Arial"/>
          <w:bCs/>
          <w:color w:val="2C5C86"/>
          <w:sz w:val="40"/>
          <w:szCs w:val="40"/>
        </w:rPr>
      </w:pPr>
      <w:bookmarkStart w:id="2035" w:name="_Toc495497696"/>
      <w:bookmarkStart w:id="2036" w:name="_Toc495671530"/>
      <w:bookmarkStart w:id="2037" w:name="_Toc495676131"/>
      <w:bookmarkStart w:id="2038" w:name="_Toc495678426"/>
      <w:r>
        <w:br w:type="page"/>
      </w:r>
    </w:p>
    <w:p w14:paraId="6171B444" w14:textId="77777777" w:rsidR="00CA5427" w:rsidRDefault="00CA5427" w:rsidP="00B047BD">
      <w:pPr>
        <w:pStyle w:val="Heading1"/>
      </w:pPr>
      <w:bookmarkStart w:id="2039" w:name="_Toc495998422"/>
      <w:bookmarkStart w:id="2040" w:name="_Toc497741887"/>
      <w:r>
        <w:t>For more information, please contact:</w:t>
      </w:r>
      <w:bookmarkEnd w:id="1983"/>
      <w:bookmarkEnd w:id="1984"/>
      <w:bookmarkEnd w:id="1985"/>
      <w:bookmarkEnd w:id="2022"/>
      <w:bookmarkEnd w:id="2035"/>
      <w:bookmarkEnd w:id="2036"/>
      <w:bookmarkEnd w:id="2037"/>
      <w:bookmarkEnd w:id="2038"/>
      <w:bookmarkEnd w:id="2039"/>
      <w:bookmarkEnd w:id="2040"/>
    </w:p>
    <w:p w14:paraId="621D85EB" w14:textId="77777777" w:rsidR="00FD15F5" w:rsidRDefault="00FD15F5" w:rsidP="00FD15F5">
      <w:pPr>
        <w:pStyle w:val="BodyText-nospacebelow"/>
      </w:pPr>
      <w:r>
        <w:t>Department of Local Government, Sport and Cultural Industries</w:t>
      </w:r>
    </w:p>
    <w:p w14:paraId="21A773D2" w14:textId="77777777" w:rsidR="00FD15F5" w:rsidRDefault="00FD15F5" w:rsidP="00FD15F5">
      <w:pPr>
        <w:pStyle w:val="BodyText-nospacebelow"/>
        <w:rPr>
          <w:rFonts w:cs="Arial"/>
          <w:szCs w:val="24"/>
          <w:lang w:eastAsia="en-AU"/>
        </w:rPr>
      </w:pPr>
      <w:r>
        <w:rPr>
          <w:rFonts w:cs="Arial"/>
          <w:szCs w:val="24"/>
          <w:lang w:eastAsia="en-AU"/>
        </w:rPr>
        <w:t>Gordon Stephenson House, 140 William Street, Perth WA 6000</w:t>
      </w:r>
    </w:p>
    <w:p w14:paraId="301304E6" w14:textId="77777777" w:rsidR="00FD15F5" w:rsidRDefault="00FD15F5" w:rsidP="00FD15F5">
      <w:pPr>
        <w:pStyle w:val="BodyText-nospacebelow"/>
        <w:rPr>
          <w:rFonts w:cs="Arial"/>
          <w:szCs w:val="24"/>
          <w:lang w:eastAsia="en-AU"/>
        </w:rPr>
      </w:pPr>
      <w:r>
        <w:rPr>
          <w:rFonts w:cs="Arial"/>
          <w:szCs w:val="24"/>
          <w:lang w:eastAsia="en-AU"/>
        </w:rPr>
        <w:t>GPO Box R1250, Perth W</w:t>
      </w:r>
      <w:r w:rsidR="00BF40B9">
        <w:rPr>
          <w:rFonts w:cs="Arial"/>
          <w:szCs w:val="24"/>
          <w:lang w:eastAsia="en-AU"/>
        </w:rPr>
        <w:t>.</w:t>
      </w:r>
      <w:r>
        <w:rPr>
          <w:rFonts w:cs="Arial"/>
          <w:szCs w:val="24"/>
          <w:lang w:eastAsia="en-AU"/>
        </w:rPr>
        <w:t>A</w:t>
      </w:r>
      <w:r w:rsidR="00BF40B9">
        <w:rPr>
          <w:rFonts w:cs="Arial"/>
          <w:szCs w:val="24"/>
          <w:lang w:eastAsia="en-AU"/>
        </w:rPr>
        <w:t>.</w:t>
      </w:r>
      <w:r>
        <w:rPr>
          <w:rFonts w:cs="Arial"/>
          <w:szCs w:val="24"/>
          <w:lang w:eastAsia="en-AU"/>
        </w:rPr>
        <w:t xml:space="preserve"> 6844</w:t>
      </w:r>
    </w:p>
    <w:p w14:paraId="64AFBB94" w14:textId="77777777" w:rsidR="00FD15F5" w:rsidRDefault="00FD15F5" w:rsidP="00FD15F5">
      <w:pPr>
        <w:pStyle w:val="BodyText-nospacebelow"/>
        <w:tabs>
          <w:tab w:val="left" w:pos="3261"/>
        </w:tabs>
        <w:rPr>
          <w:rFonts w:cs="Arial"/>
          <w:szCs w:val="24"/>
          <w:lang w:eastAsia="en-AU"/>
        </w:rPr>
      </w:pPr>
      <w:r>
        <w:rPr>
          <w:rFonts w:cs="Arial"/>
          <w:szCs w:val="24"/>
          <w:lang w:eastAsia="en-AU"/>
        </w:rPr>
        <w:t xml:space="preserve">Telephone: (08) 6551 8700 </w:t>
      </w:r>
      <w:r>
        <w:rPr>
          <w:rFonts w:cs="Arial"/>
          <w:szCs w:val="24"/>
          <w:lang w:eastAsia="en-AU"/>
        </w:rPr>
        <w:tab/>
        <w:t>Fax: (08) 6552 1555</w:t>
      </w:r>
    </w:p>
    <w:p w14:paraId="44BBF64E" w14:textId="77777777" w:rsidR="00FD15F5" w:rsidRDefault="00FD15F5" w:rsidP="00FD15F5">
      <w:pPr>
        <w:pStyle w:val="BodyText-nospacebelow"/>
        <w:rPr>
          <w:rFonts w:cs="Arial"/>
          <w:szCs w:val="24"/>
          <w:lang w:eastAsia="en-AU"/>
        </w:rPr>
      </w:pPr>
      <w:r>
        <w:rPr>
          <w:rFonts w:cs="Arial"/>
          <w:szCs w:val="24"/>
          <w:lang w:eastAsia="en-AU"/>
        </w:rPr>
        <w:t>Freecall: 1800 620 511 (Country only)</w:t>
      </w:r>
    </w:p>
    <w:p w14:paraId="79E4EA7F" w14:textId="77777777" w:rsidR="00FD15F5" w:rsidRDefault="00FD15F5" w:rsidP="00FD15F5">
      <w:pPr>
        <w:tabs>
          <w:tab w:val="left" w:pos="3544"/>
        </w:tabs>
        <w:jc w:val="both"/>
      </w:pPr>
      <w:r>
        <w:t xml:space="preserve">Email: </w:t>
      </w:r>
      <w:hyperlink r:id="rId27" w:history="1">
        <w:r w:rsidR="00D45D53" w:rsidRPr="00142EE5">
          <w:rPr>
            <w:rStyle w:val="Hyperlink"/>
          </w:rPr>
          <w:t>legislation@dlgsc.wa.gov.au</w:t>
        </w:r>
      </w:hyperlink>
      <w:r>
        <w:t xml:space="preserve">  </w:t>
      </w:r>
      <w:r>
        <w:tab/>
        <w:t xml:space="preserve">Website: </w:t>
      </w:r>
      <w:hyperlink r:id="rId28" w:history="1">
        <w:r w:rsidR="00D45D53" w:rsidRPr="00142EE5">
          <w:rPr>
            <w:rStyle w:val="Hyperlink"/>
          </w:rPr>
          <w:t>www.dlgc.wa.gov.au</w:t>
        </w:r>
      </w:hyperlink>
      <w:r w:rsidR="00D45D53">
        <w:rPr>
          <w:rStyle w:val="Hyperlink"/>
        </w:rPr>
        <w:t>/lgareview</w:t>
      </w:r>
    </w:p>
    <w:p w14:paraId="5E04F402" w14:textId="77777777" w:rsidR="00CA5427" w:rsidRDefault="00FD15F5" w:rsidP="00CA5427">
      <w:r>
        <w:t>Translating and Interpreting Service (TIS) – Telephone: 13 14 50</w:t>
      </w:r>
    </w:p>
    <w:p w14:paraId="7F11E3E3" w14:textId="77777777" w:rsidR="007273B1" w:rsidRDefault="007273B1">
      <w:r>
        <w:br w:type="page"/>
      </w:r>
    </w:p>
    <w:p w14:paraId="6C6082A2" w14:textId="77777777" w:rsidR="00CA5427" w:rsidRDefault="007273B1" w:rsidP="007273B1">
      <w:pPr>
        <w:pStyle w:val="Heading1"/>
      </w:pPr>
      <w:bookmarkStart w:id="2041" w:name="_Toc493746809"/>
      <w:bookmarkStart w:id="2042" w:name="_Toc493768941"/>
      <w:bookmarkStart w:id="2043" w:name="_Toc493860012"/>
      <w:bookmarkStart w:id="2044" w:name="_Toc495491912"/>
      <w:bookmarkStart w:id="2045" w:name="_Toc495497697"/>
      <w:bookmarkStart w:id="2046" w:name="_Toc495671531"/>
      <w:bookmarkStart w:id="2047" w:name="_Toc495676132"/>
      <w:bookmarkStart w:id="2048" w:name="_Toc495678427"/>
      <w:bookmarkStart w:id="2049" w:name="_Toc495998423"/>
      <w:bookmarkStart w:id="2050" w:name="_Toc497741888"/>
      <w:r>
        <w:t>Attachment 1</w:t>
      </w:r>
      <w:bookmarkEnd w:id="2041"/>
      <w:bookmarkEnd w:id="2042"/>
      <w:bookmarkEnd w:id="2043"/>
      <w:r w:rsidR="006C7E74">
        <w:t>: Councillor position description</w:t>
      </w:r>
      <w:bookmarkEnd w:id="2044"/>
      <w:bookmarkEnd w:id="2045"/>
      <w:bookmarkEnd w:id="2046"/>
      <w:bookmarkEnd w:id="2047"/>
      <w:bookmarkEnd w:id="2048"/>
      <w:bookmarkEnd w:id="2049"/>
      <w:bookmarkEnd w:id="2050"/>
    </w:p>
    <w:tbl>
      <w:tblPr>
        <w:tblStyle w:val="DLGCTable-Data"/>
        <w:tblW w:w="9918" w:type="dxa"/>
        <w:tblLook w:val="04A0" w:firstRow="1" w:lastRow="0" w:firstColumn="1" w:lastColumn="0" w:noHBand="0" w:noVBand="1"/>
      </w:tblPr>
      <w:tblGrid>
        <w:gridCol w:w="4508"/>
        <w:gridCol w:w="5410"/>
      </w:tblGrid>
      <w:tr w:rsidR="007273B1" w:rsidRPr="007273B1" w14:paraId="540C5D0B" w14:textId="77777777" w:rsidTr="00253C53">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4D8074C4" w14:textId="77777777" w:rsidR="007273B1" w:rsidRPr="007273B1" w:rsidRDefault="007273B1" w:rsidP="007273B1">
            <w:r w:rsidRPr="007273B1">
              <w:t>Councillor position description</w:t>
            </w:r>
          </w:p>
        </w:tc>
      </w:tr>
      <w:tr w:rsidR="007273B1" w:rsidRPr="007273B1" w14:paraId="5ECB0BAD" w14:textId="77777777" w:rsidTr="00253C53">
        <w:tc>
          <w:tcPr>
            <w:tcW w:w="4508" w:type="dxa"/>
          </w:tcPr>
          <w:p w14:paraId="795A40AA" w14:textId="744E4DBD" w:rsidR="007273B1" w:rsidRPr="007273B1" w:rsidRDefault="007273B1" w:rsidP="007273B1">
            <w:r w:rsidRPr="007273B1">
              <w:t xml:space="preserve">Role as prescribed by the </w:t>
            </w:r>
            <w:r w:rsidRPr="007273B1">
              <w:rPr>
                <w:i/>
              </w:rPr>
              <w:t>Local Government Act 1995</w:t>
            </w:r>
          </w:p>
        </w:tc>
        <w:tc>
          <w:tcPr>
            <w:tcW w:w="5410" w:type="dxa"/>
          </w:tcPr>
          <w:p w14:paraId="166FB983" w14:textId="0E3D5652" w:rsidR="007273B1" w:rsidRPr="007273B1" w:rsidRDefault="007273B1" w:rsidP="003A1777">
            <w:pPr>
              <w:numPr>
                <w:ilvl w:val="0"/>
                <w:numId w:val="80"/>
              </w:numPr>
            </w:pPr>
            <w:r w:rsidRPr="007273B1">
              <w:t>represent the interests of electors, ratepayers and residents of the district</w:t>
            </w:r>
          </w:p>
          <w:p w14:paraId="572CA4E4" w14:textId="39ED3150" w:rsidR="007273B1" w:rsidRPr="007273B1" w:rsidRDefault="007273B1" w:rsidP="003A1777">
            <w:pPr>
              <w:numPr>
                <w:ilvl w:val="0"/>
                <w:numId w:val="80"/>
              </w:numPr>
            </w:pPr>
            <w:r w:rsidRPr="007273B1">
              <w:t>provide leadership and guidance to the community district</w:t>
            </w:r>
          </w:p>
          <w:p w14:paraId="66BE918C" w14:textId="44529AE9" w:rsidR="007273B1" w:rsidRPr="007273B1" w:rsidRDefault="007273B1" w:rsidP="003A1777">
            <w:pPr>
              <w:numPr>
                <w:ilvl w:val="0"/>
                <w:numId w:val="80"/>
              </w:numPr>
            </w:pPr>
            <w:r w:rsidRPr="007273B1">
              <w:t>facilitate communication between the community and the council</w:t>
            </w:r>
          </w:p>
          <w:p w14:paraId="37E29614" w14:textId="5CF5A71E" w:rsidR="007273B1" w:rsidRPr="007273B1" w:rsidRDefault="007273B1" w:rsidP="003A1777">
            <w:pPr>
              <w:numPr>
                <w:ilvl w:val="0"/>
                <w:numId w:val="80"/>
              </w:numPr>
            </w:pPr>
            <w:r w:rsidRPr="007273B1">
              <w:t>participate in the local government decision making process at council and committee meetings</w:t>
            </w:r>
          </w:p>
          <w:p w14:paraId="0AA45E87" w14:textId="433B79A6" w:rsidR="007273B1" w:rsidRPr="007273B1" w:rsidRDefault="007273B1" w:rsidP="003A1777">
            <w:pPr>
              <w:numPr>
                <w:ilvl w:val="0"/>
                <w:numId w:val="80"/>
              </w:numPr>
            </w:pPr>
            <w:r w:rsidRPr="007273B1">
              <w:t xml:space="preserve">perform such other functions as are given to councillor by the </w:t>
            </w:r>
            <w:r w:rsidRPr="007273B1">
              <w:rPr>
                <w:i/>
              </w:rPr>
              <w:t>Local Government Act 1995</w:t>
            </w:r>
            <w:r w:rsidRPr="007273B1">
              <w:t xml:space="preserve"> or any other written law </w:t>
            </w:r>
          </w:p>
        </w:tc>
      </w:tr>
      <w:tr w:rsidR="007273B1" w:rsidRPr="007273B1" w14:paraId="5910B204" w14:textId="77777777" w:rsidTr="00253C53">
        <w:tc>
          <w:tcPr>
            <w:tcW w:w="4508" w:type="dxa"/>
          </w:tcPr>
          <w:p w14:paraId="2E8BD340" w14:textId="5BB6A913" w:rsidR="007273B1" w:rsidRPr="007273B1" w:rsidRDefault="007273B1" w:rsidP="007273B1">
            <w:r w:rsidRPr="007273B1">
              <w:t xml:space="preserve">Accountabilities, as prescribed by the </w:t>
            </w:r>
            <w:r w:rsidRPr="005D7538">
              <w:rPr>
                <w:i/>
              </w:rPr>
              <w:t>Local Government Act 1995</w:t>
            </w:r>
          </w:p>
        </w:tc>
        <w:tc>
          <w:tcPr>
            <w:tcW w:w="5410" w:type="dxa"/>
          </w:tcPr>
          <w:p w14:paraId="45340B34" w14:textId="17A0665A" w:rsidR="007273B1" w:rsidRPr="007273B1" w:rsidRDefault="007273B1" w:rsidP="003A1777">
            <w:pPr>
              <w:numPr>
                <w:ilvl w:val="0"/>
                <w:numId w:val="81"/>
              </w:numPr>
            </w:pPr>
            <w:r w:rsidRPr="007273B1">
              <w:t xml:space="preserve">an understanding of the role and structure of local government as prescribed by the </w:t>
            </w:r>
            <w:r w:rsidRPr="005D7538">
              <w:rPr>
                <w:i/>
              </w:rPr>
              <w:t>Local Government Act 1995</w:t>
            </w:r>
          </w:p>
          <w:p w14:paraId="789E9245" w14:textId="6C8FD641" w:rsidR="007273B1" w:rsidRPr="005D7538" w:rsidRDefault="007273B1" w:rsidP="003A1777">
            <w:pPr>
              <w:numPr>
                <w:ilvl w:val="0"/>
                <w:numId w:val="81"/>
              </w:numPr>
              <w:rPr>
                <w:i/>
              </w:rPr>
            </w:pPr>
            <w:r w:rsidRPr="007273B1">
              <w:t xml:space="preserve">an understanding of the quasi-judicial town planning role of local government, as prescribed by the </w:t>
            </w:r>
            <w:r w:rsidRPr="005D7538">
              <w:rPr>
                <w:i/>
              </w:rPr>
              <w:t>Planning and Development Act 2005</w:t>
            </w:r>
          </w:p>
          <w:p w14:paraId="765E4CBC" w14:textId="4E304D2E" w:rsidR="007273B1" w:rsidRPr="007273B1" w:rsidRDefault="007273B1" w:rsidP="003A1777">
            <w:pPr>
              <w:numPr>
                <w:ilvl w:val="0"/>
                <w:numId w:val="81"/>
              </w:numPr>
            </w:pPr>
            <w:r w:rsidRPr="007273B1">
              <w:t>an understanding of Integrated Strategic Planning – the strategic plans for the future of local government, the processes involved and the strategic role of a councillor</w:t>
            </w:r>
          </w:p>
          <w:p w14:paraId="1AB2C940" w14:textId="3DE10729" w:rsidR="007273B1" w:rsidRPr="007273B1" w:rsidRDefault="007273B1" w:rsidP="003A1777">
            <w:pPr>
              <w:numPr>
                <w:ilvl w:val="0"/>
                <w:numId w:val="81"/>
              </w:numPr>
            </w:pPr>
            <w:r w:rsidRPr="007273B1">
              <w:t>an understanding of the process of managing the Chief Executive Officer’s performance</w:t>
            </w:r>
          </w:p>
          <w:p w14:paraId="57DF66F4" w14:textId="5237EA8A" w:rsidR="007273B1" w:rsidRPr="007273B1" w:rsidRDefault="007273B1" w:rsidP="003A1777">
            <w:pPr>
              <w:numPr>
                <w:ilvl w:val="0"/>
                <w:numId w:val="81"/>
              </w:numPr>
            </w:pPr>
            <w:r w:rsidRPr="007273B1">
              <w:t>ability to read and understand financial statements and reports</w:t>
            </w:r>
          </w:p>
          <w:p w14:paraId="307D7C27" w14:textId="3A47B646" w:rsidR="007273B1" w:rsidRPr="007273B1" w:rsidRDefault="007273B1">
            <w:pPr>
              <w:numPr>
                <w:ilvl w:val="0"/>
                <w:numId w:val="81"/>
              </w:numPr>
            </w:pPr>
            <w:r w:rsidRPr="007273B1">
              <w:t xml:space="preserve">a basic understanding of legal processes </w:t>
            </w:r>
          </w:p>
        </w:tc>
      </w:tr>
      <w:tr w:rsidR="007273B1" w:rsidRPr="007273B1" w14:paraId="013821C1" w14:textId="77777777" w:rsidTr="00253C53">
        <w:tc>
          <w:tcPr>
            <w:tcW w:w="4508" w:type="dxa"/>
          </w:tcPr>
          <w:p w14:paraId="708A3917" w14:textId="6C287F75" w:rsidR="007273B1" w:rsidRPr="007273B1" w:rsidRDefault="007273B1" w:rsidP="007273B1">
            <w:r w:rsidRPr="007273B1">
              <w:t xml:space="preserve">Governance and ethical standards </w:t>
            </w:r>
          </w:p>
        </w:tc>
        <w:tc>
          <w:tcPr>
            <w:tcW w:w="5410" w:type="dxa"/>
          </w:tcPr>
          <w:p w14:paraId="01BD07F1" w14:textId="742F4FBA" w:rsidR="007273B1" w:rsidRPr="007273B1" w:rsidRDefault="007273B1" w:rsidP="003A1777">
            <w:pPr>
              <w:numPr>
                <w:ilvl w:val="0"/>
                <w:numId w:val="82"/>
              </w:numPr>
            </w:pPr>
            <w:r w:rsidRPr="007273B1">
              <w:t>an understanding of the ‘separation of powers’ between councillors and the administration (the difference between governing and managing)</w:t>
            </w:r>
          </w:p>
          <w:p w14:paraId="4BE66145" w14:textId="0A17B1AA" w:rsidR="007273B1" w:rsidRPr="007273B1" w:rsidRDefault="007273B1" w:rsidP="003A1777">
            <w:pPr>
              <w:numPr>
                <w:ilvl w:val="0"/>
                <w:numId w:val="82"/>
              </w:numPr>
            </w:pPr>
            <w:r w:rsidRPr="007273B1">
              <w:t>an understanding of meeting process, including Standing Orders</w:t>
            </w:r>
          </w:p>
          <w:p w14:paraId="602E812A" w14:textId="3C4B86EC" w:rsidR="007273B1" w:rsidRPr="007273B1" w:rsidRDefault="007273B1" w:rsidP="003A1777">
            <w:pPr>
              <w:numPr>
                <w:ilvl w:val="0"/>
                <w:numId w:val="82"/>
              </w:numPr>
            </w:pPr>
            <w:r w:rsidRPr="007273B1">
              <w:t>an appreciation for policy development processes</w:t>
            </w:r>
          </w:p>
          <w:p w14:paraId="731E04B7" w14:textId="0365771B" w:rsidR="007273B1" w:rsidRPr="007273B1" w:rsidRDefault="007273B1" w:rsidP="003A1777">
            <w:pPr>
              <w:numPr>
                <w:ilvl w:val="0"/>
                <w:numId w:val="82"/>
              </w:numPr>
            </w:pPr>
            <w:r w:rsidRPr="007273B1">
              <w:t>an awareness of risk management strategies</w:t>
            </w:r>
          </w:p>
          <w:p w14:paraId="61A7E63A" w14:textId="08AD3740" w:rsidR="007273B1" w:rsidRPr="007273B1" w:rsidRDefault="007273B1" w:rsidP="003A1777">
            <w:pPr>
              <w:numPr>
                <w:ilvl w:val="0"/>
                <w:numId w:val="82"/>
              </w:numPr>
            </w:pPr>
            <w:r w:rsidRPr="007273B1">
              <w:t xml:space="preserve">an understanding of the accountability framework prescribed by </w:t>
            </w:r>
            <w:r w:rsidRPr="005D7538">
              <w:rPr>
                <w:i/>
              </w:rPr>
              <w:t>the Local Government Act 1995</w:t>
            </w:r>
            <w:r w:rsidRPr="007273B1">
              <w:t xml:space="preserve"> and the </w:t>
            </w:r>
            <w:r w:rsidRPr="005D7538">
              <w:rPr>
                <w:i/>
              </w:rPr>
              <w:t>Corruption and Crime Act 2003</w:t>
            </w:r>
            <w:r w:rsidRPr="007273B1">
              <w:t>, and other legislation</w:t>
            </w:r>
          </w:p>
        </w:tc>
      </w:tr>
      <w:tr w:rsidR="007273B1" w:rsidRPr="007273B1" w14:paraId="0F2C40F2" w14:textId="77777777" w:rsidTr="00253C53">
        <w:tc>
          <w:tcPr>
            <w:tcW w:w="4508" w:type="dxa"/>
          </w:tcPr>
          <w:p w14:paraId="6173A50E" w14:textId="77777777" w:rsidR="007273B1" w:rsidRPr="007273B1" w:rsidRDefault="007273B1" w:rsidP="007273B1">
            <w:r w:rsidRPr="007273B1">
              <w:t>Values, characteristics and commitment to the role</w:t>
            </w:r>
          </w:p>
        </w:tc>
        <w:tc>
          <w:tcPr>
            <w:tcW w:w="5410" w:type="dxa"/>
          </w:tcPr>
          <w:p w14:paraId="2C8FEFEB" w14:textId="25FB0610" w:rsidR="007273B1" w:rsidRPr="007273B1" w:rsidRDefault="007273B1" w:rsidP="003A1777">
            <w:pPr>
              <w:numPr>
                <w:ilvl w:val="0"/>
                <w:numId w:val="83"/>
              </w:numPr>
            </w:pPr>
            <w:r w:rsidRPr="007273B1">
              <w:t>the ability to communicate, debate and actively participate in meetings; ability to enhance discussion and assist discussions to reach closure; ability to disagree, without being disagreeable</w:t>
            </w:r>
          </w:p>
          <w:p w14:paraId="28F3C38B" w14:textId="51A8A177" w:rsidR="007273B1" w:rsidRPr="007273B1" w:rsidRDefault="007273B1" w:rsidP="003A1777">
            <w:pPr>
              <w:numPr>
                <w:ilvl w:val="0"/>
                <w:numId w:val="83"/>
              </w:numPr>
            </w:pPr>
            <w:r w:rsidRPr="007273B1">
              <w:t>the ability to develop and maintain effective working relationships and to manage interpersonal conflicts</w:t>
            </w:r>
          </w:p>
          <w:p w14:paraId="2AA175AD" w14:textId="4E2C361B" w:rsidR="007273B1" w:rsidRPr="007273B1" w:rsidRDefault="007273B1" w:rsidP="003A1777">
            <w:pPr>
              <w:numPr>
                <w:ilvl w:val="0"/>
                <w:numId w:val="83"/>
              </w:numPr>
            </w:pPr>
            <w:r w:rsidRPr="007273B1">
              <w:t>ability to exercise independent judgements</w:t>
            </w:r>
          </w:p>
        </w:tc>
      </w:tr>
    </w:tbl>
    <w:p w14:paraId="2FC44840" w14:textId="77777777" w:rsidR="00B66765" w:rsidRDefault="00B66765" w:rsidP="007273B1"/>
    <w:p w14:paraId="18148BE8" w14:textId="77777777" w:rsidR="00B66765" w:rsidRDefault="00B66765">
      <w:r>
        <w:br w:type="page"/>
      </w:r>
    </w:p>
    <w:p w14:paraId="6747EFC9" w14:textId="77777777" w:rsidR="00671FC0" w:rsidRDefault="00671FC0" w:rsidP="00671FC0">
      <w:pPr>
        <w:pStyle w:val="Heading1"/>
      </w:pPr>
      <w:bookmarkStart w:id="2051" w:name="_Toc493746810"/>
      <w:bookmarkStart w:id="2052" w:name="_Toc493768942"/>
      <w:bookmarkStart w:id="2053" w:name="_Toc493860013"/>
      <w:bookmarkStart w:id="2054" w:name="_Toc495491913"/>
      <w:bookmarkStart w:id="2055" w:name="_Toc495497698"/>
      <w:bookmarkStart w:id="2056" w:name="_Toc495671532"/>
      <w:bookmarkStart w:id="2057" w:name="_Toc495676133"/>
      <w:bookmarkStart w:id="2058" w:name="_Toc495678428"/>
      <w:bookmarkStart w:id="2059" w:name="_Toc495998424"/>
      <w:bookmarkStart w:id="2060" w:name="_Toc497741889"/>
      <w:r>
        <w:t>Attachment 2</w:t>
      </w:r>
      <w:bookmarkEnd w:id="2051"/>
      <w:bookmarkEnd w:id="2052"/>
      <w:bookmarkEnd w:id="2053"/>
      <w:r w:rsidR="006C7E74">
        <w:t>: Gifts</w:t>
      </w:r>
      <w:bookmarkEnd w:id="2054"/>
      <w:bookmarkEnd w:id="2055"/>
      <w:bookmarkEnd w:id="2056"/>
      <w:bookmarkEnd w:id="2057"/>
      <w:bookmarkEnd w:id="2058"/>
      <w:bookmarkEnd w:id="2059"/>
      <w:bookmarkEnd w:id="2060"/>
    </w:p>
    <w:p w14:paraId="4DC6EE2D" w14:textId="77777777" w:rsidR="00671FC0" w:rsidRPr="00B35396" w:rsidRDefault="00671FC0" w:rsidP="00B35396">
      <w:pPr>
        <w:rPr>
          <w:b/>
        </w:rPr>
      </w:pPr>
      <w:r w:rsidRPr="00B35396">
        <w:rPr>
          <w:b/>
        </w:rPr>
        <w:t xml:space="preserve">The current gift framework </w:t>
      </w:r>
    </w:p>
    <w:p w14:paraId="63AC0D5C" w14:textId="77777777" w:rsidR="00671FC0" w:rsidRDefault="00671FC0" w:rsidP="001608F1">
      <w:pPr>
        <w:pStyle w:val="BodyText-nospacebelow"/>
        <w:jc w:val="both"/>
      </w:pPr>
      <w:r w:rsidRPr="003F0EAC">
        <w:t xml:space="preserve">The current framework is established by section 5.82 of the Act for gifts and section 5.83 of the Act for contributions to travel.  Under these sections, relevant persons are required to disclose gifts and contributions to travel over a prescribed amount, in writing, to the CEO within 10 days of receipt.  The </w:t>
      </w:r>
      <w:r w:rsidR="00DC39DF">
        <w:rPr>
          <w:lang w:eastAsia="en-AU"/>
        </w:rPr>
        <w:t>disclosure</w:t>
      </w:r>
      <w:r w:rsidRPr="003F0EAC">
        <w:t xml:space="preserve">s must be recorded in a register using a </w:t>
      </w:r>
      <w:r w:rsidR="006C7E74">
        <w:t>set</w:t>
      </w:r>
      <w:r w:rsidRPr="003F0EAC">
        <w:t xml:space="preserve"> form, which must then be made available on the local government’s official website.  There is currently no timeframe for disclosures to be published on the local government website.</w:t>
      </w:r>
    </w:p>
    <w:p w14:paraId="5A897A88" w14:textId="77777777" w:rsidR="00671FC0" w:rsidRPr="003F0EAC" w:rsidRDefault="00671FC0" w:rsidP="001608F1">
      <w:pPr>
        <w:pStyle w:val="BodyText-nospacebelow"/>
        <w:jc w:val="both"/>
      </w:pPr>
    </w:p>
    <w:p w14:paraId="672E93C3" w14:textId="77777777" w:rsidR="00671FC0" w:rsidRPr="003F0EAC" w:rsidRDefault="00671FC0" w:rsidP="001608F1">
      <w:pPr>
        <w:pStyle w:val="BodyText-nospacebelow"/>
        <w:jc w:val="both"/>
      </w:pPr>
      <w:r w:rsidRPr="003F0EAC">
        <w:t>Gift disclosures must include:</w:t>
      </w:r>
    </w:p>
    <w:p w14:paraId="00E79050" w14:textId="0B012E79" w:rsidR="00671FC0" w:rsidRPr="003F0EAC" w:rsidRDefault="00671FC0" w:rsidP="001608F1">
      <w:pPr>
        <w:pStyle w:val="BodyText-nospacebelow"/>
        <w:numPr>
          <w:ilvl w:val="0"/>
          <w:numId w:val="32"/>
        </w:numPr>
        <w:jc w:val="both"/>
      </w:pPr>
      <w:r w:rsidRPr="003F0EAC">
        <w:t>a description of the gift;</w:t>
      </w:r>
    </w:p>
    <w:p w14:paraId="4E97F2D3" w14:textId="7A9497B7" w:rsidR="00671FC0" w:rsidRPr="003F0EAC" w:rsidRDefault="00671FC0" w:rsidP="001608F1">
      <w:pPr>
        <w:pStyle w:val="BodyText-nospacebelow"/>
        <w:numPr>
          <w:ilvl w:val="0"/>
          <w:numId w:val="32"/>
        </w:numPr>
        <w:jc w:val="both"/>
      </w:pPr>
      <w:r w:rsidRPr="003F0EAC">
        <w:t>the name and address of the person who made the gift;</w:t>
      </w:r>
    </w:p>
    <w:p w14:paraId="364B7779" w14:textId="41F7C240" w:rsidR="00671FC0" w:rsidRPr="003F0EAC" w:rsidRDefault="00671FC0" w:rsidP="001608F1">
      <w:pPr>
        <w:pStyle w:val="BodyText-nospacebelow"/>
        <w:numPr>
          <w:ilvl w:val="0"/>
          <w:numId w:val="32"/>
        </w:numPr>
        <w:jc w:val="both"/>
      </w:pPr>
      <w:r w:rsidRPr="003F0EAC">
        <w:t>the date on which the gift was received;</w:t>
      </w:r>
    </w:p>
    <w:p w14:paraId="083334B4" w14:textId="345CFEE2" w:rsidR="00671FC0" w:rsidRPr="003F0EAC" w:rsidRDefault="00671FC0" w:rsidP="001608F1">
      <w:pPr>
        <w:pStyle w:val="BodyText-nospacebelow"/>
        <w:numPr>
          <w:ilvl w:val="0"/>
          <w:numId w:val="32"/>
        </w:numPr>
        <w:jc w:val="both"/>
      </w:pPr>
      <w:r w:rsidRPr="003F0EAC">
        <w:t>the estimated value of the gift at the time it was made; and</w:t>
      </w:r>
    </w:p>
    <w:p w14:paraId="2F798567" w14:textId="272DA460" w:rsidR="00671FC0" w:rsidRDefault="00671FC0" w:rsidP="001608F1">
      <w:pPr>
        <w:pStyle w:val="BodyText-nospacebelow"/>
        <w:numPr>
          <w:ilvl w:val="0"/>
          <w:numId w:val="32"/>
        </w:numPr>
        <w:jc w:val="both"/>
      </w:pPr>
      <w:r w:rsidRPr="003F0EAC">
        <w:t xml:space="preserve">the nature of the relationship between the relevant person and the person who made the gift.  </w:t>
      </w:r>
    </w:p>
    <w:p w14:paraId="63FF9A1B" w14:textId="77777777" w:rsidR="00671FC0" w:rsidRPr="003F0EAC" w:rsidRDefault="00671FC0" w:rsidP="001608F1">
      <w:pPr>
        <w:pStyle w:val="BodyText-nospacebelow"/>
        <w:ind w:left="720"/>
        <w:jc w:val="both"/>
      </w:pPr>
    </w:p>
    <w:p w14:paraId="5FC7E7E8" w14:textId="77777777" w:rsidR="00671FC0" w:rsidRDefault="00671FC0" w:rsidP="001608F1">
      <w:pPr>
        <w:pStyle w:val="BodyText-nospacebelow"/>
        <w:jc w:val="both"/>
      </w:pPr>
      <w:r w:rsidRPr="003F0EAC">
        <w:t>Section 5.82(4) of the Act defines a “gift” as:</w:t>
      </w:r>
    </w:p>
    <w:p w14:paraId="131890EA" w14:textId="77777777" w:rsidR="00671FC0" w:rsidRDefault="00671FC0" w:rsidP="001608F1">
      <w:pPr>
        <w:pStyle w:val="Quote"/>
        <w:jc w:val="both"/>
      </w:pPr>
      <w:r w:rsidRPr="003F0EAC">
        <w:t xml:space="preserve">“…any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contributions to travel…”.  </w:t>
      </w:r>
    </w:p>
    <w:p w14:paraId="307C2E7C" w14:textId="77777777" w:rsidR="00671FC0" w:rsidRPr="003F0EAC" w:rsidRDefault="00671FC0" w:rsidP="001608F1">
      <w:pPr>
        <w:pStyle w:val="BodyText-nospacebelow"/>
        <w:jc w:val="both"/>
      </w:pPr>
      <w:r w:rsidRPr="003F0EAC">
        <w:t>Section 5.82(2) provides for the following exemptions from disclosure:</w:t>
      </w:r>
    </w:p>
    <w:p w14:paraId="27101DD8" w14:textId="77777777" w:rsidR="00671FC0" w:rsidRPr="003F0EAC" w:rsidRDefault="00671FC0" w:rsidP="001608F1">
      <w:pPr>
        <w:pStyle w:val="BodyText-nospacebelow"/>
        <w:numPr>
          <w:ilvl w:val="0"/>
          <w:numId w:val="42"/>
        </w:numPr>
        <w:jc w:val="both"/>
      </w:pPr>
      <w:r w:rsidRPr="003F0EAC">
        <w:t>if the gift did not exceed the prescribed amount ($200), unless it was:</w:t>
      </w:r>
    </w:p>
    <w:p w14:paraId="3055B64B" w14:textId="1D07C7A6" w:rsidR="00671FC0" w:rsidRPr="003F0EAC" w:rsidRDefault="00671FC0" w:rsidP="001608F1">
      <w:pPr>
        <w:pStyle w:val="BodyText-nospacebelow"/>
        <w:numPr>
          <w:ilvl w:val="1"/>
          <w:numId w:val="42"/>
        </w:numPr>
        <w:jc w:val="both"/>
      </w:pPr>
      <w:r w:rsidRPr="003F0EAC">
        <w:t>one of two or more gifts made by one person at any time during a year; and</w:t>
      </w:r>
    </w:p>
    <w:p w14:paraId="633F3861" w14:textId="0E265EA5" w:rsidR="00671FC0" w:rsidRPr="003F0EAC" w:rsidRDefault="00671FC0" w:rsidP="001608F1">
      <w:pPr>
        <w:pStyle w:val="BodyText-nospacebelow"/>
        <w:numPr>
          <w:ilvl w:val="1"/>
          <w:numId w:val="42"/>
        </w:numPr>
        <w:jc w:val="both"/>
      </w:pPr>
      <w:r w:rsidRPr="003F0EAC">
        <w:t xml:space="preserve">the sum of those two or more gifts exceeded the prescribed amount; </w:t>
      </w:r>
    </w:p>
    <w:p w14:paraId="0B62D8FA" w14:textId="77777777" w:rsidR="00671FC0" w:rsidRPr="003F0EAC" w:rsidRDefault="00671FC0" w:rsidP="001608F1">
      <w:pPr>
        <w:pStyle w:val="BodyText-nospacebelow"/>
        <w:jc w:val="both"/>
      </w:pPr>
      <w:r w:rsidRPr="003F0EAC">
        <w:t>or</w:t>
      </w:r>
    </w:p>
    <w:p w14:paraId="6A2AAC56" w14:textId="77777777" w:rsidR="00671FC0" w:rsidRDefault="00671FC0" w:rsidP="001608F1">
      <w:pPr>
        <w:pStyle w:val="BodyText-nospacebelow"/>
        <w:numPr>
          <w:ilvl w:val="0"/>
          <w:numId w:val="42"/>
        </w:numPr>
        <w:jc w:val="both"/>
      </w:pPr>
      <w:r w:rsidRPr="003F0EAC">
        <w:t xml:space="preserve">the donor was a relative of the person.  </w:t>
      </w:r>
    </w:p>
    <w:p w14:paraId="02223DF5" w14:textId="77777777" w:rsidR="00671FC0" w:rsidRPr="003F0EAC" w:rsidRDefault="00671FC0" w:rsidP="001608F1">
      <w:pPr>
        <w:pStyle w:val="BodyText-nospacebelow"/>
        <w:ind w:left="720"/>
        <w:jc w:val="both"/>
      </w:pPr>
    </w:p>
    <w:p w14:paraId="76AF83E4" w14:textId="77777777" w:rsidR="00671FC0" w:rsidRPr="003F0EAC" w:rsidRDefault="00671FC0" w:rsidP="001608F1">
      <w:pPr>
        <w:pStyle w:val="BodyText-nospacebelow"/>
        <w:jc w:val="both"/>
      </w:pPr>
      <w:r w:rsidRPr="003F0EAC">
        <w:t>Travel disclosures must include:</w:t>
      </w:r>
    </w:p>
    <w:p w14:paraId="4663C242" w14:textId="4F6190B5" w:rsidR="00671FC0" w:rsidRPr="003F0EAC" w:rsidRDefault="00671FC0" w:rsidP="001608F1">
      <w:pPr>
        <w:pStyle w:val="BodyText-nospacebelow"/>
        <w:numPr>
          <w:ilvl w:val="0"/>
          <w:numId w:val="33"/>
        </w:numPr>
        <w:jc w:val="both"/>
      </w:pPr>
      <w:r w:rsidRPr="003F0EAC">
        <w:t>a description of the contribution;</w:t>
      </w:r>
    </w:p>
    <w:p w14:paraId="7C203544" w14:textId="78A8A9C2" w:rsidR="00671FC0" w:rsidRPr="003F0EAC" w:rsidRDefault="00671FC0" w:rsidP="001608F1">
      <w:pPr>
        <w:pStyle w:val="BodyText-nospacebelow"/>
        <w:numPr>
          <w:ilvl w:val="0"/>
          <w:numId w:val="33"/>
        </w:numPr>
        <w:jc w:val="both"/>
      </w:pPr>
      <w:r w:rsidRPr="003F0EAC">
        <w:t>the name and address of the person who made the contribution;</w:t>
      </w:r>
    </w:p>
    <w:p w14:paraId="7AA862FE" w14:textId="30A39B2C" w:rsidR="00671FC0" w:rsidRPr="003F0EAC" w:rsidRDefault="00671FC0" w:rsidP="001608F1">
      <w:pPr>
        <w:pStyle w:val="BodyText-nospacebelow"/>
        <w:numPr>
          <w:ilvl w:val="0"/>
          <w:numId w:val="33"/>
        </w:numPr>
        <w:jc w:val="both"/>
      </w:pPr>
      <w:r w:rsidRPr="003F0EAC">
        <w:t>the date on which the contribution was received;</w:t>
      </w:r>
    </w:p>
    <w:p w14:paraId="28EA9CB1" w14:textId="42F409F9" w:rsidR="00671FC0" w:rsidRPr="003F0EAC" w:rsidRDefault="00671FC0" w:rsidP="001608F1">
      <w:pPr>
        <w:pStyle w:val="BodyText-nospacebelow"/>
        <w:numPr>
          <w:ilvl w:val="0"/>
          <w:numId w:val="33"/>
        </w:numPr>
        <w:jc w:val="both"/>
      </w:pPr>
      <w:r w:rsidRPr="003F0EAC">
        <w:t>the estimated value of the contribution at the time it was made;</w:t>
      </w:r>
    </w:p>
    <w:p w14:paraId="4B89F3DD" w14:textId="0E9F4A77" w:rsidR="00671FC0" w:rsidRPr="003F0EAC" w:rsidRDefault="00671FC0" w:rsidP="001608F1">
      <w:pPr>
        <w:pStyle w:val="BodyText-nospacebelow"/>
        <w:numPr>
          <w:ilvl w:val="0"/>
          <w:numId w:val="33"/>
        </w:numPr>
        <w:jc w:val="both"/>
      </w:pPr>
      <w:r w:rsidRPr="003F0EAC">
        <w:t>the nature of the relationship between the relevant person and the person who made the contribution;</w:t>
      </w:r>
    </w:p>
    <w:p w14:paraId="065D3CA8" w14:textId="0D65C6F2" w:rsidR="00671FC0" w:rsidRPr="003F0EAC" w:rsidRDefault="00671FC0" w:rsidP="001608F1">
      <w:pPr>
        <w:pStyle w:val="BodyText-nospacebelow"/>
        <w:numPr>
          <w:ilvl w:val="0"/>
          <w:numId w:val="33"/>
        </w:numPr>
        <w:jc w:val="both"/>
      </w:pPr>
      <w:r w:rsidRPr="003F0EAC">
        <w:t>a description of the travel; and</w:t>
      </w:r>
    </w:p>
    <w:p w14:paraId="41ECA491" w14:textId="6ABBDAA0" w:rsidR="00671FC0" w:rsidRDefault="00671FC0" w:rsidP="001608F1">
      <w:pPr>
        <w:pStyle w:val="BodyText-nospacebelow"/>
        <w:numPr>
          <w:ilvl w:val="0"/>
          <w:numId w:val="33"/>
        </w:numPr>
        <w:jc w:val="both"/>
      </w:pPr>
      <w:r w:rsidRPr="003F0EAC">
        <w:t xml:space="preserve">the date of travel. </w:t>
      </w:r>
    </w:p>
    <w:p w14:paraId="2E72169C" w14:textId="77777777" w:rsidR="00671FC0" w:rsidRPr="003F0EAC" w:rsidRDefault="00671FC0" w:rsidP="001608F1">
      <w:pPr>
        <w:pStyle w:val="BodyText-nospacebelow"/>
        <w:ind w:left="1080"/>
        <w:jc w:val="both"/>
      </w:pPr>
    </w:p>
    <w:p w14:paraId="69DA2088" w14:textId="77777777" w:rsidR="00671FC0" w:rsidRDefault="00671FC0" w:rsidP="001608F1">
      <w:pPr>
        <w:pStyle w:val="BodyText-nospacebelow"/>
        <w:jc w:val="both"/>
      </w:pPr>
      <w:r w:rsidRPr="003F0EAC">
        <w:t xml:space="preserve">A “contribution to travel” is not explicitly defined in the Act but section 5.83(4) states that it includes “accommodation incidental to a journey”.  Regulation 34D of the </w:t>
      </w:r>
      <w:r w:rsidRPr="003F0EAC">
        <w:rPr>
          <w:i/>
        </w:rPr>
        <w:t xml:space="preserve">Local Government (Administration) Regulations 1996 </w:t>
      </w:r>
      <w:r w:rsidRPr="003F0EAC">
        <w:t>defines a “travel contribution” as:</w:t>
      </w:r>
    </w:p>
    <w:p w14:paraId="701EF4A5" w14:textId="77777777" w:rsidR="00671FC0" w:rsidRPr="003F0EAC" w:rsidRDefault="00671FC0" w:rsidP="001608F1">
      <w:pPr>
        <w:pStyle w:val="Quote"/>
        <w:jc w:val="both"/>
      </w:pPr>
      <w:r w:rsidRPr="003F0EAC">
        <w:t>“…in relation to a person, means a financial or other contribution that has been made to any travel undertaken by the person.”</w:t>
      </w:r>
    </w:p>
    <w:p w14:paraId="6E9C45B7" w14:textId="77777777" w:rsidR="00671FC0" w:rsidRPr="003F0EAC" w:rsidRDefault="00671FC0" w:rsidP="001608F1">
      <w:pPr>
        <w:pStyle w:val="BodyText-nospacebelow"/>
        <w:jc w:val="both"/>
      </w:pPr>
      <w:r w:rsidRPr="003F0EAC">
        <w:t>Section 5.83 provides for the following exemptions from disclosure:</w:t>
      </w:r>
    </w:p>
    <w:p w14:paraId="7C2B6D58" w14:textId="7B8350F0" w:rsidR="00671FC0" w:rsidRPr="003F0EAC" w:rsidRDefault="00671FC0" w:rsidP="001608F1">
      <w:pPr>
        <w:pStyle w:val="BodyText-nospacebelow"/>
        <w:numPr>
          <w:ilvl w:val="0"/>
          <w:numId w:val="43"/>
        </w:numPr>
        <w:jc w:val="both"/>
      </w:pPr>
      <w:r w:rsidRPr="003F0EAC">
        <w:t>if the contribution was made from Commonwealth, State or local government funds; or</w:t>
      </w:r>
    </w:p>
    <w:p w14:paraId="290ED084" w14:textId="77C4F9F9" w:rsidR="00671FC0" w:rsidRPr="003F0EAC" w:rsidRDefault="00671FC0" w:rsidP="001608F1">
      <w:pPr>
        <w:pStyle w:val="BodyText-nospacebelow"/>
        <w:numPr>
          <w:ilvl w:val="0"/>
          <w:numId w:val="43"/>
        </w:numPr>
        <w:jc w:val="both"/>
      </w:pPr>
      <w:r w:rsidRPr="003F0EAC">
        <w:t>the contribution was made by a relative of the person; or</w:t>
      </w:r>
    </w:p>
    <w:p w14:paraId="3862220F" w14:textId="08D93B24" w:rsidR="00671FC0" w:rsidRPr="003F0EAC" w:rsidRDefault="00671FC0" w:rsidP="001608F1">
      <w:pPr>
        <w:pStyle w:val="BodyText-nospacebelow"/>
        <w:numPr>
          <w:ilvl w:val="0"/>
          <w:numId w:val="43"/>
        </w:numPr>
        <w:jc w:val="both"/>
      </w:pPr>
      <w:r w:rsidRPr="003F0EAC">
        <w:t>the contribution was made in the ordinary course of an occupation of the person which is not related to his or her duties as a</w:t>
      </w:r>
      <w:r w:rsidR="00246B9A">
        <w:t>n</w:t>
      </w:r>
      <w:r w:rsidRPr="003F0EAC">
        <w:t xml:space="preserve"> </w:t>
      </w:r>
      <w:r w:rsidR="00246B9A">
        <w:t>elected member</w:t>
      </w:r>
      <w:r w:rsidRPr="003F0EAC">
        <w:t xml:space="preserve"> or employee; or</w:t>
      </w:r>
    </w:p>
    <w:p w14:paraId="27C16594" w14:textId="72247CBB" w:rsidR="00671FC0" w:rsidRPr="003F0EAC" w:rsidRDefault="00671FC0" w:rsidP="001608F1">
      <w:pPr>
        <w:pStyle w:val="BodyText-nospacebelow"/>
        <w:numPr>
          <w:ilvl w:val="0"/>
          <w:numId w:val="43"/>
        </w:numPr>
        <w:jc w:val="both"/>
      </w:pPr>
      <w:r w:rsidRPr="003F0EAC">
        <w:t xml:space="preserve">the amount of the contribution did not exceed the prescribed amount unless it was – </w:t>
      </w:r>
    </w:p>
    <w:p w14:paraId="4162A739" w14:textId="43614BEF" w:rsidR="00671FC0" w:rsidRPr="003F0EAC" w:rsidRDefault="00671FC0" w:rsidP="001608F1">
      <w:pPr>
        <w:pStyle w:val="BodyText-nospacebelow"/>
        <w:numPr>
          <w:ilvl w:val="1"/>
          <w:numId w:val="43"/>
        </w:numPr>
        <w:jc w:val="both"/>
      </w:pPr>
      <w:r w:rsidRPr="003F0EAC">
        <w:t>one of two or more contributions made by one person at any time during a year; and</w:t>
      </w:r>
    </w:p>
    <w:p w14:paraId="00B601FD" w14:textId="06AAEFF6" w:rsidR="00671FC0" w:rsidRPr="003F0EAC" w:rsidRDefault="00671FC0" w:rsidP="001608F1">
      <w:pPr>
        <w:pStyle w:val="BodyText-nospacebelow"/>
        <w:numPr>
          <w:ilvl w:val="1"/>
          <w:numId w:val="43"/>
        </w:numPr>
        <w:jc w:val="both"/>
      </w:pPr>
      <w:r w:rsidRPr="003F0EAC">
        <w:t>the sum of those two or more contributions exceeded the prescribed amount;</w:t>
      </w:r>
    </w:p>
    <w:p w14:paraId="6176F6F0" w14:textId="77777777" w:rsidR="00671FC0" w:rsidRPr="003F0EAC" w:rsidRDefault="00671FC0" w:rsidP="001608F1">
      <w:pPr>
        <w:pStyle w:val="BodyText-nospacebelow"/>
        <w:jc w:val="both"/>
      </w:pPr>
      <w:r w:rsidRPr="003F0EAC">
        <w:t>or</w:t>
      </w:r>
    </w:p>
    <w:p w14:paraId="2BEC3F97" w14:textId="77777777" w:rsidR="00671FC0" w:rsidRDefault="00671FC0" w:rsidP="001608F1">
      <w:pPr>
        <w:pStyle w:val="BodyText-nospacebelow"/>
        <w:numPr>
          <w:ilvl w:val="0"/>
          <w:numId w:val="44"/>
        </w:numPr>
        <w:jc w:val="both"/>
      </w:pPr>
      <w:r w:rsidRPr="003F0EAC">
        <w:t xml:space="preserve">the contribution was made by a political party of which the person was a member and the travel was undertaken for the purpose of political activity of the party, or to enable the person to represent the party.  </w:t>
      </w:r>
    </w:p>
    <w:p w14:paraId="2150401A" w14:textId="77777777" w:rsidR="00671FC0" w:rsidRPr="003F0EAC" w:rsidRDefault="00671FC0" w:rsidP="001608F1">
      <w:pPr>
        <w:pStyle w:val="BodyText-nospacebelow"/>
        <w:ind w:left="1440"/>
        <w:jc w:val="both"/>
      </w:pPr>
    </w:p>
    <w:p w14:paraId="1EB7DA6C" w14:textId="10BE9AAA" w:rsidR="00671FC0" w:rsidRDefault="00671FC0" w:rsidP="001608F1">
      <w:pPr>
        <w:pStyle w:val="BodyText-nospacebelow"/>
        <w:jc w:val="both"/>
      </w:pPr>
      <w:r w:rsidRPr="003F0EAC">
        <w:t>If a</w:t>
      </w:r>
      <w:r w:rsidR="00246B9A">
        <w:t>n</w:t>
      </w:r>
      <w:r w:rsidRPr="003F0EAC">
        <w:t xml:space="preserve"> </w:t>
      </w:r>
      <w:r w:rsidR="00246B9A">
        <w:t>elected member</w:t>
      </w:r>
      <w:r w:rsidRPr="003F0EAC">
        <w:t xml:space="preserve"> receives a gift or contribution to travel that needs to be disclosed under section 5.82 or 5.83 then for the remainder of their term in which the gift was received, the donor is deemed to be a “closely associated person” under section 5.62(1)(eb). As a consequence, the member will then have a financial interest (section 5.60) and need to disclose that interest in accordance with s. 5.65 if the donor requires (or has a financial relationship with someone who requires) a local government decision.</w:t>
      </w:r>
    </w:p>
    <w:p w14:paraId="0E4324D3" w14:textId="77777777" w:rsidR="00671FC0" w:rsidRPr="003F0EAC" w:rsidRDefault="00671FC0" w:rsidP="001608F1">
      <w:pPr>
        <w:pStyle w:val="BodyText-nospacebelow"/>
        <w:jc w:val="both"/>
      </w:pPr>
    </w:p>
    <w:p w14:paraId="40E85FFC" w14:textId="7B402347" w:rsidR="00671FC0" w:rsidRDefault="00671FC0" w:rsidP="001608F1">
      <w:pPr>
        <w:pStyle w:val="BodyText-nospacebelow"/>
        <w:jc w:val="both"/>
      </w:pPr>
      <w:r w:rsidRPr="003F0EAC">
        <w:t xml:space="preserve">Section 5.103 of the Act requires every local government to prepare or adopt a code of conduct to be observed by </w:t>
      </w:r>
      <w:r w:rsidR="00246B9A">
        <w:t>elected member</w:t>
      </w:r>
      <w:r w:rsidRPr="003F0EAC">
        <w:t xml:space="preserve">s, committee members and employees.  Regulations may prescribe the content or matters that are to be included, being the </w:t>
      </w:r>
      <w:r w:rsidRPr="003F0EAC">
        <w:rPr>
          <w:i/>
        </w:rPr>
        <w:t xml:space="preserve">Local Government (Administration) Regulations 1996. </w:t>
      </w:r>
      <w:r w:rsidRPr="003F0EAC">
        <w:t xml:space="preserve">Further information on codes of conduct can be viewed in </w:t>
      </w:r>
      <w:r w:rsidR="00322DDB">
        <w:t>Chapter</w:t>
      </w:r>
      <w:r w:rsidR="008F2934" w:rsidRPr="008F2934">
        <w:t xml:space="preserve"> </w:t>
      </w:r>
      <w:r w:rsidR="008F2934">
        <w:t>3</w:t>
      </w:r>
      <w:r w:rsidR="00755300">
        <w:t>.1</w:t>
      </w:r>
      <w:r w:rsidR="00754FF1">
        <w:t xml:space="preserve"> of this paper.</w:t>
      </w:r>
    </w:p>
    <w:p w14:paraId="2DB71C44" w14:textId="77777777" w:rsidR="00671FC0" w:rsidRPr="003F0EAC" w:rsidRDefault="00671FC0" w:rsidP="001608F1">
      <w:pPr>
        <w:pStyle w:val="BodyText-nospacebelow"/>
        <w:jc w:val="both"/>
      </w:pPr>
    </w:p>
    <w:p w14:paraId="64C42EBF" w14:textId="66964B7C" w:rsidR="00671FC0" w:rsidRDefault="00671FC0" w:rsidP="001608F1">
      <w:pPr>
        <w:pStyle w:val="BodyText-nospacebelow"/>
        <w:jc w:val="both"/>
      </w:pPr>
      <w:r w:rsidRPr="003F0EAC">
        <w:t xml:space="preserve">Section 5.104 of the Act states that </w:t>
      </w:r>
      <w:r w:rsidR="00246B9A">
        <w:t>elected member</w:t>
      </w:r>
      <w:r w:rsidRPr="003F0EAC">
        <w:t xml:space="preserve">s are required to observe rules of conduct which are set out in regulations, specifically the </w:t>
      </w:r>
      <w:r w:rsidRPr="003F0EAC">
        <w:rPr>
          <w:i/>
        </w:rPr>
        <w:t>Local Government (Rules of Conduct) Regulations 2007</w:t>
      </w:r>
      <w:r w:rsidRPr="003F0EAC">
        <w:t xml:space="preserve">. </w:t>
      </w:r>
    </w:p>
    <w:p w14:paraId="5542519E" w14:textId="77777777" w:rsidR="00671FC0" w:rsidRPr="003F0EAC" w:rsidRDefault="00671FC0" w:rsidP="001608F1">
      <w:pPr>
        <w:pStyle w:val="BodyText-nospacebelow"/>
        <w:jc w:val="both"/>
      </w:pPr>
    </w:p>
    <w:p w14:paraId="6C41FA61" w14:textId="77777777" w:rsidR="00671FC0" w:rsidRPr="003F0EAC" w:rsidRDefault="00671FC0" w:rsidP="001608F1">
      <w:pPr>
        <w:pStyle w:val="BodyText-nospacebelow"/>
        <w:jc w:val="both"/>
      </w:pPr>
      <w:r w:rsidRPr="003F0EAC">
        <w:t>In addition to the requirements set out in the Act, there are three sets of Regulations dealing with disclosure of gifts and contributions to travel:</w:t>
      </w:r>
    </w:p>
    <w:p w14:paraId="3A2F4F3A" w14:textId="01FE7F37" w:rsidR="00671FC0" w:rsidRPr="003F0EAC" w:rsidRDefault="00671FC0" w:rsidP="001608F1">
      <w:pPr>
        <w:pStyle w:val="BodyText-nospacebelow"/>
        <w:numPr>
          <w:ilvl w:val="0"/>
          <w:numId w:val="34"/>
        </w:numPr>
        <w:jc w:val="both"/>
      </w:pPr>
      <w:r w:rsidRPr="003F0EAC">
        <w:rPr>
          <w:i/>
        </w:rPr>
        <w:t xml:space="preserve">Local Government (Rules of Conduct) Regulations 2007 </w:t>
      </w:r>
      <w:r w:rsidRPr="003F0EAC">
        <w:t>(Rules of Conduct Regulations)</w:t>
      </w:r>
    </w:p>
    <w:p w14:paraId="43FF44CE" w14:textId="53F76F85" w:rsidR="00671FC0" w:rsidRPr="003F0EAC" w:rsidRDefault="00671FC0" w:rsidP="001608F1">
      <w:pPr>
        <w:pStyle w:val="BodyText-nospacebelow"/>
        <w:numPr>
          <w:ilvl w:val="0"/>
          <w:numId w:val="34"/>
        </w:numPr>
        <w:jc w:val="both"/>
      </w:pPr>
      <w:r w:rsidRPr="003F0EAC">
        <w:rPr>
          <w:i/>
        </w:rPr>
        <w:t>Local Government (Administration) Regulations 1996</w:t>
      </w:r>
      <w:r w:rsidRPr="003F0EAC">
        <w:t xml:space="preserve"> (Admin Regulations)</w:t>
      </w:r>
    </w:p>
    <w:p w14:paraId="32FF596B" w14:textId="0361CB60" w:rsidR="00671FC0" w:rsidRDefault="00671FC0" w:rsidP="001608F1">
      <w:pPr>
        <w:pStyle w:val="BodyText-nospacebelow"/>
        <w:numPr>
          <w:ilvl w:val="0"/>
          <w:numId w:val="34"/>
        </w:numPr>
        <w:jc w:val="both"/>
      </w:pPr>
      <w:r w:rsidRPr="003F0EAC">
        <w:rPr>
          <w:i/>
        </w:rPr>
        <w:t xml:space="preserve">Local Government (Elections) Regulations 1997 </w:t>
      </w:r>
      <w:r w:rsidRPr="003F0EAC">
        <w:t>(Election Regulations)</w:t>
      </w:r>
    </w:p>
    <w:p w14:paraId="09163BC3" w14:textId="77777777" w:rsidR="00671FC0" w:rsidRPr="003F0EAC" w:rsidRDefault="00671FC0" w:rsidP="001608F1">
      <w:pPr>
        <w:pStyle w:val="BodyText-nospacebelow"/>
        <w:ind w:left="720"/>
        <w:jc w:val="both"/>
      </w:pPr>
    </w:p>
    <w:p w14:paraId="34FF4BCE" w14:textId="77777777" w:rsidR="00671FC0" w:rsidRPr="003F0EAC" w:rsidRDefault="00671FC0" w:rsidP="001608F1">
      <w:pPr>
        <w:pStyle w:val="BodyText-nospacebelow"/>
        <w:jc w:val="both"/>
      </w:pPr>
      <w:r w:rsidRPr="003F0EAC">
        <w:t xml:space="preserve">Each set of regulations </w:t>
      </w:r>
      <w:r w:rsidR="00754FF1">
        <w:t>sets out</w:t>
      </w:r>
      <w:r w:rsidRPr="003F0EAC">
        <w:t xml:space="preserve"> different requirements including disclosure periods, monetary thresholds and exemption categories.  </w:t>
      </w:r>
    </w:p>
    <w:p w14:paraId="410BFEDE" w14:textId="77777777" w:rsidR="00671FC0" w:rsidRPr="00C905DA" w:rsidRDefault="00671FC0" w:rsidP="001608F1">
      <w:pPr>
        <w:pStyle w:val="Caption"/>
        <w:jc w:val="both"/>
        <w:rPr>
          <w:rStyle w:val="BookTitle"/>
          <w:b/>
          <w:bCs/>
          <w:smallCaps w:val="0"/>
          <w:spacing w:val="0"/>
        </w:rPr>
      </w:pPr>
      <w:bookmarkStart w:id="2061" w:name="_Toc472609915"/>
      <w:bookmarkStart w:id="2062" w:name="_Toc485031798"/>
      <w:bookmarkStart w:id="2063" w:name="_Toc485132595"/>
      <w:bookmarkStart w:id="2064" w:name="_Toc485133467"/>
      <w:bookmarkStart w:id="2065" w:name="_Toc485739918"/>
      <w:bookmarkStart w:id="2066" w:name="_Toc485821414"/>
      <w:bookmarkStart w:id="2067" w:name="_Toc486318124"/>
      <w:bookmarkStart w:id="2068" w:name="_Toc486861285"/>
      <w:bookmarkStart w:id="2069" w:name="_Toc486926725"/>
      <w:bookmarkStart w:id="2070" w:name="_Toc487553391"/>
      <w:bookmarkStart w:id="2071" w:name="_Toc487625918"/>
      <w:bookmarkStart w:id="2072" w:name="_Toc487711054"/>
      <w:bookmarkStart w:id="2073" w:name="_Toc487727846"/>
      <w:bookmarkStart w:id="2074" w:name="_Toc487728217"/>
      <w:bookmarkStart w:id="2075" w:name="_Toc491097284"/>
      <w:bookmarkStart w:id="2076" w:name="_Toc491097674"/>
      <w:bookmarkStart w:id="2077" w:name="_Toc491857132"/>
      <w:bookmarkStart w:id="2078" w:name="_Toc491872752"/>
      <w:bookmarkStart w:id="2079" w:name="_Toc491873686"/>
      <w:bookmarkStart w:id="2080" w:name="_Toc491934314"/>
      <w:bookmarkStart w:id="2081" w:name="_Toc492368943"/>
      <w:bookmarkStart w:id="2082" w:name="_Toc492386670"/>
      <w:bookmarkStart w:id="2083" w:name="_Toc492468912"/>
      <w:bookmarkStart w:id="2084" w:name="_Toc492470588"/>
      <w:bookmarkStart w:id="2085" w:name="_Toc492471268"/>
      <w:bookmarkStart w:id="2086" w:name="_Toc492471390"/>
      <w:r w:rsidRPr="00C905DA">
        <w:rPr>
          <w:rStyle w:val="BookTitle"/>
          <w:b/>
          <w:bCs/>
          <w:smallCaps w:val="0"/>
          <w:spacing w:val="0"/>
        </w:rPr>
        <w:t>Rules of Conduct Regulations</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14:paraId="043D6D1C" w14:textId="2EDAB515" w:rsidR="00671FC0" w:rsidRDefault="00671FC0" w:rsidP="001608F1">
      <w:pPr>
        <w:pStyle w:val="BodyText-nospacebelow"/>
        <w:jc w:val="both"/>
        <w:rPr>
          <w:lang w:val="en-US"/>
        </w:rPr>
      </w:pPr>
      <w:r w:rsidRPr="003F0EAC">
        <w:rPr>
          <w:lang w:val="en-US"/>
        </w:rPr>
        <w:t>The Rules of Conduct Regulations are “general principles to guide the behavio</w:t>
      </w:r>
      <w:r w:rsidR="001A2781">
        <w:rPr>
          <w:lang w:val="en-US"/>
        </w:rPr>
        <w:t>u</w:t>
      </w:r>
      <w:r w:rsidRPr="003F0EAC">
        <w:rPr>
          <w:lang w:val="en-US"/>
        </w:rPr>
        <w:t xml:space="preserve">r of </w:t>
      </w:r>
      <w:r w:rsidR="00246B9A">
        <w:rPr>
          <w:lang w:val="en-US"/>
        </w:rPr>
        <w:t>elected member</w:t>
      </w:r>
      <w:r w:rsidRPr="003F0EAC">
        <w:rPr>
          <w:lang w:val="en-US"/>
        </w:rPr>
        <w:t>s”.  This includes acting with reasonable care, diligence, honesty and integrity, acting lawfully, avoiding damage to the local government’s reputation, and being open and accountable to the public.</w:t>
      </w:r>
    </w:p>
    <w:p w14:paraId="438F7236" w14:textId="77777777" w:rsidR="00671FC0" w:rsidRPr="003F0EAC" w:rsidRDefault="00671FC0" w:rsidP="001608F1">
      <w:pPr>
        <w:pStyle w:val="BodyText-nospacebelow"/>
        <w:jc w:val="both"/>
        <w:rPr>
          <w:lang w:val="en-US"/>
        </w:rPr>
      </w:pPr>
    </w:p>
    <w:p w14:paraId="711D4D71" w14:textId="1761A2B9" w:rsidR="00671FC0" w:rsidRDefault="00671FC0" w:rsidP="001608F1">
      <w:pPr>
        <w:pStyle w:val="BodyText-nospacebelow"/>
        <w:jc w:val="both"/>
      </w:pPr>
      <w:r w:rsidRPr="003F0EAC">
        <w:t xml:space="preserve">Regulation 12 </w:t>
      </w:r>
      <w:r w:rsidR="00754FF1">
        <w:t>sets out</w:t>
      </w:r>
      <w:r w:rsidRPr="003F0EAC">
        <w:t xml:space="preserve"> the requirements surrounding acceptance and disclosure of gifts received by </w:t>
      </w:r>
      <w:r w:rsidR="00246B9A">
        <w:t>elected member</w:t>
      </w:r>
      <w:r w:rsidRPr="003F0EAC">
        <w:t xml:space="preserve">s. </w:t>
      </w:r>
    </w:p>
    <w:p w14:paraId="0C30E15D" w14:textId="77777777" w:rsidR="00671FC0" w:rsidRPr="003F0EAC" w:rsidRDefault="00671FC0" w:rsidP="001608F1">
      <w:pPr>
        <w:pStyle w:val="BodyText-nospacebelow"/>
        <w:jc w:val="both"/>
      </w:pPr>
    </w:p>
    <w:p w14:paraId="4A426342" w14:textId="77777777" w:rsidR="00671FC0" w:rsidRPr="003F0EAC" w:rsidRDefault="00671FC0" w:rsidP="001608F1">
      <w:pPr>
        <w:pStyle w:val="BodyText-nospacebelow"/>
        <w:jc w:val="both"/>
      </w:pPr>
      <w:r w:rsidRPr="003F0EAC">
        <w:t>Regulation 12 broadly aligns with the definition of gift under section 5.82(4) of the Act except for the following exemptions:</w:t>
      </w:r>
    </w:p>
    <w:p w14:paraId="6FE6B6D6" w14:textId="49987FB8" w:rsidR="00671FC0" w:rsidRPr="003F0EAC" w:rsidRDefault="00671FC0" w:rsidP="001608F1">
      <w:pPr>
        <w:pStyle w:val="BodyText-nospacebelow"/>
        <w:numPr>
          <w:ilvl w:val="0"/>
          <w:numId w:val="35"/>
        </w:numPr>
        <w:jc w:val="both"/>
        <w:rPr>
          <w:lang w:val="en-US"/>
        </w:rPr>
      </w:pPr>
      <w:r w:rsidRPr="003F0EAC">
        <w:rPr>
          <w:lang w:val="en-US"/>
        </w:rPr>
        <w:t xml:space="preserve">a gift from a relative as defined in </w:t>
      </w:r>
      <w:r w:rsidRPr="003F0EAC">
        <w:t>section 5</w:t>
      </w:r>
      <w:r w:rsidRPr="003F0EAC">
        <w:rPr>
          <w:lang w:val="en-US"/>
        </w:rPr>
        <w:t>.74(1) of the Act – parent, grandparent, sibling, uncle, aunt, nephew, niece, lineal descendant, spouse/de facto; or</w:t>
      </w:r>
    </w:p>
    <w:p w14:paraId="0101241C" w14:textId="450A6527" w:rsidR="00671FC0" w:rsidRPr="003F0EAC" w:rsidRDefault="00671FC0" w:rsidP="001608F1">
      <w:pPr>
        <w:pStyle w:val="BodyText-nospacebelow"/>
        <w:numPr>
          <w:ilvl w:val="0"/>
          <w:numId w:val="35"/>
        </w:numPr>
        <w:jc w:val="both"/>
      </w:pPr>
      <w:r w:rsidRPr="003F0EAC">
        <w:rPr>
          <w:lang w:val="en-US"/>
        </w:rPr>
        <w:t xml:space="preserve">an electoral gift disclosable under the </w:t>
      </w:r>
      <w:r w:rsidRPr="003F0EAC">
        <w:rPr>
          <w:i/>
          <w:lang w:val="en-US"/>
        </w:rPr>
        <w:t>Local Government (Elections) Regulations 1997</w:t>
      </w:r>
      <w:r w:rsidRPr="003F0EAC">
        <w:rPr>
          <w:lang w:val="en-US"/>
        </w:rPr>
        <w:t xml:space="preserve"> Regulation 30B; or </w:t>
      </w:r>
    </w:p>
    <w:p w14:paraId="23D2FD19" w14:textId="2A926670" w:rsidR="00671FC0" w:rsidRPr="003F0EAC" w:rsidRDefault="00671FC0" w:rsidP="001608F1">
      <w:pPr>
        <w:pStyle w:val="BodyText-nospacebelow"/>
        <w:numPr>
          <w:ilvl w:val="0"/>
          <w:numId w:val="35"/>
        </w:numPr>
        <w:jc w:val="both"/>
      </w:pPr>
      <w:r w:rsidRPr="003F0EAC">
        <w:rPr>
          <w:lang w:val="en-US"/>
        </w:rPr>
        <w:t>a gift from a statutory authority, government instrumentality or non-profit association for professional training; or</w:t>
      </w:r>
    </w:p>
    <w:p w14:paraId="70446107" w14:textId="62889432" w:rsidR="00671FC0" w:rsidRPr="00C905DA" w:rsidRDefault="00754FF1" w:rsidP="001608F1">
      <w:pPr>
        <w:pStyle w:val="BodyText-nospacebelow"/>
        <w:numPr>
          <w:ilvl w:val="0"/>
          <w:numId w:val="35"/>
        </w:numPr>
        <w:jc w:val="both"/>
      </w:pPr>
      <w:r>
        <w:rPr>
          <w:lang w:val="en-US"/>
        </w:rPr>
        <w:t xml:space="preserve">a </w:t>
      </w:r>
      <w:r w:rsidR="00671FC0" w:rsidRPr="003F0EAC">
        <w:rPr>
          <w:lang w:val="en-US"/>
        </w:rPr>
        <w:t xml:space="preserve">gift from WALGA, the Australian Local Government Association or Local Government Managers Australia WA.  </w:t>
      </w:r>
    </w:p>
    <w:p w14:paraId="0A4B30AF" w14:textId="77777777" w:rsidR="00671FC0" w:rsidRPr="003F0EAC" w:rsidRDefault="00671FC0" w:rsidP="001608F1">
      <w:pPr>
        <w:pStyle w:val="BodyText-nospacebelow"/>
        <w:ind w:left="1440"/>
        <w:jc w:val="both"/>
      </w:pPr>
    </w:p>
    <w:p w14:paraId="0197716F" w14:textId="77777777" w:rsidR="00671FC0" w:rsidRPr="00754FF1" w:rsidRDefault="00671FC0" w:rsidP="001608F1">
      <w:pPr>
        <w:pStyle w:val="Caption"/>
        <w:spacing w:before="0" w:after="60"/>
        <w:jc w:val="both"/>
        <w:rPr>
          <w:rStyle w:val="BookTitle"/>
          <w:b/>
          <w:bCs/>
          <w:smallCaps w:val="0"/>
          <w:spacing w:val="0"/>
        </w:rPr>
      </w:pPr>
      <w:r w:rsidRPr="00754FF1">
        <w:rPr>
          <w:rStyle w:val="BookTitle"/>
          <w:b/>
          <w:bCs/>
          <w:smallCaps w:val="0"/>
          <w:spacing w:val="0"/>
        </w:rPr>
        <w:t>Types of gifts</w:t>
      </w:r>
    </w:p>
    <w:p w14:paraId="29E76A38" w14:textId="77777777" w:rsidR="00671FC0" w:rsidRDefault="00671FC0" w:rsidP="001608F1">
      <w:pPr>
        <w:pStyle w:val="BodyText-nospacebelow"/>
        <w:jc w:val="both"/>
      </w:pPr>
      <w:r w:rsidRPr="003F0EAC">
        <w:t xml:space="preserve">The Rules of Conduct Regulations provide for two distinct types of gift with two monetary thresholds.  </w:t>
      </w:r>
    </w:p>
    <w:p w14:paraId="2DE2B758" w14:textId="77777777" w:rsidR="00754FF1" w:rsidRPr="003F0EAC" w:rsidRDefault="00754FF1" w:rsidP="001608F1">
      <w:pPr>
        <w:pStyle w:val="BodyText-nospacebelow"/>
        <w:jc w:val="both"/>
      </w:pPr>
    </w:p>
    <w:p w14:paraId="6DA07781" w14:textId="77777777" w:rsidR="00671FC0" w:rsidRDefault="00671FC0" w:rsidP="001608F1">
      <w:pPr>
        <w:pStyle w:val="BodyText-nospacebelow"/>
        <w:jc w:val="both"/>
      </w:pPr>
      <w:r w:rsidRPr="003F0EAC">
        <w:t xml:space="preserve">A notifiable gift is any gift between $50 and $300, or any series of gifts from the same donor which would come to that amount in value in a </w:t>
      </w:r>
      <w:r w:rsidR="00754FF1" w:rsidRPr="003F0EAC">
        <w:t>six-month</w:t>
      </w:r>
      <w:r w:rsidRPr="003F0EAC">
        <w:t xml:space="preserve"> period.  Notifiable in this context means that any gift between $50 and $300 must be disclosed to the CEO and entered into the notifiable gift register.  </w:t>
      </w:r>
    </w:p>
    <w:p w14:paraId="401591D4" w14:textId="77777777" w:rsidR="00671FC0" w:rsidRPr="003F0EAC" w:rsidRDefault="00671FC0" w:rsidP="001608F1">
      <w:pPr>
        <w:pStyle w:val="BodyText-nospacebelow"/>
        <w:jc w:val="both"/>
      </w:pPr>
    </w:p>
    <w:p w14:paraId="16883AEC" w14:textId="17AC609C" w:rsidR="00671FC0" w:rsidRDefault="00671FC0" w:rsidP="001608F1">
      <w:pPr>
        <w:pStyle w:val="BodyText-nospacebelow"/>
        <w:jc w:val="both"/>
      </w:pPr>
      <w:r w:rsidRPr="003F0EAC">
        <w:t xml:space="preserve">A prohibited gift is any gift worth </w:t>
      </w:r>
      <w:r w:rsidR="00754FF1">
        <w:t xml:space="preserve">over </w:t>
      </w:r>
      <w:r w:rsidRPr="003F0EAC">
        <w:t>$300, or any series of gifts from the same donor which would come t</w:t>
      </w:r>
      <w:r w:rsidR="00754FF1">
        <w:t>o that amount in value in a six-</w:t>
      </w:r>
      <w:r w:rsidRPr="003F0EAC">
        <w:t xml:space="preserve">month period.  </w:t>
      </w:r>
      <w:r w:rsidR="00246B9A">
        <w:t>Elected member</w:t>
      </w:r>
      <w:r w:rsidRPr="003F0EAC">
        <w:t xml:space="preserve">s cannot accept prohibited gifts if the donor is undertaking, is seeking to undertake, or it is reasonable to believe will seek to undertake, an “activity involving local government discretion”.  </w:t>
      </w:r>
    </w:p>
    <w:p w14:paraId="03493F76" w14:textId="77777777" w:rsidR="00671FC0" w:rsidRPr="003F0EAC" w:rsidRDefault="00671FC0" w:rsidP="001608F1">
      <w:pPr>
        <w:pStyle w:val="BodyText-nospacebelow"/>
        <w:jc w:val="both"/>
      </w:pPr>
    </w:p>
    <w:p w14:paraId="2C144F89" w14:textId="77777777" w:rsidR="00671FC0" w:rsidRDefault="00671FC0" w:rsidP="001608F1">
      <w:pPr>
        <w:pStyle w:val="BodyText-nospacebelow"/>
        <w:jc w:val="both"/>
      </w:pPr>
      <w:r w:rsidRPr="003F0EAC">
        <w:t>An</w:t>
      </w:r>
      <w:r w:rsidRPr="003F0EAC">
        <w:rPr>
          <w:b/>
        </w:rPr>
        <w:t xml:space="preserve"> </w:t>
      </w:r>
      <w:r w:rsidRPr="003F0EAC">
        <w:t>activity involving local government discretion</w:t>
      </w:r>
      <w:r w:rsidRPr="003F0EAC">
        <w:rPr>
          <w:b/>
        </w:rPr>
        <w:t xml:space="preserve"> </w:t>
      </w:r>
      <w:r w:rsidRPr="003F0EAC">
        <w:t xml:space="preserve">is defined at </w:t>
      </w:r>
      <w:r w:rsidRPr="00805400">
        <w:rPr>
          <w:i/>
        </w:rPr>
        <w:t>regulation 12(1) of the Rules of Conduct Regulations</w:t>
      </w:r>
      <w:r w:rsidRPr="003F0EAC">
        <w:t xml:space="preserve">.  It means “an activity that cannot be undertaken without an authorisation from the local government or by way of a commercial dealing with the local government”.  A practical example of such an activity in a local government context could be a property developer seeking to build an apartment block – such a change would require an application to the local government for approval.  </w:t>
      </w:r>
    </w:p>
    <w:p w14:paraId="223C010F" w14:textId="77777777" w:rsidR="00671FC0" w:rsidRPr="003F0EAC" w:rsidRDefault="00671FC0" w:rsidP="001608F1">
      <w:pPr>
        <w:pStyle w:val="BodyText-nospacebelow"/>
        <w:jc w:val="both"/>
      </w:pPr>
    </w:p>
    <w:p w14:paraId="73014F19" w14:textId="77777777" w:rsidR="00671FC0" w:rsidRPr="003F0EAC" w:rsidRDefault="00671FC0" w:rsidP="001608F1">
      <w:pPr>
        <w:pStyle w:val="BodyText-nospacebelow"/>
        <w:jc w:val="both"/>
      </w:pPr>
      <w:r w:rsidRPr="003F0EAC">
        <w:t xml:space="preserve">These provisions sit alongside the section 5.82 and 5.83 provisions.  Where a gift is valued between $200 and $300 and the donor is undertaking, or seeking to undertake, an activity involving local government discretion, </w:t>
      </w:r>
      <w:r w:rsidR="00DC39DF">
        <w:rPr>
          <w:lang w:eastAsia="en-AU"/>
        </w:rPr>
        <w:t>disclosure</w:t>
      </w:r>
      <w:r w:rsidRPr="003F0EAC">
        <w:t xml:space="preserve"> will be required in both registers. </w:t>
      </w:r>
    </w:p>
    <w:p w14:paraId="14446A32" w14:textId="77777777" w:rsidR="00671FC0" w:rsidRPr="003F0EAC" w:rsidRDefault="00671FC0" w:rsidP="001608F1">
      <w:pPr>
        <w:pStyle w:val="Caption"/>
        <w:jc w:val="both"/>
      </w:pPr>
      <w:bookmarkStart w:id="2087" w:name="_Toc472609916"/>
      <w:bookmarkStart w:id="2088" w:name="_Toc485031799"/>
      <w:bookmarkStart w:id="2089" w:name="_Toc485132596"/>
      <w:bookmarkStart w:id="2090" w:name="_Toc485133468"/>
      <w:bookmarkStart w:id="2091" w:name="_Toc485739919"/>
      <w:bookmarkStart w:id="2092" w:name="_Toc485821415"/>
      <w:bookmarkStart w:id="2093" w:name="_Toc486318125"/>
      <w:bookmarkStart w:id="2094" w:name="_Toc486861286"/>
      <w:bookmarkStart w:id="2095" w:name="_Toc486926726"/>
      <w:bookmarkStart w:id="2096" w:name="_Toc487553392"/>
      <w:bookmarkStart w:id="2097" w:name="_Toc487625919"/>
      <w:bookmarkStart w:id="2098" w:name="_Toc487711055"/>
      <w:bookmarkStart w:id="2099" w:name="_Toc487727847"/>
      <w:bookmarkStart w:id="2100" w:name="_Toc487728218"/>
      <w:bookmarkStart w:id="2101" w:name="_Toc491097285"/>
      <w:bookmarkStart w:id="2102" w:name="_Toc491097675"/>
      <w:bookmarkStart w:id="2103" w:name="_Toc491857133"/>
      <w:bookmarkStart w:id="2104" w:name="_Toc491872753"/>
      <w:bookmarkStart w:id="2105" w:name="_Toc491873687"/>
      <w:bookmarkStart w:id="2106" w:name="_Toc491934315"/>
      <w:bookmarkStart w:id="2107" w:name="_Toc492368944"/>
      <w:bookmarkStart w:id="2108" w:name="_Toc492386671"/>
      <w:bookmarkStart w:id="2109" w:name="_Toc492468913"/>
      <w:bookmarkStart w:id="2110" w:name="_Toc492470589"/>
      <w:bookmarkStart w:id="2111" w:name="_Toc492471269"/>
      <w:bookmarkStart w:id="2112" w:name="_Toc492471391"/>
      <w:r w:rsidRPr="003F0EAC">
        <w:t>Administration Regulations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14:paraId="1FAABA3C" w14:textId="77777777" w:rsidR="00671FC0" w:rsidRDefault="00671FC0" w:rsidP="001608F1">
      <w:pPr>
        <w:pStyle w:val="BodyText-nospacebelow"/>
        <w:jc w:val="both"/>
        <w:rPr>
          <w:lang w:val="en-US"/>
        </w:rPr>
      </w:pPr>
      <w:r w:rsidRPr="003F0EAC">
        <w:rPr>
          <w:lang w:val="en-US"/>
        </w:rPr>
        <w:t>The Admin</w:t>
      </w:r>
      <w:r w:rsidR="00754FF1">
        <w:rPr>
          <w:lang w:val="en-US"/>
        </w:rPr>
        <w:t>istration</w:t>
      </w:r>
      <w:r w:rsidRPr="003F0EAC">
        <w:rPr>
          <w:lang w:val="en-US"/>
        </w:rPr>
        <w:t xml:space="preserve"> Regulations provide for administrative matters for local governments, including meeting procedures, employment requirements, reporting and planning, and disclosure of financial interests.  This includes disclosure by local government employees of gifts.  </w:t>
      </w:r>
    </w:p>
    <w:p w14:paraId="73B760DE" w14:textId="77777777" w:rsidR="00671FC0" w:rsidRPr="003F0EAC" w:rsidRDefault="00671FC0" w:rsidP="001608F1">
      <w:pPr>
        <w:pStyle w:val="BodyText-nospacebelow"/>
        <w:jc w:val="both"/>
        <w:rPr>
          <w:lang w:val="en-US"/>
        </w:rPr>
      </w:pPr>
    </w:p>
    <w:p w14:paraId="5D0C1304" w14:textId="77777777" w:rsidR="00671FC0" w:rsidRDefault="00671FC0" w:rsidP="001608F1">
      <w:pPr>
        <w:pStyle w:val="BodyText-nospacebelow"/>
        <w:jc w:val="both"/>
        <w:rPr>
          <w:lang w:val="en-US"/>
        </w:rPr>
      </w:pPr>
      <w:r w:rsidRPr="003F0EAC">
        <w:rPr>
          <w:lang w:val="en-US"/>
        </w:rPr>
        <w:t xml:space="preserve">The </w:t>
      </w:r>
      <w:r w:rsidR="00754FF1" w:rsidRPr="003F0EAC">
        <w:rPr>
          <w:lang w:val="en-US"/>
        </w:rPr>
        <w:t>Admin</w:t>
      </w:r>
      <w:r w:rsidR="00754FF1">
        <w:rPr>
          <w:lang w:val="en-US"/>
        </w:rPr>
        <w:t>istration</w:t>
      </w:r>
      <w:r w:rsidR="00754FF1" w:rsidRPr="003F0EAC">
        <w:rPr>
          <w:lang w:val="en-US"/>
        </w:rPr>
        <w:t xml:space="preserve"> </w:t>
      </w:r>
      <w:r w:rsidRPr="003F0EAC">
        <w:rPr>
          <w:lang w:val="en-US"/>
        </w:rPr>
        <w:t xml:space="preserve">Regulations mirror the Rules of Conduct Regulations in most matters relating to gifts.  </w:t>
      </w:r>
    </w:p>
    <w:p w14:paraId="33426FB9" w14:textId="77777777" w:rsidR="00A763A1" w:rsidRDefault="00A763A1" w:rsidP="001608F1">
      <w:pPr>
        <w:pStyle w:val="Caption"/>
        <w:spacing w:before="0" w:after="0"/>
        <w:jc w:val="both"/>
        <w:rPr>
          <w:rStyle w:val="BookTitle"/>
          <w:b/>
          <w:bCs/>
          <w:smallCaps w:val="0"/>
          <w:spacing w:val="0"/>
        </w:rPr>
      </w:pPr>
    </w:p>
    <w:p w14:paraId="16C4DBEF" w14:textId="77777777" w:rsidR="00671FC0" w:rsidRPr="00754FF1" w:rsidRDefault="00671FC0" w:rsidP="001608F1">
      <w:pPr>
        <w:pStyle w:val="Caption"/>
        <w:spacing w:before="0" w:after="60"/>
        <w:jc w:val="both"/>
        <w:rPr>
          <w:rStyle w:val="BookTitle"/>
          <w:b/>
          <w:bCs/>
          <w:smallCaps w:val="0"/>
          <w:spacing w:val="0"/>
        </w:rPr>
      </w:pPr>
      <w:r w:rsidRPr="00754FF1">
        <w:rPr>
          <w:rStyle w:val="BookTitle"/>
          <w:b/>
          <w:bCs/>
          <w:smallCaps w:val="0"/>
          <w:spacing w:val="0"/>
        </w:rPr>
        <w:t>Relevant regulations</w:t>
      </w:r>
    </w:p>
    <w:p w14:paraId="19361D7E" w14:textId="77777777" w:rsidR="00671FC0" w:rsidRDefault="00671FC0" w:rsidP="001608F1">
      <w:pPr>
        <w:pStyle w:val="BodyText-nospacebelow"/>
        <w:jc w:val="both"/>
      </w:pPr>
      <w:r w:rsidRPr="003F0EAC">
        <w:t>Regulation 25</w:t>
      </w:r>
      <w:r w:rsidRPr="003F0EAC">
        <w:rPr>
          <w:b/>
        </w:rPr>
        <w:t xml:space="preserve"> </w:t>
      </w:r>
      <w:r w:rsidRPr="003F0EAC">
        <w:t xml:space="preserve">prescribes the amount of a gift for the purposes of section 5.82(2)(a) of the Act.  The prescribed amount is </w:t>
      </w:r>
      <w:r w:rsidRPr="00D25748">
        <w:t>$200</w:t>
      </w:r>
      <w:r w:rsidRPr="003F0EAC">
        <w:t xml:space="preserve">.  </w:t>
      </w:r>
    </w:p>
    <w:p w14:paraId="4C16310E" w14:textId="77777777" w:rsidR="00671FC0" w:rsidRPr="003F0EAC" w:rsidRDefault="00671FC0" w:rsidP="001608F1">
      <w:pPr>
        <w:pStyle w:val="BodyText-nospacebelow"/>
        <w:jc w:val="both"/>
      </w:pPr>
    </w:p>
    <w:p w14:paraId="0A64CE77" w14:textId="77777777" w:rsidR="00671FC0" w:rsidRDefault="00671FC0" w:rsidP="001608F1">
      <w:pPr>
        <w:pStyle w:val="BodyText-nospacebelow"/>
        <w:jc w:val="both"/>
      </w:pPr>
      <w:r w:rsidRPr="003F0EAC">
        <w:t>Regulation 26</w:t>
      </w:r>
      <w:r w:rsidRPr="003F0EAC">
        <w:rPr>
          <w:b/>
        </w:rPr>
        <w:t xml:space="preserve"> </w:t>
      </w:r>
      <w:r w:rsidRPr="003F0EAC">
        <w:t xml:space="preserve">prescribes the amount of a contribution to travel for the purposes of section 5.83(2)(d) of the Act.  The prescribed amount is also </w:t>
      </w:r>
      <w:r w:rsidRPr="00D25748">
        <w:t>$200</w:t>
      </w:r>
      <w:r w:rsidRPr="003F0EAC">
        <w:t xml:space="preserve">.  </w:t>
      </w:r>
    </w:p>
    <w:p w14:paraId="58515FAE" w14:textId="77777777" w:rsidR="00671FC0" w:rsidRPr="003F0EAC" w:rsidRDefault="00671FC0" w:rsidP="001608F1">
      <w:pPr>
        <w:pStyle w:val="BodyText-nospacebelow"/>
        <w:jc w:val="both"/>
      </w:pPr>
    </w:p>
    <w:p w14:paraId="44D075BF" w14:textId="77777777" w:rsidR="00671FC0" w:rsidRDefault="00671FC0" w:rsidP="001608F1">
      <w:pPr>
        <w:pStyle w:val="BodyText-nospacebelow"/>
        <w:jc w:val="both"/>
      </w:pPr>
      <w:r w:rsidRPr="003F0EAC">
        <w:t>Regulation 34B</w:t>
      </w:r>
      <w:r w:rsidRPr="003F0EAC">
        <w:rPr>
          <w:b/>
        </w:rPr>
        <w:t xml:space="preserve"> </w:t>
      </w:r>
      <w:r w:rsidRPr="003F0EAC">
        <w:t xml:space="preserve">prescribes that local governments must have a code of conduct regarding the acceptance of gifts.  The code of conduct provisions only apply to employees.  Regulation 34B of the </w:t>
      </w:r>
      <w:r w:rsidR="00754FF1">
        <w:rPr>
          <w:lang w:val="en-US"/>
        </w:rPr>
        <w:t xml:space="preserve">Administration </w:t>
      </w:r>
      <w:r w:rsidRPr="003F0EAC">
        <w:t xml:space="preserve">Regulations otherwise mirrors Regulation 12 of the Rules of Conduct Regulations.  </w:t>
      </w:r>
    </w:p>
    <w:p w14:paraId="0C41EA92" w14:textId="77777777" w:rsidR="00671FC0" w:rsidRPr="003F0EAC" w:rsidRDefault="00671FC0" w:rsidP="001608F1">
      <w:pPr>
        <w:pStyle w:val="BodyText-nospacebelow"/>
        <w:jc w:val="both"/>
      </w:pPr>
    </w:p>
    <w:p w14:paraId="57D08FC5" w14:textId="77777777" w:rsidR="00671FC0" w:rsidRDefault="00671FC0" w:rsidP="001608F1">
      <w:pPr>
        <w:pStyle w:val="BodyText-nospacebelow"/>
        <w:jc w:val="both"/>
      </w:pPr>
      <w:r w:rsidRPr="003F0EAC">
        <w:t xml:space="preserve">The types of gifts established in Regulation 12 of the Rules of Conduct Regulations are, again, mirrored in Regulation 34B of the Admin Regulations.  </w:t>
      </w:r>
    </w:p>
    <w:p w14:paraId="77286343" w14:textId="77777777" w:rsidR="00671FC0" w:rsidRPr="003F0EAC" w:rsidRDefault="00671FC0" w:rsidP="001608F1">
      <w:pPr>
        <w:pStyle w:val="Caption"/>
        <w:jc w:val="both"/>
      </w:pPr>
      <w:bookmarkStart w:id="2113" w:name="_Toc472609917"/>
      <w:bookmarkStart w:id="2114" w:name="_Toc485031800"/>
      <w:bookmarkStart w:id="2115" w:name="_Toc485132597"/>
      <w:bookmarkStart w:id="2116" w:name="_Toc485133469"/>
      <w:bookmarkStart w:id="2117" w:name="_Toc485739920"/>
      <w:bookmarkStart w:id="2118" w:name="_Toc485821416"/>
      <w:bookmarkStart w:id="2119" w:name="_Toc486318126"/>
      <w:bookmarkStart w:id="2120" w:name="_Toc486861287"/>
      <w:bookmarkStart w:id="2121" w:name="_Toc486926727"/>
      <w:bookmarkStart w:id="2122" w:name="_Toc487553393"/>
      <w:bookmarkStart w:id="2123" w:name="_Toc487625920"/>
      <w:bookmarkStart w:id="2124" w:name="_Toc487711056"/>
      <w:bookmarkStart w:id="2125" w:name="_Toc487727848"/>
      <w:bookmarkStart w:id="2126" w:name="_Toc487728219"/>
      <w:bookmarkStart w:id="2127" w:name="_Toc491097286"/>
      <w:bookmarkStart w:id="2128" w:name="_Toc491097676"/>
      <w:bookmarkStart w:id="2129" w:name="_Toc491857134"/>
      <w:bookmarkStart w:id="2130" w:name="_Toc491872754"/>
      <w:bookmarkStart w:id="2131" w:name="_Toc491873688"/>
      <w:bookmarkStart w:id="2132" w:name="_Toc491934316"/>
      <w:bookmarkStart w:id="2133" w:name="_Toc492368945"/>
      <w:bookmarkStart w:id="2134" w:name="_Toc492386672"/>
      <w:bookmarkStart w:id="2135" w:name="_Toc492468914"/>
      <w:bookmarkStart w:id="2136" w:name="_Toc492470590"/>
      <w:bookmarkStart w:id="2137" w:name="_Toc492471270"/>
      <w:bookmarkStart w:id="2138" w:name="_Toc492471392"/>
      <w:r w:rsidRPr="003F0EAC">
        <w:t>Election Regulations</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14:paraId="6374F45A" w14:textId="77777777" w:rsidR="00671FC0" w:rsidRPr="003F0EAC" w:rsidRDefault="00671FC0" w:rsidP="001608F1">
      <w:pPr>
        <w:pStyle w:val="BodyText-nospacebelow"/>
        <w:jc w:val="both"/>
      </w:pPr>
      <w:r w:rsidRPr="003F0EAC">
        <w:t xml:space="preserve">The Election Regulations prescribe requirements for the holding and management of local government elections.  </w:t>
      </w:r>
    </w:p>
    <w:p w14:paraId="18CF1A02" w14:textId="77777777" w:rsidR="00A763A1" w:rsidRDefault="00A763A1" w:rsidP="001608F1">
      <w:pPr>
        <w:pStyle w:val="Caption"/>
        <w:spacing w:before="0" w:after="0"/>
        <w:jc w:val="both"/>
        <w:rPr>
          <w:rStyle w:val="BookTitle"/>
          <w:b/>
          <w:bCs/>
          <w:smallCaps w:val="0"/>
          <w:spacing w:val="0"/>
        </w:rPr>
      </w:pPr>
    </w:p>
    <w:p w14:paraId="5C257520" w14:textId="77777777" w:rsidR="00671FC0" w:rsidRPr="00754FF1" w:rsidRDefault="00671FC0" w:rsidP="001608F1">
      <w:pPr>
        <w:pStyle w:val="Caption"/>
        <w:spacing w:before="0" w:after="60"/>
        <w:jc w:val="both"/>
        <w:rPr>
          <w:rStyle w:val="BookTitle"/>
          <w:b/>
          <w:bCs/>
          <w:smallCaps w:val="0"/>
          <w:spacing w:val="0"/>
        </w:rPr>
      </w:pPr>
      <w:r w:rsidRPr="00754FF1">
        <w:rPr>
          <w:rStyle w:val="BookTitle"/>
          <w:b/>
          <w:bCs/>
          <w:smallCaps w:val="0"/>
          <w:spacing w:val="0"/>
        </w:rPr>
        <w:t>Relevant regulations</w:t>
      </w:r>
    </w:p>
    <w:p w14:paraId="240B2185" w14:textId="77777777" w:rsidR="00671FC0" w:rsidRDefault="00671FC0" w:rsidP="001608F1">
      <w:pPr>
        <w:pStyle w:val="BodyText-nospacebelow"/>
        <w:jc w:val="both"/>
        <w:rPr>
          <w:lang w:val="en-US"/>
        </w:rPr>
      </w:pPr>
      <w:r w:rsidRPr="003F0EAC">
        <w:rPr>
          <w:lang w:val="en-US"/>
        </w:rPr>
        <w:t xml:space="preserve">Regulation 30A provides that gifts of $200 or more, or gifts with a total value of $200 or more received from the same person in the “disclosure period” are relevant for the purposes of the Election Regulations.  </w:t>
      </w:r>
    </w:p>
    <w:p w14:paraId="5A11BD70" w14:textId="77777777" w:rsidR="00671FC0" w:rsidRPr="003F0EAC" w:rsidRDefault="00671FC0" w:rsidP="001608F1">
      <w:pPr>
        <w:pStyle w:val="BodyText-nospacebelow"/>
        <w:jc w:val="both"/>
        <w:rPr>
          <w:lang w:val="en-US"/>
        </w:rPr>
      </w:pPr>
    </w:p>
    <w:p w14:paraId="759D4E85" w14:textId="77777777" w:rsidR="00671FC0" w:rsidRPr="003F0EAC" w:rsidRDefault="00671FC0" w:rsidP="001608F1">
      <w:pPr>
        <w:pStyle w:val="BodyText-nospacebelow"/>
        <w:jc w:val="both"/>
        <w:rPr>
          <w:lang w:val="en-US"/>
        </w:rPr>
      </w:pPr>
      <w:r w:rsidRPr="003F0EAC">
        <w:rPr>
          <w:lang w:val="en-US"/>
        </w:rPr>
        <w:t xml:space="preserve">Regulation 30BA provides that candidates cannot receive gifts unless the name and address of the donor are known to them.  Such gifts are not taken to have been received if, as soon as they become aware of the gift, the candidate takes reasonable steps to either return the gift or give it to the CEO for disposal.  </w:t>
      </w:r>
    </w:p>
    <w:p w14:paraId="2EDA468B" w14:textId="77777777" w:rsidR="00671FC0" w:rsidRDefault="00671FC0" w:rsidP="001608F1">
      <w:pPr>
        <w:pStyle w:val="BodyText-nospacebelow"/>
        <w:jc w:val="both"/>
        <w:rPr>
          <w:lang w:val="en-US"/>
        </w:rPr>
      </w:pPr>
      <w:r w:rsidRPr="003F0EAC">
        <w:rPr>
          <w:lang w:val="en-US"/>
        </w:rPr>
        <w:t xml:space="preserve">Regulation 30B provides for the disclosure requirements. </w:t>
      </w:r>
    </w:p>
    <w:p w14:paraId="06D110A6" w14:textId="77777777" w:rsidR="00671FC0" w:rsidRPr="003F0EAC" w:rsidRDefault="00671FC0" w:rsidP="001608F1">
      <w:pPr>
        <w:pStyle w:val="BodyText-nospacebelow"/>
        <w:jc w:val="both"/>
        <w:rPr>
          <w:lang w:val="en-US"/>
        </w:rPr>
      </w:pPr>
    </w:p>
    <w:p w14:paraId="1D787517" w14:textId="77777777" w:rsidR="00671FC0" w:rsidRDefault="00671FC0" w:rsidP="001608F1">
      <w:pPr>
        <w:pStyle w:val="BodyText-nospacebelow"/>
        <w:jc w:val="both"/>
        <w:rPr>
          <w:lang w:val="en-US"/>
        </w:rPr>
      </w:pPr>
      <w:r w:rsidRPr="003F0EAC">
        <w:rPr>
          <w:lang w:val="en-US"/>
        </w:rPr>
        <w:t xml:space="preserve">Regulation 30CA provides that the </w:t>
      </w:r>
      <w:r w:rsidRPr="00D25748">
        <w:rPr>
          <w:lang w:val="en-US"/>
        </w:rPr>
        <w:t>donor of the gift</w:t>
      </w:r>
      <w:r w:rsidRPr="003F0EAC">
        <w:rPr>
          <w:lang w:val="en-US"/>
        </w:rPr>
        <w:t xml:space="preserve"> must also disclose to the CEO within a required time.  </w:t>
      </w:r>
    </w:p>
    <w:p w14:paraId="3130C374" w14:textId="77777777" w:rsidR="00671FC0" w:rsidRPr="003F0EAC" w:rsidRDefault="00671FC0" w:rsidP="001608F1">
      <w:pPr>
        <w:pStyle w:val="BodyText-nospacebelow"/>
        <w:jc w:val="both"/>
        <w:rPr>
          <w:lang w:val="en-US"/>
        </w:rPr>
      </w:pPr>
    </w:p>
    <w:p w14:paraId="36C719A6" w14:textId="77777777" w:rsidR="00671FC0" w:rsidRDefault="00671FC0" w:rsidP="001608F1">
      <w:pPr>
        <w:pStyle w:val="BodyText-nospacebelow"/>
        <w:jc w:val="both"/>
        <w:rPr>
          <w:lang w:val="en-US"/>
        </w:rPr>
      </w:pPr>
      <w:r w:rsidRPr="003F0EAC">
        <w:rPr>
          <w:lang w:val="en-US"/>
        </w:rPr>
        <w:t xml:space="preserve">Regulation 30C outlines the disclosure period.  The disclosure period commences six months before election day and concludes three days after election day for </w:t>
      </w:r>
      <w:r w:rsidRPr="00D25748">
        <w:rPr>
          <w:lang w:val="en-US"/>
        </w:rPr>
        <w:t>unsuccessful candidates</w:t>
      </w:r>
      <w:r w:rsidRPr="003F0EAC">
        <w:rPr>
          <w:lang w:val="en-US"/>
        </w:rPr>
        <w:t xml:space="preserve">.  For successful candidates, the disclosure period concludes on the start day as defined in section 5.74 of the Act.  This effectively means that any electoral gifts received six months prior to and three days after the election must be disclosed.  </w:t>
      </w:r>
    </w:p>
    <w:p w14:paraId="0F2FCD59" w14:textId="77777777" w:rsidR="00671FC0" w:rsidRPr="003F0EAC" w:rsidRDefault="00671FC0" w:rsidP="001608F1">
      <w:pPr>
        <w:pStyle w:val="BodyText-nospacebelow"/>
        <w:jc w:val="both"/>
        <w:rPr>
          <w:lang w:val="en-US"/>
        </w:rPr>
      </w:pPr>
    </w:p>
    <w:p w14:paraId="37E59338" w14:textId="77777777" w:rsidR="00671FC0" w:rsidRDefault="00671FC0" w:rsidP="001608F1">
      <w:pPr>
        <w:pStyle w:val="BodyText-nospacebelow"/>
        <w:jc w:val="both"/>
        <w:rPr>
          <w:lang w:val="en-US"/>
        </w:rPr>
      </w:pPr>
      <w:r w:rsidRPr="003F0EAC">
        <w:rPr>
          <w:lang w:val="en-US"/>
        </w:rPr>
        <w:t xml:space="preserve">Regulation 30D provides that disclosure must be made by completing a set form  and lodging it with the CEO, within three days of the making, receipt or promise of a gift once the person has nominated to be a candidate.  Gifts received earlier than the nomination date but within six months of the election must be </w:t>
      </w:r>
      <w:r w:rsidR="00DC39DF">
        <w:rPr>
          <w:lang w:eastAsia="en-AU"/>
        </w:rPr>
        <w:t>disclosed</w:t>
      </w:r>
      <w:r w:rsidRPr="003F0EAC">
        <w:rPr>
          <w:lang w:val="en-US"/>
        </w:rPr>
        <w:t xml:space="preserve"> within three days of nomination.</w:t>
      </w:r>
    </w:p>
    <w:p w14:paraId="7D4D948C" w14:textId="77777777" w:rsidR="00671FC0" w:rsidRPr="003F0EAC" w:rsidRDefault="00671FC0" w:rsidP="001608F1">
      <w:pPr>
        <w:pStyle w:val="BodyText-nospacebelow"/>
        <w:jc w:val="both"/>
        <w:rPr>
          <w:lang w:val="en-US"/>
        </w:rPr>
      </w:pPr>
    </w:p>
    <w:p w14:paraId="2448AA75" w14:textId="77777777" w:rsidR="00671FC0" w:rsidRDefault="00671FC0" w:rsidP="001608F1">
      <w:pPr>
        <w:pStyle w:val="BodyText-nospacebelow"/>
        <w:jc w:val="both"/>
        <w:rPr>
          <w:lang w:val="en-US"/>
        </w:rPr>
      </w:pPr>
      <w:r w:rsidRPr="003F0EAC">
        <w:rPr>
          <w:lang w:val="en-US"/>
        </w:rPr>
        <w:t xml:space="preserve">Regulation 30F outlines the information to be provided: description of the gift, date of receipt/making/promise, value and name/address of each donor.  </w:t>
      </w:r>
    </w:p>
    <w:p w14:paraId="12C01E0D" w14:textId="77777777" w:rsidR="00671FC0" w:rsidRPr="003F0EAC" w:rsidRDefault="00671FC0" w:rsidP="001608F1">
      <w:pPr>
        <w:pStyle w:val="BodyText-nospacebelow"/>
        <w:jc w:val="both"/>
        <w:rPr>
          <w:lang w:val="en-US"/>
        </w:rPr>
      </w:pPr>
    </w:p>
    <w:p w14:paraId="6F4DA080" w14:textId="3B197385" w:rsidR="00671FC0" w:rsidRDefault="00671FC0" w:rsidP="001608F1">
      <w:pPr>
        <w:pStyle w:val="BodyText-nospacebelow"/>
        <w:jc w:val="both"/>
        <w:rPr>
          <w:lang w:val="en-US"/>
        </w:rPr>
      </w:pPr>
      <w:r w:rsidRPr="003F0EAC">
        <w:rPr>
          <w:lang w:val="en-US"/>
        </w:rPr>
        <w:t xml:space="preserve">Regulation 30G requires the CEO to maintain an electoral gifts register.  Disclosures relating to </w:t>
      </w:r>
      <w:r w:rsidRPr="00D25748">
        <w:rPr>
          <w:lang w:val="en-US"/>
        </w:rPr>
        <w:t>unsuccessful candidates</w:t>
      </w:r>
      <w:r w:rsidR="001A2781">
        <w:rPr>
          <w:u w:val="single"/>
          <w:lang w:val="en-US"/>
        </w:rPr>
        <w:t xml:space="preserve"> </w:t>
      </w:r>
      <w:r w:rsidRPr="003F0EAC">
        <w:rPr>
          <w:lang w:val="en-US"/>
        </w:rPr>
        <w:t xml:space="preserve">must be removed after the disclosure period (that is, three days after election day) and be retained separately for at least two years.  Similarly, for </w:t>
      </w:r>
      <w:r w:rsidRPr="00D25748">
        <w:rPr>
          <w:lang w:val="en-US"/>
        </w:rPr>
        <w:t>successful candidates</w:t>
      </w:r>
      <w:r w:rsidRPr="003F0EAC">
        <w:rPr>
          <w:lang w:val="en-US"/>
        </w:rPr>
        <w:t xml:space="preserve">, the CEO must remove disclosures following the completion of the person’s term of office.  Those forms must be retained separately for at least two years.  </w:t>
      </w:r>
    </w:p>
    <w:p w14:paraId="10134F28" w14:textId="77777777" w:rsidR="00671FC0" w:rsidRPr="003F0EAC" w:rsidRDefault="00671FC0" w:rsidP="001608F1">
      <w:pPr>
        <w:pStyle w:val="BodyText-nospacebelow"/>
        <w:jc w:val="both"/>
        <w:rPr>
          <w:lang w:val="en-US"/>
        </w:rPr>
      </w:pPr>
    </w:p>
    <w:p w14:paraId="4FD0605C" w14:textId="77777777" w:rsidR="00671FC0" w:rsidRDefault="00671FC0" w:rsidP="001608F1">
      <w:pPr>
        <w:pStyle w:val="BodyText-nospacebelow"/>
        <w:jc w:val="both"/>
        <w:rPr>
          <w:lang w:val="en-US"/>
        </w:rPr>
      </w:pPr>
      <w:r w:rsidRPr="003F0EAC">
        <w:rPr>
          <w:lang w:val="en-US"/>
        </w:rPr>
        <w:t xml:space="preserve">Regulation 30H requires the electoral gifts register be kept at the local government’s offices for public access.  </w:t>
      </w:r>
    </w:p>
    <w:p w14:paraId="080D976C" w14:textId="77777777" w:rsidR="00671FC0" w:rsidRDefault="00671FC0" w:rsidP="00322DDB">
      <w:pPr>
        <w:rPr>
          <w:rFonts w:eastAsiaTheme="majorEastAsia" w:cs="Arial"/>
          <w:bCs/>
          <w:color w:val="2C5C86"/>
          <w:sz w:val="40"/>
          <w:szCs w:val="40"/>
        </w:rPr>
      </w:pPr>
      <w:r>
        <w:br w:type="page"/>
      </w:r>
    </w:p>
    <w:p w14:paraId="0C76B03A" w14:textId="506905E3" w:rsidR="007273B1" w:rsidRDefault="00BF2C6C" w:rsidP="00B66765">
      <w:pPr>
        <w:pStyle w:val="Heading1"/>
      </w:pPr>
      <w:bookmarkStart w:id="2139" w:name="_Toc493746811"/>
      <w:bookmarkStart w:id="2140" w:name="_Toc493768943"/>
      <w:bookmarkStart w:id="2141" w:name="_Toc493860014"/>
      <w:bookmarkStart w:id="2142" w:name="_Toc495491914"/>
      <w:bookmarkStart w:id="2143" w:name="_Toc495497699"/>
      <w:bookmarkStart w:id="2144" w:name="_Toc495671533"/>
      <w:bookmarkStart w:id="2145" w:name="_Toc495676134"/>
      <w:bookmarkStart w:id="2146" w:name="_Toc495678429"/>
      <w:bookmarkStart w:id="2147" w:name="_Toc495998425"/>
      <w:bookmarkStart w:id="2148" w:name="_Toc497741890"/>
      <w:r>
        <w:t>Supplementary Information</w:t>
      </w:r>
      <w:bookmarkEnd w:id="2139"/>
      <w:bookmarkEnd w:id="2140"/>
      <w:bookmarkEnd w:id="2141"/>
      <w:r w:rsidR="00062E84">
        <w:t>: Public notices</w:t>
      </w:r>
      <w:bookmarkEnd w:id="2142"/>
      <w:bookmarkEnd w:id="2143"/>
      <w:bookmarkEnd w:id="2144"/>
      <w:bookmarkEnd w:id="2145"/>
      <w:bookmarkEnd w:id="2146"/>
      <w:bookmarkEnd w:id="2147"/>
      <w:bookmarkEnd w:id="2148"/>
    </w:p>
    <w:p w14:paraId="40535811" w14:textId="77777777" w:rsidR="00B66765" w:rsidRPr="00B66765" w:rsidRDefault="00B66765" w:rsidP="00B66765">
      <w:pPr>
        <w:rPr>
          <w:b/>
        </w:rPr>
      </w:pPr>
      <w:r>
        <w:rPr>
          <w:b/>
        </w:rPr>
        <w:t xml:space="preserve">Situations where </w:t>
      </w:r>
      <w:r w:rsidR="00365467">
        <w:rPr>
          <w:b/>
        </w:rPr>
        <w:t xml:space="preserve">local </w:t>
      </w:r>
      <w:r>
        <w:rPr>
          <w:b/>
        </w:rPr>
        <w:t xml:space="preserve">public notices </w:t>
      </w:r>
      <w:r w:rsidR="00062E84">
        <w:rPr>
          <w:b/>
        </w:rPr>
        <w:t>are</w:t>
      </w:r>
      <w:r>
        <w:rPr>
          <w:b/>
        </w:rPr>
        <w:t xml:space="preserve"> required by the Local Government Act or associated </w:t>
      </w:r>
      <w:r w:rsidR="00062E84">
        <w:rPr>
          <w:b/>
        </w:rPr>
        <w:t>r</w:t>
      </w:r>
      <w:r>
        <w:rPr>
          <w:b/>
        </w:rPr>
        <w:t>egulations</w:t>
      </w:r>
      <w:r w:rsidR="00062E84">
        <w:rPr>
          <w:b/>
        </w:rPr>
        <w:t>:</w:t>
      </w:r>
    </w:p>
    <w:tbl>
      <w:tblPr>
        <w:tblStyle w:val="DLGCTable-Data"/>
        <w:tblW w:w="9634" w:type="dxa"/>
        <w:tblLook w:val="04A0" w:firstRow="1" w:lastRow="0" w:firstColumn="1" w:lastColumn="0" w:noHBand="0" w:noVBand="1"/>
        <w:tblCaption w:val="Table 2 - Data"/>
        <w:tblDescription w:val="Table 2 - Data"/>
      </w:tblPr>
      <w:tblGrid>
        <w:gridCol w:w="2215"/>
        <w:gridCol w:w="3450"/>
        <w:gridCol w:w="3969"/>
      </w:tblGrid>
      <w:tr w:rsidR="00B66765" w:rsidRPr="00B66765" w14:paraId="5A683369" w14:textId="77777777" w:rsidTr="002A658C">
        <w:trPr>
          <w:cnfStyle w:val="100000000000" w:firstRow="1" w:lastRow="0" w:firstColumn="0" w:lastColumn="0" w:oddVBand="0" w:evenVBand="0" w:oddHBand="0" w:evenHBand="0" w:firstRowFirstColumn="0" w:firstRowLastColumn="0" w:lastRowFirstColumn="0" w:lastRowLastColumn="0"/>
        </w:trPr>
        <w:tc>
          <w:tcPr>
            <w:tcW w:w="2215" w:type="dxa"/>
          </w:tcPr>
          <w:p w14:paraId="58666A74" w14:textId="77777777" w:rsidR="00B66765" w:rsidRPr="00B66765" w:rsidRDefault="00B66765" w:rsidP="00B66765">
            <w:r w:rsidRPr="00B66765">
              <w:t>Provision</w:t>
            </w:r>
          </w:p>
        </w:tc>
        <w:tc>
          <w:tcPr>
            <w:tcW w:w="3450" w:type="dxa"/>
          </w:tcPr>
          <w:p w14:paraId="6C0EBBA8" w14:textId="77777777" w:rsidR="00B66765" w:rsidRPr="00B66765" w:rsidRDefault="00B66765" w:rsidP="00B66765">
            <w:r w:rsidRPr="00B66765">
              <w:t>Situation</w:t>
            </w:r>
          </w:p>
        </w:tc>
        <w:tc>
          <w:tcPr>
            <w:tcW w:w="3969" w:type="dxa"/>
          </w:tcPr>
          <w:p w14:paraId="0C41FBDE" w14:textId="77777777" w:rsidR="00B66765" w:rsidRPr="00B66765" w:rsidRDefault="00B66765" w:rsidP="00B66765">
            <w:r w:rsidRPr="00B66765">
              <w:t>Details</w:t>
            </w:r>
          </w:p>
        </w:tc>
      </w:tr>
      <w:tr w:rsidR="00B66765" w:rsidRPr="00B66765" w14:paraId="0A241857" w14:textId="77777777" w:rsidTr="002A658C">
        <w:tc>
          <w:tcPr>
            <w:tcW w:w="2215" w:type="dxa"/>
          </w:tcPr>
          <w:p w14:paraId="6A893316" w14:textId="77777777" w:rsidR="00B66765" w:rsidRPr="00B66765" w:rsidRDefault="00B66765" w:rsidP="00B66765">
            <w:r w:rsidRPr="00B66765">
              <w:t>Section 3.12</w:t>
            </w:r>
          </w:p>
        </w:tc>
        <w:tc>
          <w:tcPr>
            <w:tcW w:w="3450" w:type="dxa"/>
          </w:tcPr>
          <w:p w14:paraId="2C79BB12" w14:textId="41DBEBE1" w:rsidR="00B66765" w:rsidRPr="00B66765" w:rsidRDefault="00B66765" w:rsidP="00B66765">
            <w:r w:rsidRPr="00B66765">
              <w:t>Local law is made and gazetted by the local government</w:t>
            </w:r>
          </w:p>
        </w:tc>
        <w:tc>
          <w:tcPr>
            <w:tcW w:w="3969" w:type="dxa"/>
          </w:tcPr>
          <w:p w14:paraId="550A607A" w14:textId="28874BDF" w:rsidR="00B66765" w:rsidRPr="00B66765" w:rsidRDefault="00B66765" w:rsidP="00B66765">
            <w:r w:rsidRPr="00B66765">
              <w:t>Notice must specify the date the local law activates and where it can be inspected</w:t>
            </w:r>
          </w:p>
        </w:tc>
      </w:tr>
      <w:tr w:rsidR="00B66765" w:rsidRPr="00B66765" w14:paraId="40319665" w14:textId="77777777" w:rsidTr="002A658C">
        <w:trPr>
          <w:trHeight w:val="389"/>
        </w:trPr>
        <w:tc>
          <w:tcPr>
            <w:tcW w:w="2215" w:type="dxa"/>
          </w:tcPr>
          <w:p w14:paraId="25C68A4A" w14:textId="77777777" w:rsidR="00B66765" w:rsidRPr="00B66765" w:rsidRDefault="00B66765" w:rsidP="00B66765">
            <w:r w:rsidRPr="00B66765">
              <w:t>Section 3.50</w:t>
            </w:r>
          </w:p>
        </w:tc>
        <w:tc>
          <w:tcPr>
            <w:tcW w:w="3450" w:type="dxa"/>
          </w:tcPr>
          <w:p w14:paraId="4CB3F3B3" w14:textId="2482DCFD" w:rsidR="00B66765" w:rsidRPr="00B66765" w:rsidRDefault="00B66765" w:rsidP="00B66765">
            <w:r w:rsidRPr="00B66765">
              <w:t>Closure of a thoroughfare for more than 4 weeks</w:t>
            </w:r>
          </w:p>
        </w:tc>
        <w:tc>
          <w:tcPr>
            <w:tcW w:w="3969" w:type="dxa"/>
          </w:tcPr>
          <w:p w14:paraId="2E990A6C" w14:textId="0FF556C2" w:rsidR="00B66765" w:rsidRPr="00B66765" w:rsidRDefault="00B66765" w:rsidP="00B66765">
            <w:r w:rsidRPr="00B66765">
              <w:t>Public notice must be issued before closure can occur</w:t>
            </w:r>
          </w:p>
        </w:tc>
      </w:tr>
      <w:tr w:rsidR="00B66765" w:rsidRPr="00B66765" w14:paraId="132D6C5F" w14:textId="77777777" w:rsidTr="002A658C">
        <w:tc>
          <w:tcPr>
            <w:tcW w:w="2215" w:type="dxa"/>
          </w:tcPr>
          <w:p w14:paraId="49636D45" w14:textId="77777777" w:rsidR="00B66765" w:rsidRPr="00B66765" w:rsidRDefault="00B66765" w:rsidP="00B66765">
            <w:r w:rsidRPr="00B66765">
              <w:t>Section 3.51</w:t>
            </w:r>
          </w:p>
        </w:tc>
        <w:tc>
          <w:tcPr>
            <w:tcW w:w="3450" w:type="dxa"/>
          </w:tcPr>
          <w:p w14:paraId="0663BBF9" w14:textId="008C47A8" w:rsidR="00B66765" w:rsidRPr="00B66765" w:rsidRDefault="00B66765" w:rsidP="00B66765">
            <w:r w:rsidRPr="00B66765">
              <w:t>Alterations to property in a way that will affect any individual</w:t>
            </w:r>
          </w:p>
        </w:tc>
        <w:tc>
          <w:tcPr>
            <w:tcW w:w="3969" w:type="dxa"/>
          </w:tcPr>
          <w:p w14:paraId="3B2EF302" w14:textId="089DF4A5" w:rsidR="00B66765" w:rsidRPr="00B66765" w:rsidRDefault="00B66765" w:rsidP="00B66765">
            <w:r w:rsidRPr="00B66765">
              <w:t>After public notice is issued, a “reasonable time” must be</w:t>
            </w:r>
            <w:r w:rsidR="00062E84">
              <w:t xml:space="preserve"> given before work can commence</w:t>
            </w:r>
            <w:r w:rsidRPr="00B66765">
              <w:t xml:space="preserve"> </w:t>
            </w:r>
          </w:p>
        </w:tc>
      </w:tr>
      <w:tr w:rsidR="00B66765" w:rsidRPr="00B66765" w14:paraId="3812A32C" w14:textId="77777777" w:rsidTr="002A658C">
        <w:trPr>
          <w:trHeight w:val="498"/>
        </w:trPr>
        <w:tc>
          <w:tcPr>
            <w:tcW w:w="2215" w:type="dxa"/>
          </w:tcPr>
          <w:p w14:paraId="50A3276B" w14:textId="77777777" w:rsidR="00B66765" w:rsidRPr="00B66765" w:rsidRDefault="00B66765" w:rsidP="00B66765">
            <w:r w:rsidRPr="00B66765">
              <w:t>Section 3.58</w:t>
            </w:r>
          </w:p>
        </w:tc>
        <w:tc>
          <w:tcPr>
            <w:tcW w:w="3450" w:type="dxa"/>
          </w:tcPr>
          <w:p w14:paraId="1E2C0279" w14:textId="2ADEC5BB" w:rsidR="00B66765" w:rsidRPr="00B66765" w:rsidRDefault="00B66765" w:rsidP="00B66765">
            <w:r w:rsidRPr="00B66765">
              <w:t>Disposing of certain kinds of property other than via an auction or tender</w:t>
            </w:r>
          </w:p>
        </w:tc>
        <w:tc>
          <w:tcPr>
            <w:tcW w:w="3969" w:type="dxa"/>
          </w:tcPr>
          <w:p w14:paraId="1967A431" w14:textId="5E631643" w:rsidR="00B66765" w:rsidRPr="00B66765" w:rsidRDefault="00B66765" w:rsidP="00B66765">
            <w:r w:rsidRPr="00B66765">
              <w:t>Notice must invite submissions from the local community (2 week minimum)</w:t>
            </w:r>
          </w:p>
        </w:tc>
      </w:tr>
      <w:tr w:rsidR="00B66765" w:rsidRPr="00B66765" w14:paraId="72A9A7D9" w14:textId="77777777" w:rsidTr="002A658C">
        <w:tc>
          <w:tcPr>
            <w:tcW w:w="2215" w:type="dxa"/>
          </w:tcPr>
          <w:p w14:paraId="3E0AB1BE" w14:textId="77777777" w:rsidR="00B66765" w:rsidRPr="00B66765" w:rsidRDefault="00B66765" w:rsidP="00B66765">
            <w:r w:rsidRPr="00B66765">
              <w:t>Section 5.29</w:t>
            </w:r>
          </w:p>
        </w:tc>
        <w:tc>
          <w:tcPr>
            <w:tcW w:w="3450" w:type="dxa"/>
          </w:tcPr>
          <w:p w14:paraId="3B5188EF" w14:textId="53141E77" w:rsidR="00B66765" w:rsidRPr="00B66765" w:rsidRDefault="00B66765" w:rsidP="00B66765">
            <w:r w:rsidRPr="00B66765">
              <w:t>Convening a meeting of local electors</w:t>
            </w:r>
          </w:p>
        </w:tc>
        <w:tc>
          <w:tcPr>
            <w:tcW w:w="3969" w:type="dxa"/>
          </w:tcPr>
          <w:p w14:paraId="41FF1A88" w14:textId="77EBC1B0" w:rsidR="00B66765" w:rsidRPr="00B66765" w:rsidRDefault="00B66765" w:rsidP="00B66765">
            <w:r w:rsidRPr="00B66765">
              <w:t>Public notice must be issued at least 14 days prior to the meeting</w:t>
            </w:r>
          </w:p>
        </w:tc>
      </w:tr>
      <w:tr w:rsidR="00B66765" w:rsidRPr="00B66765" w14:paraId="30423938" w14:textId="77777777" w:rsidTr="002A658C">
        <w:tc>
          <w:tcPr>
            <w:tcW w:w="2215" w:type="dxa"/>
          </w:tcPr>
          <w:p w14:paraId="719924DE" w14:textId="77777777" w:rsidR="00B66765" w:rsidRPr="00B66765" w:rsidRDefault="00B66765" w:rsidP="00B66765">
            <w:r w:rsidRPr="00B66765">
              <w:t>Section 5.50(1)</w:t>
            </w:r>
          </w:p>
        </w:tc>
        <w:tc>
          <w:tcPr>
            <w:tcW w:w="3450" w:type="dxa"/>
          </w:tcPr>
          <w:p w14:paraId="1B284E5D" w14:textId="460E689D" w:rsidR="00B66765" w:rsidRPr="00B66765" w:rsidRDefault="00B66765" w:rsidP="00B66765">
            <w:r w:rsidRPr="00B66765">
              <w:t xml:space="preserve">Policies regarding the making of extra payments to terminated employees </w:t>
            </w:r>
          </w:p>
        </w:tc>
        <w:tc>
          <w:tcPr>
            <w:tcW w:w="3969" w:type="dxa"/>
          </w:tcPr>
          <w:p w14:paraId="7453070B" w14:textId="4AAE8971" w:rsidR="00B66765" w:rsidRPr="00B66765" w:rsidRDefault="00B66765" w:rsidP="00B66765">
            <w:r w:rsidRPr="00B66765">
              <w:t>Public notice must be issued after policy is adopted</w:t>
            </w:r>
          </w:p>
        </w:tc>
      </w:tr>
      <w:tr w:rsidR="00B66765" w:rsidRPr="00B66765" w14:paraId="7BE262F6" w14:textId="77777777" w:rsidTr="002A658C">
        <w:tc>
          <w:tcPr>
            <w:tcW w:w="2215" w:type="dxa"/>
          </w:tcPr>
          <w:p w14:paraId="7799D582" w14:textId="77777777" w:rsidR="00B66765" w:rsidRPr="00B66765" w:rsidRDefault="00B66765" w:rsidP="00B66765">
            <w:r w:rsidRPr="00B66765">
              <w:t>Section 5.50(2)</w:t>
            </w:r>
          </w:p>
        </w:tc>
        <w:tc>
          <w:tcPr>
            <w:tcW w:w="3450" w:type="dxa"/>
          </w:tcPr>
          <w:p w14:paraId="63A0D6F5" w14:textId="0B93EC90" w:rsidR="00B66765" w:rsidRPr="00B66765" w:rsidRDefault="00B66765" w:rsidP="00B66765">
            <w:r w:rsidRPr="00B66765">
              <w:t>Extra payme</w:t>
            </w:r>
            <w:r w:rsidR="00BF2C6C">
              <w:t>nts made to terminated employees</w:t>
            </w:r>
          </w:p>
        </w:tc>
        <w:tc>
          <w:tcPr>
            <w:tcW w:w="3969" w:type="dxa"/>
          </w:tcPr>
          <w:p w14:paraId="2C63633A" w14:textId="7B604D83" w:rsidR="00B66765" w:rsidRPr="00B66765" w:rsidRDefault="00B66765" w:rsidP="00B66765">
            <w:r w:rsidRPr="00B66765">
              <w:t>Public notice only required if amount exceeds the policy made under section 5.50(1)</w:t>
            </w:r>
          </w:p>
        </w:tc>
      </w:tr>
      <w:tr w:rsidR="00B66765" w:rsidRPr="00B66765" w14:paraId="2CF0136B" w14:textId="77777777" w:rsidTr="002A658C">
        <w:tc>
          <w:tcPr>
            <w:tcW w:w="2215" w:type="dxa"/>
          </w:tcPr>
          <w:p w14:paraId="36FB6EBB" w14:textId="77777777" w:rsidR="00B66765" w:rsidRPr="00B66765" w:rsidRDefault="00B66765" w:rsidP="00B66765">
            <w:r w:rsidRPr="00B66765">
              <w:t>Section 5.55</w:t>
            </w:r>
          </w:p>
        </w:tc>
        <w:tc>
          <w:tcPr>
            <w:tcW w:w="3450" w:type="dxa"/>
          </w:tcPr>
          <w:p w14:paraId="66D3BD0B" w14:textId="7398D685" w:rsidR="00B66765" w:rsidRPr="00B66765" w:rsidRDefault="00B66765" w:rsidP="00B66765">
            <w:r w:rsidRPr="00B66765">
              <w:t>Release of annual report</w:t>
            </w:r>
          </w:p>
        </w:tc>
        <w:tc>
          <w:tcPr>
            <w:tcW w:w="3969" w:type="dxa"/>
          </w:tcPr>
          <w:p w14:paraId="64084947" w14:textId="5EDC92CC" w:rsidR="00B66765" w:rsidRPr="00B66765" w:rsidRDefault="00B66765" w:rsidP="00B66765">
            <w:r w:rsidRPr="00B66765">
              <w:t>Public notice must be issued as soon as practicable after the report is accepted by the council</w:t>
            </w:r>
          </w:p>
        </w:tc>
      </w:tr>
      <w:tr w:rsidR="00B66765" w:rsidRPr="00B66765" w14:paraId="0352159D" w14:textId="77777777" w:rsidTr="002A658C">
        <w:tc>
          <w:tcPr>
            <w:tcW w:w="2215" w:type="dxa"/>
          </w:tcPr>
          <w:p w14:paraId="1125B58F" w14:textId="77777777" w:rsidR="00B66765" w:rsidRPr="00B66765" w:rsidRDefault="00B66765" w:rsidP="00B66765">
            <w:r w:rsidRPr="00B66765">
              <w:t>Section 6.11</w:t>
            </w:r>
          </w:p>
        </w:tc>
        <w:tc>
          <w:tcPr>
            <w:tcW w:w="3450" w:type="dxa"/>
          </w:tcPr>
          <w:p w14:paraId="6EB2DF93" w14:textId="509AADFE" w:rsidR="00B66765" w:rsidRPr="00B66765" w:rsidRDefault="00B66765" w:rsidP="00B66765">
            <w:r w:rsidRPr="00B66765">
              <w:t>Proposal to use reserve account for a purpose other than what the money was originally reserved</w:t>
            </w:r>
          </w:p>
        </w:tc>
        <w:tc>
          <w:tcPr>
            <w:tcW w:w="3969" w:type="dxa"/>
          </w:tcPr>
          <w:p w14:paraId="5F38062F" w14:textId="4BD8F43F" w:rsidR="00B66765" w:rsidRPr="00B66765" w:rsidRDefault="00B66765" w:rsidP="00B66765">
            <w:r w:rsidRPr="00B66765">
              <w:t>Public notice must be given a month before the proposal is put into operation</w:t>
            </w:r>
          </w:p>
        </w:tc>
      </w:tr>
      <w:tr w:rsidR="00B66765" w:rsidRPr="00B66765" w14:paraId="1042A752" w14:textId="77777777" w:rsidTr="002A658C">
        <w:tc>
          <w:tcPr>
            <w:tcW w:w="2215" w:type="dxa"/>
          </w:tcPr>
          <w:p w14:paraId="7F13E805" w14:textId="77777777" w:rsidR="00B66765" w:rsidRPr="00B66765" w:rsidRDefault="00B66765" w:rsidP="00B66765">
            <w:r w:rsidRPr="00B66765">
              <w:t>Section 6.19</w:t>
            </w:r>
          </w:p>
        </w:tc>
        <w:tc>
          <w:tcPr>
            <w:tcW w:w="3450" w:type="dxa"/>
          </w:tcPr>
          <w:p w14:paraId="39B90CAB" w14:textId="391849A6" w:rsidR="00B66765" w:rsidRPr="00B66765" w:rsidRDefault="00B66765" w:rsidP="00B66765">
            <w:r w:rsidRPr="00B66765">
              <w:t xml:space="preserve">Proposal for the local government to set a new fee or charge </w:t>
            </w:r>
          </w:p>
        </w:tc>
        <w:tc>
          <w:tcPr>
            <w:tcW w:w="3969" w:type="dxa"/>
          </w:tcPr>
          <w:p w14:paraId="0B27C87A" w14:textId="4834DD32" w:rsidR="00B66765" w:rsidRPr="00B66765" w:rsidRDefault="00B66765" w:rsidP="00B66765">
            <w:r w:rsidRPr="00B66765">
              <w:t xml:space="preserve">Public notice only required if changing fee or charge </w:t>
            </w:r>
            <w:r w:rsidR="00062E84">
              <w:t>other than at the start</w:t>
            </w:r>
            <w:r w:rsidRPr="00B66765">
              <w:t xml:space="preserve"> of a financial year</w:t>
            </w:r>
          </w:p>
        </w:tc>
      </w:tr>
      <w:tr w:rsidR="00B66765" w:rsidRPr="00B66765" w14:paraId="6DAAA696" w14:textId="77777777" w:rsidTr="002A658C">
        <w:tc>
          <w:tcPr>
            <w:tcW w:w="2215" w:type="dxa"/>
          </w:tcPr>
          <w:p w14:paraId="6819B4B3" w14:textId="77777777" w:rsidR="00B66765" w:rsidRPr="00B66765" w:rsidRDefault="00B66765" w:rsidP="00B66765">
            <w:r w:rsidRPr="00B66765">
              <w:t>Section 6.20</w:t>
            </w:r>
          </w:p>
        </w:tc>
        <w:tc>
          <w:tcPr>
            <w:tcW w:w="3450" w:type="dxa"/>
          </w:tcPr>
          <w:p w14:paraId="3D3634E8" w14:textId="22C76C77" w:rsidR="00B66765" w:rsidRPr="00B66765" w:rsidRDefault="00B66765" w:rsidP="00B66765">
            <w:r w:rsidRPr="00B66765">
              <w:t>Proposal for the local government to borrow money or obtain credit</w:t>
            </w:r>
          </w:p>
        </w:tc>
        <w:tc>
          <w:tcPr>
            <w:tcW w:w="3969" w:type="dxa"/>
          </w:tcPr>
          <w:p w14:paraId="6398881D" w14:textId="429D1C18" w:rsidR="00B66765" w:rsidRPr="00B66765" w:rsidRDefault="00B66765" w:rsidP="00B66765">
            <w:r w:rsidRPr="00B66765">
              <w:t>Public notice must be given a month before the proposal is put into operation</w:t>
            </w:r>
          </w:p>
        </w:tc>
      </w:tr>
      <w:tr w:rsidR="00B66765" w:rsidRPr="00B66765" w14:paraId="6F68821B" w14:textId="77777777" w:rsidTr="002A658C">
        <w:tc>
          <w:tcPr>
            <w:tcW w:w="2215" w:type="dxa"/>
          </w:tcPr>
          <w:p w14:paraId="46C5B177" w14:textId="77777777" w:rsidR="00B66765" w:rsidRPr="00B66765" w:rsidRDefault="00B66765" w:rsidP="00B66765">
            <w:r w:rsidRPr="00B66765">
              <w:t>Section 6.36</w:t>
            </w:r>
          </w:p>
        </w:tc>
        <w:tc>
          <w:tcPr>
            <w:tcW w:w="3450" w:type="dxa"/>
          </w:tcPr>
          <w:p w14:paraId="29360E81" w14:textId="1E39DA29" w:rsidR="00B66765" w:rsidRPr="00B66765" w:rsidRDefault="00B66765" w:rsidP="00B66765">
            <w:r w:rsidRPr="00B66765">
              <w:t>Proposal to impose differential rates and minimum payments</w:t>
            </w:r>
          </w:p>
        </w:tc>
        <w:tc>
          <w:tcPr>
            <w:tcW w:w="3969" w:type="dxa"/>
          </w:tcPr>
          <w:p w14:paraId="19D73066" w14:textId="2B59E9A8" w:rsidR="00B66765" w:rsidRPr="00B66765" w:rsidRDefault="00B66765" w:rsidP="00B66765">
            <w:r w:rsidRPr="00B66765">
              <w:t>The notice must provide information on the rates being imposed and invite public submissions (3 week minimum)</w:t>
            </w:r>
          </w:p>
        </w:tc>
      </w:tr>
      <w:tr w:rsidR="00B66765" w:rsidRPr="00B66765" w14:paraId="7EBEBFC7" w14:textId="77777777" w:rsidTr="002A658C">
        <w:tc>
          <w:tcPr>
            <w:tcW w:w="2215" w:type="dxa"/>
          </w:tcPr>
          <w:p w14:paraId="175449D6" w14:textId="77777777" w:rsidR="00B66765" w:rsidRPr="00B66765" w:rsidRDefault="00B66765" w:rsidP="00B66765">
            <w:r w:rsidRPr="00B66765">
              <w:t>Schedule 2.2 Clause 7</w:t>
            </w:r>
          </w:p>
        </w:tc>
        <w:tc>
          <w:tcPr>
            <w:tcW w:w="3450" w:type="dxa"/>
          </w:tcPr>
          <w:p w14:paraId="17A14C52" w14:textId="465A561A" w:rsidR="00B66765" w:rsidRPr="00B66765" w:rsidRDefault="00B66765" w:rsidP="00B66765">
            <w:r w:rsidRPr="00B66765">
              <w:t>Local government seeks to carry out a review of the district ward boundaries</w:t>
            </w:r>
          </w:p>
        </w:tc>
        <w:tc>
          <w:tcPr>
            <w:tcW w:w="3969" w:type="dxa"/>
          </w:tcPr>
          <w:p w14:paraId="21F99466" w14:textId="3A0BB9F2" w:rsidR="00B66765" w:rsidRPr="00B66765" w:rsidRDefault="00B66765" w:rsidP="00B66765">
            <w:r w:rsidRPr="00B66765">
              <w:t>Public notice must invite public submissions (6 week minimum)</w:t>
            </w:r>
          </w:p>
        </w:tc>
      </w:tr>
      <w:tr w:rsidR="00B66765" w:rsidRPr="00B66765" w14:paraId="2C40ABE9" w14:textId="77777777" w:rsidTr="002A658C">
        <w:tc>
          <w:tcPr>
            <w:tcW w:w="2215" w:type="dxa"/>
          </w:tcPr>
          <w:p w14:paraId="76D0345E" w14:textId="77777777" w:rsidR="00B66765" w:rsidRPr="00B66765" w:rsidRDefault="00B66765" w:rsidP="00B66765">
            <w:r w:rsidRPr="00B66765">
              <w:t>Schedule 6.3 Clause 1</w:t>
            </w:r>
          </w:p>
        </w:tc>
        <w:tc>
          <w:tcPr>
            <w:tcW w:w="3450" w:type="dxa"/>
          </w:tcPr>
          <w:p w14:paraId="2C75FCC0" w14:textId="1745FF81" w:rsidR="00B66765" w:rsidRPr="00B66765" w:rsidRDefault="00B66765" w:rsidP="00B66765">
            <w:r w:rsidRPr="00B66765">
              <w:t xml:space="preserve">Local government seeks to sell land for non-payment of rates </w:t>
            </w:r>
          </w:p>
        </w:tc>
        <w:tc>
          <w:tcPr>
            <w:tcW w:w="3969" w:type="dxa"/>
          </w:tcPr>
          <w:p w14:paraId="456E1C4E" w14:textId="590FC799" w:rsidR="00B66765" w:rsidRPr="00B66765" w:rsidRDefault="00B66765" w:rsidP="00B66765">
            <w:r w:rsidRPr="00B66765">
              <w:t>Public notice must be issued if the ratepayer cannot be notified personally through usual means</w:t>
            </w:r>
          </w:p>
        </w:tc>
      </w:tr>
      <w:tr w:rsidR="00B66765" w:rsidRPr="00B66765" w14:paraId="5281E2E2" w14:textId="77777777" w:rsidTr="002A658C">
        <w:tc>
          <w:tcPr>
            <w:tcW w:w="2215" w:type="dxa"/>
          </w:tcPr>
          <w:p w14:paraId="480FDFBD" w14:textId="6B86B22B" w:rsidR="00B66765" w:rsidRPr="00B66765" w:rsidRDefault="00B66765">
            <w:r w:rsidRPr="00B66765">
              <w:t>Administrati</w:t>
            </w:r>
            <w:r w:rsidR="008B48BB">
              <w:t>on</w:t>
            </w:r>
            <w:r w:rsidRPr="00B66765">
              <w:t xml:space="preserve"> Regulation 12</w:t>
            </w:r>
          </w:p>
        </w:tc>
        <w:tc>
          <w:tcPr>
            <w:tcW w:w="3450" w:type="dxa"/>
          </w:tcPr>
          <w:p w14:paraId="24072430" w14:textId="2963EADA" w:rsidR="00B66765" w:rsidRPr="00B66765" w:rsidRDefault="00B66765" w:rsidP="00B66765">
            <w:r w:rsidRPr="00B66765">
              <w:t>Council meeting dates</w:t>
            </w:r>
          </w:p>
        </w:tc>
        <w:tc>
          <w:tcPr>
            <w:tcW w:w="3969" w:type="dxa"/>
          </w:tcPr>
          <w:p w14:paraId="410406B3" w14:textId="100D6F86" w:rsidR="00B66765" w:rsidRPr="00B66765" w:rsidRDefault="00B66765" w:rsidP="00B66765">
            <w:r w:rsidRPr="00B66765">
              <w:t>Public notice must be issued once a year and list the meeting dates for the next 12 months</w:t>
            </w:r>
          </w:p>
        </w:tc>
      </w:tr>
      <w:tr w:rsidR="00B66765" w:rsidRPr="00B66765" w14:paraId="1B61546D" w14:textId="77777777" w:rsidTr="002A658C">
        <w:tc>
          <w:tcPr>
            <w:tcW w:w="2215" w:type="dxa"/>
          </w:tcPr>
          <w:p w14:paraId="5BE9DA7B" w14:textId="66795C6D" w:rsidR="00B66765" w:rsidRPr="00B66765" w:rsidRDefault="008B48BB">
            <w:r w:rsidRPr="00B66765">
              <w:t>Administrati</w:t>
            </w:r>
            <w:r>
              <w:t>on</w:t>
            </w:r>
            <w:r w:rsidRPr="00B66765">
              <w:t xml:space="preserve"> </w:t>
            </w:r>
            <w:r w:rsidR="00B66765" w:rsidRPr="00B66765">
              <w:t>Regulation 19D</w:t>
            </w:r>
          </w:p>
        </w:tc>
        <w:tc>
          <w:tcPr>
            <w:tcW w:w="3450" w:type="dxa"/>
          </w:tcPr>
          <w:p w14:paraId="356F8D7B" w14:textId="0F32F71F" w:rsidR="00B66765" w:rsidRPr="00B66765" w:rsidRDefault="00B66765" w:rsidP="00B66765">
            <w:r w:rsidRPr="00B66765">
              <w:t>Release of strategic community plan</w:t>
            </w:r>
          </w:p>
        </w:tc>
        <w:tc>
          <w:tcPr>
            <w:tcW w:w="3969" w:type="dxa"/>
          </w:tcPr>
          <w:p w14:paraId="139377A3" w14:textId="60C72184" w:rsidR="00B66765" w:rsidRPr="00B66765" w:rsidRDefault="00B66765" w:rsidP="00B66765">
            <w:r w:rsidRPr="00B66765">
              <w:t>Notice must specify where the plan is available for inspection</w:t>
            </w:r>
          </w:p>
        </w:tc>
      </w:tr>
      <w:tr w:rsidR="00B66765" w:rsidRPr="00B66765" w14:paraId="0A62C66A" w14:textId="77777777" w:rsidTr="002A658C">
        <w:tc>
          <w:tcPr>
            <w:tcW w:w="2215" w:type="dxa"/>
          </w:tcPr>
          <w:p w14:paraId="7FF09383" w14:textId="77777777" w:rsidR="00B66765" w:rsidRPr="00B66765" w:rsidRDefault="00B66765" w:rsidP="00B66765">
            <w:r w:rsidRPr="00B66765">
              <w:t>Constitution Regulation 11H</w:t>
            </w:r>
          </w:p>
        </w:tc>
        <w:tc>
          <w:tcPr>
            <w:tcW w:w="3450" w:type="dxa"/>
          </w:tcPr>
          <w:p w14:paraId="4B581874" w14:textId="68094DBA" w:rsidR="00B66765" w:rsidRPr="00B66765" w:rsidRDefault="00B66765" w:rsidP="00B66765">
            <w:r w:rsidRPr="00B66765">
              <w:t>Validity of election results is challenged</w:t>
            </w:r>
          </w:p>
        </w:tc>
        <w:tc>
          <w:tcPr>
            <w:tcW w:w="3969" w:type="dxa"/>
          </w:tcPr>
          <w:p w14:paraId="0DAEEA64" w14:textId="014F8167" w:rsidR="00B66765" w:rsidRPr="00B66765" w:rsidRDefault="00B66765" w:rsidP="00B66765">
            <w:r w:rsidRPr="00B66765">
              <w:t>Notice must be issued once a decision is reached in the Court of Disputed Returns</w:t>
            </w:r>
          </w:p>
        </w:tc>
      </w:tr>
      <w:tr w:rsidR="00B66765" w:rsidRPr="00B66765" w14:paraId="5FF8B46D" w14:textId="77777777" w:rsidTr="002A658C">
        <w:tc>
          <w:tcPr>
            <w:tcW w:w="2215" w:type="dxa"/>
          </w:tcPr>
          <w:p w14:paraId="0A6279F2" w14:textId="77777777" w:rsidR="00B66765" w:rsidRPr="00B66765" w:rsidRDefault="00B66765" w:rsidP="00B66765">
            <w:r w:rsidRPr="00B66765">
              <w:t>Elections Regulation 73</w:t>
            </w:r>
          </w:p>
        </w:tc>
        <w:tc>
          <w:tcPr>
            <w:tcW w:w="3450" w:type="dxa"/>
          </w:tcPr>
          <w:p w14:paraId="7EECFD8B" w14:textId="4E93AE16" w:rsidR="00B66765" w:rsidRPr="00B66765" w:rsidRDefault="00B66765" w:rsidP="00B66765">
            <w:r w:rsidRPr="00B66765">
              <w:t>Local election is to be postponed to a future time</w:t>
            </w:r>
          </w:p>
        </w:tc>
        <w:tc>
          <w:tcPr>
            <w:tcW w:w="3969" w:type="dxa"/>
          </w:tcPr>
          <w:p w14:paraId="64C7CC62" w14:textId="127B564B" w:rsidR="00B66765" w:rsidRPr="00B66765" w:rsidRDefault="00B66765" w:rsidP="00B66765">
            <w:r w:rsidRPr="00B66765">
              <w:t>Notice must be issued stating that the election is postponed</w:t>
            </w:r>
          </w:p>
        </w:tc>
      </w:tr>
      <w:tr w:rsidR="00B66765" w:rsidRPr="00B66765" w14:paraId="312C18C1" w14:textId="77777777" w:rsidTr="002A658C">
        <w:tc>
          <w:tcPr>
            <w:tcW w:w="2215" w:type="dxa"/>
          </w:tcPr>
          <w:p w14:paraId="632E97DB" w14:textId="77777777" w:rsidR="00B66765" w:rsidRPr="00B66765" w:rsidRDefault="00B66765" w:rsidP="00B66765">
            <w:r w:rsidRPr="00B66765">
              <w:t>Elections Regulation 80</w:t>
            </w:r>
          </w:p>
        </w:tc>
        <w:tc>
          <w:tcPr>
            <w:tcW w:w="3450" w:type="dxa"/>
          </w:tcPr>
          <w:p w14:paraId="0D8499BC" w14:textId="5097ABC3" w:rsidR="00B66765" w:rsidRPr="00B66765" w:rsidRDefault="00B66765" w:rsidP="00B66765">
            <w:r w:rsidRPr="00B66765">
              <w:t>Final results of local election are available</w:t>
            </w:r>
          </w:p>
        </w:tc>
        <w:tc>
          <w:tcPr>
            <w:tcW w:w="3969" w:type="dxa"/>
          </w:tcPr>
          <w:p w14:paraId="330A675D" w14:textId="0D4F642F" w:rsidR="00B66765" w:rsidRPr="00B66765" w:rsidRDefault="00B66765" w:rsidP="00B66765">
            <w:r w:rsidRPr="00B66765">
              <w:t>Public notice must set out the results in the prescribed form</w:t>
            </w:r>
          </w:p>
        </w:tc>
      </w:tr>
      <w:tr w:rsidR="00B66765" w:rsidRPr="00B66765" w14:paraId="60DEF269" w14:textId="77777777" w:rsidTr="002A658C">
        <w:tc>
          <w:tcPr>
            <w:tcW w:w="2215" w:type="dxa"/>
          </w:tcPr>
          <w:p w14:paraId="03BE5FE9" w14:textId="77777777" w:rsidR="00B66765" w:rsidRPr="00B66765" w:rsidRDefault="00B66765" w:rsidP="00B66765">
            <w:r w:rsidRPr="00B66765">
              <w:t>Elections Regulation 92</w:t>
            </w:r>
          </w:p>
        </w:tc>
        <w:tc>
          <w:tcPr>
            <w:tcW w:w="3450" w:type="dxa"/>
          </w:tcPr>
          <w:p w14:paraId="39721F2C" w14:textId="28DE4A5A" w:rsidR="00B66765" w:rsidRPr="00B66765" w:rsidRDefault="00B66765" w:rsidP="00B66765">
            <w:r w:rsidRPr="00B66765">
              <w:t>Poll to determine how presiding member of council is to be appointed</w:t>
            </w:r>
          </w:p>
        </w:tc>
        <w:tc>
          <w:tcPr>
            <w:tcW w:w="3969" w:type="dxa"/>
          </w:tcPr>
          <w:p w14:paraId="0A14F3F0" w14:textId="689E270F" w:rsidR="008B48BB" w:rsidRPr="00B66765" w:rsidRDefault="00B66765" w:rsidP="00B66765">
            <w:r w:rsidRPr="00B66765">
              <w:t>Public notice must set out the results in the prescribed form</w:t>
            </w:r>
          </w:p>
        </w:tc>
      </w:tr>
      <w:tr w:rsidR="0055772C" w:rsidRPr="00B23E76" w14:paraId="04CAE432" w14:textId="77777777" w:rsidTr="0055772C">
        <w:tc>
          <w:tcPr>
            <w:tcW w:w="2215" w:type="dxa"/>
          </w:tcPr>
          <w:p w14:paraId="64069722" w14:textId="77777777" w:rsidR="0055772C" w:rsidRDefault="0055772C" w:rsidP="00BC7338">
            <w:pPr>
              <w:rPr>
                <w:rFonts w:eastAsia="Calibri" w:cs="Times New Roman"/>
              </w:rPr>
            </w:pPr>
            <w:r>
              <w:rPr>
                <w:rFonts w:eastAsia="Calibri" w:cs="Times New Roman"/>
              </w:rPr>
              <w:t>Regional Subsidiaries</w:t>
            </w:r>
          </w:p>
          <w:p w14:paraId="6BE0F041" w14:textId="77777777" w:rsidR="0019509C" w:rsidRDefault="0019509C" w:rsidP="00BC7338">
            <w:r>
              <w:rPr>
                <w:rFonts w:eastAsia="Calibri" w:cs="Times New Roman"/>
              </w:rPr>
              <w:t>Regulation 4</w:t>
            </w:r>
          </w:p>
        </w:tc>
        <w:tc>
          <w:tcPr>
            <w:tcW w:w="3450" w:type="dxa"/>
          </w:tcPr>
          <w:p w14:paraId="2F6DE5F3" w14:textId="7E423B2B" w:rsidR="0055772C" w:rsidRDefault="0055772C" w:rsidP="00BC7338">
            <w:r>
              <w:t>Proposal to establish subsidiary</w:t>
            </w:r>
          </w:p>
        </w:tc>
        <w:tc>
          <w:tcPr>
            <w:tcW w:w="3969" w:type="dxa"/>
          </w:tcPr>
          <w:p w14:paraId="261B6A54" w14:textId="163B080D" w:rsidR="0055772C" w:rsidRDefault="0055772C" w:rsidP="00805400">
            <w:r>
              <w:t>Notice must state where the</w:t>
            </w:r>
            <w:r w:rsidR="00805400">
              <w:t xml:space="preserve"> </w:t>
            </w:r>
            <w:r>
              <w:t>business plan may be</w:t>
            </w:r>
            <w:r w:rsidR="008B48BB">
              <w:t xml:space="preserve"> </w:t>
            </w:r>
            <w:r>
              <w:t>inspected and invite</w:t>
            </w:r>
            <w:r w:rsidR="00805400">
              <w:t xml:space="preserve"> </w:t>
            </w:r>
            <w:r>
              <w:t>submissions (6 week</w:t>
            </w:r>
            <w:r w:rsidR="00805400">
              <w:t xml:space="preserve"> </w:t>
            </w:r>
            <w:r>
              <w:t>minimum)</w:t>
            </w:r>
          </w:p>
        </w:tc>
      </w:tr>
    </w:tbl>
    <w:p w14:paraId="76A1172C" w14:textId="77777777" w:rsidR="00B66765" w:rsidRDefault="00B66765" w:rsidP="00B66765"/>
    <w:p w14:paraId="1D02D7FD" w14:textId="77777777" w:rsidR="00B66765" w:rsidRDefault="00B66765" w:rsidP="00B66765">
      <w:pPr>
        <w:rPr>
          <w:b/>
        </w:rPr>
      </w:pPr>
    </w:p>
    <w:p w14:paraId="1124D90F" w14:textId="77777777" w:rsidR="00B66765" w:rsidRDefault="00B66765" w:rsidP="00B66765">
      <w:pPr>
        <w:rPr>
          <w:b/>
        </w:rPr>
      </w:pPr>
    </w:p>
    <w:p w14:paraId="4DA7C740" w14:textId="77777777" w:rsidR="00B66765" w:rsidRDefault="00B66765" w:rsidP="00B66765">
      <w:pPr>
        <w:rPr>
          <w:b/>
        </w:rPr>
      </w:pPr>
    </w:p>
    <w:p w14:paraId="3893C1EF" w14:textId="77777777" w:rsidR="00B66765" w:rsidRPr="008A6775" w:rsidRDefault="00B66765" w:rsidP="00B66765">
      <w:pPr>
        <w:rPr>
          <w:b/>
        </w:rPr>
      </w:pPr>
      <w:r w:rsidRPr="008A6775">
        <w:rPr>
          <w:b/>
        </w:rPr>
        <w:t xml:space="preserve">Situations where </w:t>
      </w:r>
      <w:r w:rsidR="00062E84" w:rsidRPr="008A6775">
        <w:rPr>
          <w:b/>
        </w:rPr>
        <w:t>State</w:t>
      </w:r>
      <w:r w:rsidRPr="008A6775">
        <w:rPr>
          <w:b/>
        </w:rPr>
        <w:t xml:space="preserve">-wide notice </w:t>
      </w:r>
      <w:r w:rsidR="0055772C">
        <w:rPr>
          <w:b/>
        </w:rPr>
        <w:t xml:space="preserve">is </w:t>
      </w:r>
      <w:r w:rsidRPr="008A6775">
        <w:rPr>
          <w:b/>
        </w:rPr>
        <w:t>required</w:t>
      </w:r>
      <w:r w:rsidR="00062E84">
        <w:rPr>
          <w:b/>
        </w:rPr>
        <w:t>:</w:t>
      </w:r>
    </w:p>
    <w:tbl>
      <w:tblPr>
        <w:tblStyle w:val="DLGCTable-Data"/>
        <w:tblW w:w="9634" w:type="dxa"/>
        <w:tblLook w:val="04A0" w:firstRow="1" w:lastRow="0" w:firstColumn="1" w:lastColumn="0" w:noHBand="0" w:noVBand="1"/>
        <w:tblCaption w:val="Table 2 - Data"/>
        <w:tblDescription w:val="Table 2 - Data"/>
      </w:tblPr>
      <w:tblGrid>
        <w:gridCol w:w="2405"/>
        <w:gridCol w:w="3260"/>
        <w:gridCol w:w="3969"/>
      </w:tblGrid>
      <w:tr w:rsidR="00B66765" w:rsidRPr="00B23E76" w14:paraId="7CFFBD41" w14:textId="77777777" w:rsidTr="002A658C">
        <w:trPr>
          <w:cnfStyle w:val="100000000000" w:firstRow="1" w:lastRow="0" w:firstColumn="0" w:lastColumn="0" w:oddVBand="0" w:evenVBand="0" w:oddHBand="0" w:evenHBand="0" w:firstRowFirstColumn="0" w:firstRowLastColumn="0" w:lastRowFirstColumn="0" w:lastRowLastColumn="0"/>
        </w:trPr>
        <w:tc>
          <w:tcPr>
            <w:tcW w:w="2405" w:type="dxa"/>
          </w:tcPr>
          <w:p w14:paraId="1783C5F1" w14:textId="77777777" w:rsidR="00B66765" w:rsidRDefault="00B66765" w:rsidP="00521705">
            <w:r>
              <w:t>Provision</w:t>
            </w:r>
          </w:p>
        </w:tc>
        <w:tc>
          <w:tcPr>
            <w:tcW w:w="3260" w:type="dxa"/>
          </w:tcPr>
          <w:p w14:paraId="354D7968" w14:textId="77777777" w:rsidR="00B66765" w:rsidRDefault="00B66765" w:rsidP="00521705">
            <w:r>
              <w:t>Situation</w:t>
            </w:r>
          </w:p>
        </w:tc>
        <w:tc>
          <w:tcPr>
            <w:tcW w:w="3969" w:type="dxa"/>
          </w:tcPr>
          <w:p w14:paraId="78374FDD" w14:textId="77777777" w:rsidR="00B66765" w:rsidRDefault="00B66765" w:rsidP="00521705">
            <w:r>
              <w:t>Details</w:t>
            </w:r>
          </w:p>
        </w:tc>
      </w:tr>
      <w:tr w:rsidR="00B66765" w:rsidRPr="00B23E76" w14:paraId="348A1516" w14:textId="77777777" w:rsidTr="002A658C">
        <w:tc>
          <w:tcPr>
            <w:tcW w:w="2405" w:type="dxa"/>
          </w:tcPr>
          <w:p w14:paraId="7A0C5D12" w14:textId="77777777" w:rsidR="00B66765" w:rsidRDefault="00B66765" w:rsidP="00521705">
            <w:r>
              <w:rPr>
                <w:rFonts w:eastAsia="Calibri" w:cs="Times New Roman"/>
              </w:rPr>
              <w:t>S</w:t>
            </w:r>
            <w:r w:rsidRPr="00FA3E52">
              <w:rPr>
                <w:rFonts w:eastAsia="Calibri" w:cs="Times New Roman"/>
              </w:rPr>
              <w:t>ection 2.12A</w:t>
            </w:r>
          </w:p>
        </w:tc>
        <w:tc>
          <w:tcPr>
            <w:tcW w:w="3260" w:type="dxa"/>
          </w:tcPr>
          <w:p w14:paraId="475B827C" w14:textId="34BD68EC" w:rsidR="00B66765" w:rsidRDefault="00B66765" w:rsidP="00521705">
            <w:r w:rsidRPr="001811BC">
              <w:t xml:space="preserve">Proposal </w:t>
            </w:r>
            <w:r>
              <w:t>to change the method of electing the</w:t>
            </w:r>
            <w:r w:rsidRPr="001811BC">
              <w:t xml:space="preserve"> </w:t>
            </w:r>
            <w:r>
              <w:t>presiding member of council</w:t>
            </w:r>
          </w:p>
        </w:tc>
        <w:tc>
          <w:tcPr>
            <w:tcW w:w="3969" w:type="dxa"/>
          </w:tcPr>
          <w:p w14:paraId="1CA9AE22" w14:textId="520D3A0A" w:rsidR="00B66765" w:rsidRDefault="00B66765" w:rsidP="00521705">
            <w:r>
              <w:t>Public notice must invite public submissions on the proposal (6 week minimum)</w:t>
            </w:r>
          </w:p>
        </w:tc>
      </w:tr>
      <w:tr w:rsidR="00B66765" w:rsidRPr="00B23E76" w14:paraId="37B44E9C" w14:textId="77777777" w:rsidTr="002A658C">
        <w:trPr>
          <w:trHeight w:val="389"/>
        </w:trPr>
        <w:tc>
          <w:tcPr>
            <w:tcW w:w="2405" w:type="dxa"/>
          </w:tcPr>
          <w:p w14:paraId="3057B274" w14:textId="77777777" w:rsidR="00B66765" w:rsidRDefault="00B66765" w:rsidP="00521705">
            <w:r>
              <w:rPr>
                <w:rFonts w:eastAsia="Calibri" w:cs="Times New Roman"/>
              </w:rPr>
              <w:t>S</w:t>
            </w:r>
            <w:r w:rsidRPr="00FA3E52">
              <w:rPr>
                <w:rFonts w:eastAsia="Calibri" w:cs="Times New Roman"/>
              </w:rPr>
              <w:t>ection 3.12</w:t>
            </w:r>
          </w:p>
        </w:tc>
        <w:tc>
          <w:tcPr>
            <w:tcW w:w="3260" w:type="dxa"/>
          </w:tcPr>
          <w:p w14:paraId="2F65CE3B" w14:textId="126F1D31" w:rsidR="00B66765" w:rsidRDefault="00B66765" w:rsidP="00521705">
            <w:r w:rsidRPr="001811BC">
              <w:t>Pr</w:t>
            </w:r>
            <w:r>
              <w:t>oposal to introduce new local law</w:t>
            </w:r>
          </w:p>
        </w:tc>
        <w:tc>
          <w:tcPr>
            <w:tcW w:w="3969" w:type="dxa"/>
          </w:tcPr>
          <w:p w14:paraId="6FA568D9" w14:textId="542A85EF" w:rsidR="00B66765" w:rsidRDefault="00B66765">
            <w:r>
              <w:t>Public notice must invite public</w:t>
            </w:r>
            <w:r w:rsidR="008B48BB">
              <w:t xml:space="preserve"> </w:t>
            </w:r>
            <w:r>
              <w:t>submissions on the draft local law (6 week minimum)</w:t>
            </w:r>
          </w:p>
        </w:tc>
      </w:tr>
      <w:tr w:rsidR="00B66765" w:rsidRPr="00B23E76" w14:paraId="2E577CCC" w14:textId="77777777" w:rsidTr="002A658C">
        <w:tc>
          <w:tcPr>
            <w:tcW w:w="2405" w:type="dxa"/>
          </w:tcPr>
          <w:p w14:paraId="1B38813A" w14:textId="77777777" w:rsidR="00B66765" w:rsidRDefault="00B66765" w:rsidP="00521705">
            <w:r>
              <w:rPr>
                <w:rFonts w:eastAsia="Calibri" w:cs="Times New Roman"/>
              </w:rPr>
              <w:t>S</w:t>
            </w:r>
            <w:r w:rsidRPr="00FA3E52">
              <w:rPr>
                <w:rFonts w:eastAsia="Calibri" w:cs="Times New Roman"/>
              </w:rPr>
              <w:t>ection 3.16</w:t>
            </w:r>
          </w:p>
        </w:tc>
        <w:tc>
          <w:tcPr>
            <w:tcW w:w="3260" w:type="dxa"/>
          </w:tcPr>
          <w:p w14:paraId="61C25DA4" w14:textId="34763BAB" w:rsidR="00B66765" w:rsidRDefault="00B66765" w:rsidP="00521705">
            <w:r>
              <w:t>Review of an existing local law</w:t>
            </w:r>
          </w:p>
        </w:tc>
        <w:tc>
          <w:tcPr>
            <w:tcW w:w="3969" w:type="dxa"/>
          </w:tcPr>
          <w:p w14:paraId="788F5908" w14:textId="5E85ED43" w:rsidR="00B66765" w:rsidRDefault="00B66765">
            <w:r w:rsidRPr="00B2542A">
              <w:t xml:space="preserve">Public notice must invite public submissions </w:t>
            </w:r>
            <w:r>
              <w:t xml:space="preserve">on the existing local law </w:t>
            </w:r>
            <w:r w:rsidRPr="00B2542A">
              <w:t>(6 week minimum)</w:t>
            </w:r>
          </w:p>
        </w:tc>
      </w:tr>
      <w:tr w:rsidR="00B66765" w:rsidRPr="00B23E76" w14:paraId="76346894" w14:textId="77777777" w:rsidTr="002A658C">
        <w:trPr>
          <w:trHeight w:val="498"/>
        </w:trPr>
        <w:tc>
          <w:tcPr>
            <w:tcW w:w="2405" w:type="dxa"/>
          </w:tcPr>
          <w:p w14:paraId="6D5B5F5F" w14:textId="77777777" w:rsidR="00B66765" w:rsidRDefault="00B66765" w:rsidP="00521705">
            <w:r>
              <w:rPr>
                <w:rFonts w:eastAsia="Calibri" w:cs="Times New Roman"/>
              </w:rPr>
              <w:t>S</w:t>
            </w:r>
            <w:r w:rsidRPr="00FA3E52">
              <w:rPr>
                <w:rFonts w:eastAsia="Calibri" w:cs="Times New Roman"/>
              </w:rPr>
              <w:t>ection 3.59</w:t>
            </w:r>
          </w:p>
        </w:tc>
        <w:tc>
          <w:tcPr>
            <w:tcW w:w="3260" w:type="dxa"/>
          </w:tcPr>
          <w:p w14:paraId="6566A15E" w14:textId="6F395536" w:rsidR="00B66765" w:rsidRDefault="00B66765" w:rsidP="00521705">
            <w:r>
              <w:t xml:space="preserve">Major trading undertakings or land </w:t>
            </w:r>
            <w:r w:rsidRPr="001811BC">
              <w:t>transaction</w:t>
            </w:r>
            <w:r>
              <w:t>s</w:t>
            </w:r>
          </w:p>
        </w:tc>
        <w:tc>
          <w:tcPr>
            <w:tcW w:w="3969" w:type="dxa"/>
          </w:tcPr>
          <w:p w14:paraId="2D4975AE" w14:textId="73AD846A" w:rsidR="00B66765" w:rsidRDefault="00B66765">
            <w:r w:rsidRPr="00B2542A">
              <w:t xml:space="preserve">Public notice must invite public submissions </w:t>
            </w:r>
            <w:r>
              <w:t>on the business plan (</w:t>
            </w:r>
            <w:r w:rsidRPr="00B2542A">
              <w:t>6 week minimum)</w:t>
            </w:r>
          </w:p>
        </w:tc>
      </w:tr>
      <w:tr w:rsidR="00B66765" w:rsidRPr="00B23E76" w14:paraId="43F26244" w14:textId="77777777" w:rsidTr="002A658C">
        <w:tc>
          <w:tcPr>
            <w:tcW w:w="2405" w:type="dxa"/>
          </w:tcPr>
          <w:p w14:paraId="539CE3D6" w14:textId="77777777" w:rsidR="00B66765" w:rsidRDefault="00B66765" w:rsidP="00521705">
            <w:r>
              <w:rPr>
                <w:rFonts w:eastAsia="Calibri" w:cs="Times New Roman"/>
              </w:rPr>
              <w:t>S</w:t>
            </w:r>
            <w:r w:rsidRPr="00FA3E52">
              <w:rPr>
                <w:rFonts w:eastAsia="Calibri" w:cs="Times New Roman"/>
              </w:rPr>
              <w:t>ection 4.39</w:t>
            </w:r>
          </w:p>
        </w:tc>
        <w:tc>
          <w:tcPr>
            <w:tcW w:w="3260" w:type="dxa"/>
          </w:tcPr>
          <w:p w14:paraId="44DD5C23" w14:textId="65D68ED0" w:rsidR="00B66765" w:rsidRDefault="00B66765" w:rsidP="00521705">
            <w:r w:rsidRPr="001811BC">
              <w:t>Closing date for enrolment in election</w:t>
            </w:r>
          </w:p>
        </w:tc>
        <w:tc>
          <w:tcPr>
            <w:tcW w:w="3969" w:type="dxa"/>
          </w:tcPr>
          <w:p w14:paraId="7B248AEB" w14:textId="020EB437" w:rsidR="00B66765" w:rsidRDefault="00B66765" w:rsidP="00521705">
            <w:r>
              <w:t xml:space="preserve">The notice must include details on how a person can become </w:t>
            </w:r>
            <w:r w:rsidR="00BF2C6C">
              <w:t xml:space="preserve">an </w:t>
            </w:r>
            <w:r>
              <w:t xml:space="preserve">elector </w:t>
            </w:r>
          </w:p>
        </w:tc>
      </w:tr>
      <w:tr w:rsidR="00B66765" w:rsidRPr="00B23E76" w14:paraId="63477BB7" w14:textId="77777777" w:rsidTr="002A658C">
        <w:tc>
          <w:tcPr>
            <w:tcW w:w="2405" w:type="dxa"/>
          </w:tcPr>
          <w:p w14:paraId="44B09F26" w14:textId="77777777" w:rsidR="00B66765" w:rsidRDefault="00B66765" w:rsidP="00521705">
            <w:r>
              <w:rPr>
                <w:rFonts w:eastAsia="Calibri" w:cs="Times New Roman"/>
              </w:rPr>
              <w:t>S</w:t>
            </w:r>
            <w:r w:rsidRPr="00FA3E52">
              <w:rPr>
                <w:rFonts w:eastAsia="Calibri" w:cs="Times New Roman"/>
              </w:rPr>
              <w:t>ection 4.47</w:t>
            </w:r>
          </w:p>
        </w:tc>
        <w:tc>
          <w:tcPr>
            <w:tcW w:w="3260" w:type="dxa"/>
          </w:tcPr>
          <w:p w14:paraId="46D6437B" w14:textId="102CBDC5" w:rsidR="00B66765" w:rsidRDefault="00B66765" w:rsidP="00521705">
            <w:r w:rsidRPr="001811BC">
              <w:t>Nomination of candidates in election</w:t>
            </w:r>
          </w:p>
        </w:tc>
        <w:tc>
          <w:tcPr>
            <w:tcW w:w="3969" w:type="dxa"/>
          </w:tcPr>
          <w:p w14:paraId="24E794E3" w14:textId="4CAFD5C4" w:rsidR="00B66765" w:rsidRDefault="00B66765" w:rsidP="00521705">
            <w:r>
              <w:t>The notice must specify how many seats are up for election and how nominations can be submitted</w:t>
            </w:r>
          </w:p>
        </w:tc>
      </w:tr>
      <w:tr w:rsidR="00B66765" w:rsidRPr="00B23E76" w14:paraId="6B4BEF6B" w14:textId="77777777" w:rsidTr="002A658C">
        <w:tc>
          <w:tcPr>
            <w:tcW w:w="2405" w:type="dxa"/>
          </w:tcPr>
          <w:p w14:paraId="4861FE9C" w14:textId="77777777" w:rsidR="00B66765" w:rsidRDefault="00B66765" w:rsidP="00521705">
            <w:r>
              <w:rPr>
                <w:rFonts w:eastAsia="Calibri" w:cs="Times New Roman"/>
              </w:rPr>
              <w:t xml:space="preserve">Section 5.36 </w:t>
            </w:r>
          </w:p>
        </w:tc>
        <w:tc>
          <w:tcPr>
            <w:tcW w:w="3260" w:type="dxa"/>
          </w:tcPr>
          <w:p w14:paraId="72718C6C" w14:textId="0214AB71" w:rsidR="00B66765" w:rsidRDefault="00B66765" w:rsidP="00521705">
            <w:r>
              <w:t>Advertising a vacancy for a CEO position</w:t>
            </w:r>
          </w:p>
        </w:tc>
        <w:tc>
          <w:tcPr>
            <w:tcW w:w="3969" w:type="dxa"/>
          </w:tcPr>
          <w:p w14:paraId="0924FEB4" w14:textId="06B6340C" w:rsidR="00B66765" w:rsidRDefault="00B66765" w:rsidP="00521705">
            <w:r>
              <w:t>Also applies to senior employee positions</w:t>
            </w:r>
          </w:p>
        </w:tc>
      </w:tr>
      <w:tr w:rsidR="00B66765" w:rsidRPr="00B23E76" w14:paraId="31E634F8" w14:textId="77777777" w:rsidTr="002A658C">
        <w:tc>
          <w:tcPr>
            <w:tcW w:w="2405" w:type="dxa"/>
          </w:tcPr>
          <w:p w14:paraId="5B2CC645" w14:textId="77777777" w:rsidR="00B66765" w:rsidRDefault="00B66765" w:rsidP="00521705">
            <w:pPr>
              <w:rPr>
                <w:rFonts w:eastAsia="Calibri" w:cs="Times New Roman"/>
              </w:rPr>
            </w:pPr>
            <w:r>
              <w:rPr>
                <w:rFonts w:eastAsia="Calibri" w:cs="Times New Roman"/>
              </w:rPr>
              <w:t>Schedule 6.3</w:t>
            </w:r>
          </w:p>
        </w:tc>
        <w:tc>
          <w:tcPr>
            <w:tcW w:w="3260" w:type="dxa"/>
          </w:tcPr>
          <w:p w14:paraId="5FBF1C35" w14:textId="446DBF64" w:rsidR="00B66765" w:rsidRDefault="00B66765" w:rsidP="00521705">
            <w:r>
              <w:t>Sale of land</w:t>
            </w:r>
          </w:p>
        </w:tc>
        <w:tc>
          <w:tcPr>
            <w:tcW w:w="3969" w:type="dxa"/>
          </w:tcPr>
          <w:p w14:paraId="41AA009C" w14:textId="627128CB" w:rsidR="00B66765" w:rsidRDefault="00B66765" w:rsidP="00521705">
            <w:r>
              <w:t>The notice must include a description of the land and any improvements sold with the land</w:t>
            </w:r>
          </w:p>
        </w:tc>
      </w:tr>
      <w:tr w:rsidR="00B66765" w:rsidRPr="00B23E76" w14:paraId="6E368757" w14:textId="77777777" w:rsidTr="002A658C">
        <w:tc>
          <w:tcPr>
            <w:tcW w:w="2405" w:type="dxa"/>
          </w:tcPr>
          <w:p w14:paraId="678ACED4" w14:textId="77777777" w:rsidR="00B66765" w:rsidRDefault="00B66765" w:rsidP="00521705">
            <w:r w:rsidRPr="00FA3E52">
              <w:rPr>
                <w:rFonts w:eastAsia="Calibri" w:cs="Times New Roman"/>
              </w:rPr>
              <w:t>Functions and General Regulation 14</w:t>
            </w:r>
          </w:p>
        </w:tc>
        <w:tc>
          <w:tcPr>
            <w:tcW w:w="3260" w:type="dxa"/>
          </w:tcPr>
          <w:p w14:paraId="532D98D2" w14:textId="0624BF6B" w:rsidR="00B66765" w:rsidRDefault="00B66765" w:rsidP="00521705">
            <w:r>
              <w:t>Invitation for t</w:t>
            </w:r>
            <w:r w:rsidRPr="001811BC">
              <w:t>ender</w:t>
            </w:r>
            <w:r>
              <w:t>s</w:t>
            </w:r>
          </w:p>
        </w:tc>
        <w:tc>
          <w:tcPr>
            <w:tcW w:w="3969" w:type="dxa"/>
          </w:tcPr>
          <w:p w14:paraId="174C8928" w14:textId="71C003E9" w:rsidR="00B66765" w:rsidRDefault="00B66765" w:rsidP="00521705">
            <w:r>
              <w:t xml:space="preserve">Tender process applies whenever the local government seeks to acquire goods or services above a prescribed amount </w:t>
            </w:r>
          </w:p>
        </w:tc>
      </w:tr>
      <w:tr w:rsidR="00B66765" w:rsidRPr="00B23E76" w14:paraId="3AE4ABC6" w14:textId="77777777" w:rsidTr="002A658C">
        <w:tc>
          <w:tcPr>
            <w:tcW w:w="2405" w:type="dxa"/>
          </w:tcPr>
          <w:p w14:paraId="3CF2FD35" w14:textId="77777777" w:rsidR="00B66765" w:rsidRDefault="00B66765" w:rsidP="00521705">
            <w:r w:rsidRPr="00FA3E52">
              <w:rPr>
                <w:rFonts w:eastAsia="Calibri" w:cs="Times New Roman"/>
              </w:rPr>
              <w:t>Functions and General Regulation 21</w:t>
            </w:r>
          </w:p>
        </w:tc>
        <w:tc>
          <w:tcPr>
            <w:tcW w:w="3260" w:type="dxa"/>
          </w:tcPr>
          <w:p w14:paraId="50E8A39C" w14:textId="03601D88" w:rsidR="00B66765" w:rsidRDefault="00B66765" w:rsidP="00521705">
            <w:r>
              <w:t xml:space="preserve">Expression of interest for prospective suppliers </w:t>
            </w:r>
          </w:p>
        </w:tc>
        <w:tc>
          <w:tcPr>
            <w:tcW w:w="3969" w:type="dxa"/>
          </w:tcPr>
          <w:p w14:paraId="07D96AD9" w14:textId="4D35B838" w:rsidR="00B66765" w:rsidRDefault="00B66765" w:rsidP="00521705">
            <w:r>
              <w:t>This process is used to obtain a group of prospective suppliers prior to formal tender process</w:t>
            </w:r>
          </w:p>
        </w:tc>
      </w:tr>
      <w:tr w:rsidR="00B66765" w:rsidRPr="00B23E76" w14:paraId="0F85DC8F" w14:textId="77777777" w:rsidTr="002A658C">
        <w:tc>
          <w:tcPr>
            <w:tcW w:w="2405" w:type="dxa"/>
          </w:tcPr>
          <w:p w14:paraId="719E9375" w14:textId="77777777" w:rsidR="00B66765" w:rsidRDefault="00B66765" w:rsidP="00521705">
            <w:r w:rsidRPr="00FA3E52">
              <w:rPr>
                <w:rFonts w:eastAsia="Calibri" w:cs="Times New Roman"/>
              </w:rPr>
              <w:t>F</w:t>
            </w:r>
            <w:r>
              <w:rPr>
                <w:rFonts w:eastAsia="Calibri" w:cs="Times New Roman"/>
              </w:rPr>
              <w:t xml:space="preserve">unctions and General Regulation </w:t>
            </w:r>
            <w:r w:rsidRPr="00FA3E52">
              <w:rPr>
                <w:rFonts w:eastAsia="Calibri" w:cs="Times New Roman"/>
              </w:rPr>
              <w:t>24AD</w:t>
            </w:r>
          </w:p>
        </w:tc>
        <w:tc>
          <w:tcPr>
            <w:tcW w:w="3260" w:type="dxa"/>
          </w:tcPr>
          <w:p w14:paraId="6B8BE91C" w14:textId="48C98AC1" w:rsidR="00B66765" w:rsidRDefault="00B66765" w:rsidP="00521705">
            <w:r>
              <w:t>Panel of pre-approved suppliers</w:t>
            </w:r>
          </w:p>
        </w:tc>
        <w:tc>
          <w:tcPr>
            <w:tcW w:w="3969" w:type="dxa"/>
          </w:tcPr>
          <w:p w14:paraId="717ACFE1" w14:textId="51C4E0CE" w:rsidR="00B66765" w:rsidRDefault="00B66765" w:rsidP="00805400">
            <w:r>
              <w:t>Similar to tender process, but conducted in advance</w:t>
            </w:r>
          </w:p>
        </w:tc>
      </w:tr>
      <w:tr w:rsidR="00B66765" w:rsidRPr="00B23E76" w14:paraId="277ADDCF" w14:textId="77777777" w:rsidTr="002A658C">
        <w:tc>
          <w:tcPr>
            <w:tcW w:w="2405" w:type="dxa"/>
          </w:tcPr>
          <w:p w14:paraId="1D6B0A21" w14:textId="77777777" w:rsidR="00B66765" w:rsidRDefault="00B66765" w:rsidP="00521705">
            <w:r w:rsidRPr="00FA3E52">
              <w:rPr>
                <w:rFonts w:eastAsia="Calibri" w:cs="Times New Roman"/>
              </w:rPr>
              <w:t>Functions and General Regulations 24E</w:t>
            </w:r>
          </w:p>
        </w:tc>
        <w:tc>
          <w:tcPr>
            <w:tcW w:w="3260" w:type="dxa"/>
          </w:tcPr>
          <w:p w14:paraId="2E7065F6" w14:textId="6173BE63" w:rsidR="00B66765" w:rsidRDefault="00B66765" w:rsidP="00521705">
            <w:r>
              <w:t>Regional price preference policy</w:t>
            </w:r>
          </w:p>
        </w:tc>
        <w:tc>
          <w:tcPr>
            <w:tcW w:w="3969" w:type="dxa"/>
          </w:tcPr>
          <w:p w14:paraId="29045D45" w14:textId="55A338DE" w:rsidR="00B66765" w:rsidRDefault="00B66765" w:rsidP="00521705">
            <w:r>
              <w:t>Notice must specify the region to which the policy will apply and invite submissions (4 week minimum)</w:t>
            </w:r>
          </w:p>
        </w:tc>
      </w:tr>
    </w:tbl>
    <w:p w14:paraId="2F9C1B74" w14:textId="77777777" w:rsidR="00B66765" w:rsidRPr="00B66765" w:rsidRDefault="00B66765" w:rsidP="00B66765"/>
    <w:sectPr w:rsidR="00B66765" w:rsidRPr="00B66765" w:rsidSect="007C2C03">
      <w:footerReference w:type="default" r:id="rId29"/>
      <w:headerReference w:type="first" r:id="rId3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70060" w14:textId="77777777" w:rsidR="00961F03" w:rsidRDefault="00961F03" w:rsidP="0031380B">
      <w:pPr>
        <w:spacing w:after="0" w:line="240" w:lineRule="auto"/>
      </w:pPr>
      <w:r>
        <w:separator/>
      </w:r>
    </w:p>
  </w:endnote>
  <w:endnote w:type="continuationSeparator" w:id="0">
    <w:p w14:paraId="27461CC7" w14:textId="77777777" w:rsidR="00961F03" w:rsidRDefault="00961F03" w:rsidP="0031380B">
      <w:pPr>
        <w:spacing w:after="0" w:line="240" w:lineRule="auto"/>
      </w:pPr>
      <w:r>
        <w:continuationSeparator/>
      </w:r>
    </w:p>
  </w:endnote>
  <w:endnote w:type="continuationNotice" w:id="1">
    <w:p w14:paraId="48B345FA" w14:textId="77777777" w:rsidR="00961F03" w:rsidRDefault="00961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41EF" w14:textId="6B2929E0" w:rsidR="0069261D" w:rsidRPr="0031380B" w:rsidRDefault="0069261D" w:rsidP="0031380B">
    <w:pPr>
      <w:pStyle w:val="Footer"/>
    </w:pPr>
    <w:r w:rsidRPr="0031380B">
      <w:t xml:space="preserve">Page </w:t>
    </w:r>
    <w:sdt>
      <w:sdtPr>
        <w:id w:val="192432905"/>
        <w:docPartObj>
          <w:docPartGallery w:val="Page Numbers (Bottom of Page)"/>
          <w:docPartUnique/>
        </w:docPartObj>
      </w:sdtPr>
      <w:sdtEndPr/>
      <w:sdtContent>
        <w:r w:rsidRPr="0031380B">
          <w:fldChar w:fldCharType="begin"/>
        </w:r>
        <w:r w:rsidRPr="0031380B">
          <w:instrText xml:space="preserve"> PAGE   \* MERGEFORMAT </w:instrText>
        </w:r>
        <w:r w:rsidRPr="0031380B">
          <w:fldChar w:fldCharType="separate"/>
        </w:r>
        <w:r w:rsidR="00971C75">
          <w:rPr>
            <w:noProof/>
          </w:rPr>
          <w:t>22</w:t>
        </w:r>
        <w:r w:rsidRPr="0031380B">
          <w:fldChar w:fldCharType="end"/>
        </w:r>
        <w:r w:rsidRPr="0031380B">
          <w:t xml:space="preserve"> </w:t>
        </w:r>
        <w:r w:rsidRPr="00332EB0">
          <w:rPr>
            <w:i/>
          </w:rPr>
          <w:t>– Local Government Act 1995</w:t>
        </w:r>
        <w:r>
          <w:t xml:space="preserve"> Review – Phase 1 Consultation Paper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B5F28" w14:textId="77777777" w:rsidR="00961F03" w:rsidRDefault="00961F03" w:rsidP="0031380B">
      <w:pPr>
        <w:spacing w:after="0" w:line="240" w:lineRule="auto"/>
      </w:pPr>
      <w:r>
        <w:separator/>
      </w:r>
    </w:p>
  </w:footnote>
  <w:footnote w:type="continuationSeparator" w:id="0">
    <w:p w14:paraId="44770175" w14:textId="77777777" w:rsidR="00961F03" w:rsidRDefault="00961F03" w:rsidP="0031380B">
      <w:pPr>
        <w:spacing w:after="0" w:line="240" w:lineRule="auto"/>
      </w:pPr>
      <w:r>
        <w:continuationSeparator/>
      </w:r>
    </w:p>
  </w:footnote>
  <w:footnote w:type="continuationNotice" w:id="1">
    <w:p w14:paraId="51A61E1E" w14:textId="77777777" w:rsidR="00961F03" w:rsidRDefault="00961F03">
      <w:pPr>
        <w:spacing w:after="0" w:line="240" w:lineRule="auto"/>
      </w:pPr>
    </w:p>
  </w:footnote>
  <w:footnote w:id="2">
    <w:p w14:paraId="7E4F381E" w14:textId="05143121" w:rsidR="0069261D" w:rsidRDefault="0069261D" w:rsidP="001547C1">
      <w:pPr>
        <w:pStyle w:val="FootnoteText"/>
      </w:pPr>
      <w:r>
        <w:rPr>
          <w:rStyle w:val="FootnoteReference"/>
        </w:rPr>
        <w:footnoteRef/>
      </w:r>
      <w:r>
        <w:t xml:space="preserve"> Western Australia, </w:t>
      </w:r>
      <w:r>
        <w:rPr>
          <w:i/>
        </w:rPr>
        <w:t xml:space="preserve">Parliamentary Debates, </w:t>
      </w:r>
      <w:r>
        <w:t>Legislative Assembly, 31 August 1995, 7548-9 (</w:t>
      </w:r>
      <w:r w:rsidR="00DD39EC">
        <w:t xml:space="preserve">Hon </w:t>
      </w:r>
      <w:r>
        <w:t>Paul Omodei MLA).</w:t>
      </w:r>
    </w:p>
  </w:footnote>
  <w:footnote w:id="3">
    <w:p w14:paraId="7804E6E2" w14:textId="77777777" w:rsidR="0069261D" w:rsidRDefault="0069261D" w:rsidP="000840CC">
      <w:pPr>
        <w:pStyle w:val="FootnoteText"/>
      </w:pPr>
      <w:r>
        <w:rPr>
          <w:rStyle w:val="FootnoteReference"/>
        </w:rPr>
        <w:footnoteRef/>
      </w:r>
      <w:r>
        <w:t xml:space="preserve"> </w:t>
      </w:r>
      <w:r w:rsidRPr="00F012EB">
        <w:t>http://walga.asn.au/getattachment/Policy-Advice-and-Advocacy/WALGA-Advocacy-Position-Statements/2-2-2006-SSS-Panel-Report-In-your-Hands-Final-Report.pdf.aspx?lang=en-AU</w:t>
      </w:r>
    </w:p>
  </w:footnote>
  <w:footnote w:id="4">
    <w:p w14:paraId="6F1A53A6" w14:textId="77777777" w:rsidR="0069261D" w:rsidRPr="00E44813" w:rsidRDefault="0069261D" w:rsidP="000840CC">
      <w:pPr>
        <w:pStyle w:val="FootnoteText"/>
        <w:rPr>
          <w:sz w:val="16"/>
        </w:rPr>
      </w:pPr>
      <w:r>
        <w:rPr>
          <w:rStyle w:val="FootnoteReference"/>
        </w:rPr>
        <w:footnoteRef/>
      </w:r>
      <w:r>
        <w:t xml:space="preserve"> </w:t>
      </w:r>
      <w:hyperlink r:id="rId1" w:history="1">
        <w:r w:rsidRPr="00E44813">
          <w:rPr>
            <w:rStyle w:val="Hyperlink"/>
            <w:sz w:val="20"/>
          </w:rPr>
          <w:t>https://www.dlgc.wa.gov.au/publications/documents/inquiry_City_Canning_report.pdf</w:t>
        </w:r>
      </w:hyperlink>
    </w:p>
    <w:p w14:paraId="600808B4" w14:textId="77777777" w:rsidR="0069261D" w:rsidRDefault="0069261D" w:rsidP="000840CC">
      <w:pPr>
        <w:pStyle w:val="FootnoteText"/>
      </w:pPr>
    </w:p>
    <w:p w14:paraId="2F42D5E8" w14:textId="77777777" w:rsidR="0069261D" w:rsidRDefault="0069261D" w:rsidP="000840CC">
      <w:pPr>
        <w:pStyle w:val="FootnoteText"/>
      </w:pPr>
    </w:p>
  </w:footnote>
  <w:footnote w:id="5">
    <w:p w14:paraId="3214EA11" w14:textId="77777777" w:rsidR="0069261D" w:rsidRDefault="0069261D" w:rsidP="00B27FAC">
      <w:pPr>
        <w:pStyle w:val="FootnoteText"/>
      </w:pPr>
      <w:r>
        <w:rPr>
          <w:rStyle w:val="FootnoteReference"/>
        </w:rPr>
        <w:footnoteRef/>
      </w:r>
      <w:r>
        <w:t xml:space="preserve"> </w:t>
      </w:r>
      <w:r w:rsidRPr="001A6A72">
        <w:t>under Part 8</w:t>
      </w:r>
      <w:r>
        <w:t xml:space="preserve"> of the Act</w:t>
      </w:r>
    </w:p>
  </w:footnote>
  <w:footnote w:id="6">
    <w:p w14:paraId="108183F1" w14:textId="77777777" w:rsidR="0069261D" w:rsidRDefault="0069261D">
      <w:pPr>
        <w:pStyle w:val="FootnoteText"/>
      </w:pPr>
      <w:r>
        <w:rPr>
          <w:rStyle w:val="FootnoteReference"/>
        </w:rPr>
        <w:footnoteRef/>
      </w:r>
      <w:r>
        <w:t xml:space="preserve"> </w:t>
      </w:r>
      <w:r w:rsidRPr="001A6A72">
        <w:t>enforced through the complaints process set out in Part 5 Division 9 of the Act</w:t>
      </w:r>
    </w:p>
  </w:footnote>
  <w:footnote w:id="7">
    <w:p w14:paraId="73F977FE" w14:textId="77777777" w:rsidR="0069261D" w:rsidRDefault="0069261D" w:rsidP="00124F78">
      <w:pPr>
        <w:pStyle w:val="BodyText-nospacebelow"/>
      </w:pPr>
      <w:r w:rsidRPr="00124F78">
        <w:rPr>
          <w:rStyle w:val="FootnoteReference"/>
          <w:sz w:val="18"/>
        </w:rPr>
        <w:footnoteRef/>
      </w:r>
      <w:r w:rsidRPr="00124F78">
        <w:rPr>
          <w:sz w:val="18"/>
        </w:rPr>
        <w:t xml:space="preserve"> </w:t>
      </w:r>
      <w:r w:rsidRPr="00124F78">
        <w:rPr>
          <w:sz w:val="20"/>
        </w:rPr>
        <w:t>The Standards Panel is established by the Minister under section 5.122 of the Act and provisions about the Panel are outlined in Schedule 5.1.</w:t>
      </w:r>
    </w:p>
  </w:footnote>
  <w:footnote w:id="8">
    <w:p w14:paraId="447D36DF" w14:textId="77777777" w:rsidR="0069261D" w:rsidRDefault="0069261D">
      <w:pPr>
        <w:pStyle w:val="FootnoteText"/>
      </w:pPr>
      <w:r>
        <w:rPr>
          <w:rStyle w:val="FootnoteReference"/>
        </w:rPr>
        <w:footnoteRef/>
      </w:r>
      <w:r>
        <w:t xml:space="preserve"> Local Government Standards Panel Annual Report 2016-17 </w:t>
      </w:r>
      <w:hyperlink r:id="rId2" w:history="1">
        <w:r w:rsidRPr="00173E67">
          <w:rPr>
            <w:rStyle w:val="Hyperlink"/>
            <w:sz w:val="20"/>
          </w:rPr>
          <w:t>http://www.parliament.wa.gov.au/publications/tabledpapers.nsf/displaypaper/4010618aa75348cc3a9c03324825819a0019a8c7/$file/618.pdf</w:t>
        </w:r>
      </w:hyperlink>
      <w:r>
        <w:tab/>
      </w:r>
    </w:p>
  </w:footnote>
  <w:footnote w:id="9">
    <w:p w14:paraId="12AEDC8F" w14:textId="77777777" w:rsidR="0069261D" w:rsidRDefault="0069261D">
      <w:pPr>
        <w:pStyle w:val="FootnoteText"/>
      </w:pPr>
      <w:r>
        <w:rPr>
          <w:rStyle w:val="FootnoteReference"/>
        </w:rPr>
        <w:footnoteRef/>
      </w:r>
      <w:r>
        <w:t xml:space="preserve"> </w:t>
      </w:r>
      <w:hyperlink r:id="rId3" w:history="1">
        <w:r w:rsidRPr="00A66D51">
          <w:rPr>
            <w:rStyle w:val="Hyperlink"/>
            <w:sz w:val="20"/>
          </w:rPr>
          <w:t>https://www.olg.nsw.gov.au/sites/default/files/Procedures-for-Administration-of-Model-Code-of-Conduct.pdf</w:t>
        </w:r>
      </w:hyperlink>
      <w:r>
        <w:tab/>
      </w:r>
    </w:p>
  </w:footnote>
  <w:footnote w:id="10">
    <w:p w14:paraId="595021BB" w14:textId="77777777" w:rsidR="0069261D" w:rsidRDefault="0069261D">
      <w:pPr>
        <w:pStyle w:val="FootnoteText"/>
      </w:pPr>
      <w:r>
        <w:rPr>
          <w:rStyle w:val="FootnoteReference"/>
        </w:rPr>
        <w:footnoteRef/>
      </w:r>
      <w:r>
        <w:t xml:space="preserve"> </w:t>
      </w:r>
      <w:hyperlink r:id="rId4" w:history="1">
        <w:r w:rsidRPr="007234A2">
          <w:rPr>
            <w:rStyle w:val="Hyperlink"/>
            <w:sz w:val="20"/>
          </w:rPr>
          <w:t>https://www.dilgp.qld.gov.au/resources/publication/local-government/councillor-complaints-review-report-government-response.pdf</w:t>
        </w:r>
      </w:hyperlink>
      <w:r>
        <w:tab/>
      </w:r>
    </w:p>
  </w:footnote>
  <w:footnote w:id="11">
    <w:p w14:paraId="722ADD38" w14:textId="77777777" w:rsidR="0069261D" w:rsidRDefault="0069261D">
      <w:pPr>
        <w:pStyle w:val="FootnoteText"/>
      </w:pPr>
      <w:r>
        <w:rPr>
          <w:rStyle w:val="FootnoteReference"/>
        </w:rPr>
        <w:footnoteRef/>
      </w:r>
      <w:r>
        <w:t xml:space="preserve"> </w:t>
      </w:r>
      <w:hyperlink r:id="rId5" w:history="1">
        <w:r w:rsidRPr="007234A2">
          <w:rPr>
            <w:rStyle w:val="Hyperlink"/>
            <w:sz w:val="20"/>
          </w:rPr>
          <w:t>https://www.dilgp.qld.gov.au/resources/publication/local-government/councillor-complaints-review-report.pdf</w:t>
        </w:r>
      </w:hyperlink>
      <w:r>
        <w:tab/>
      </w:r>
    </w:p>
  </w:footnote>
  <w:footnote w:id="12">
    <w:p w14:paraId="7175A8D3" w14:textId="77777777" w:rsidR="0069261D" w:rsidRPr="00B80DC0" w:rsidRDefault="0069261D">
      <w:pPr>
        <w:pStyle w:val="FootnoteText"/>
      </w:pPr>
      <w:r>
        <w:rPr>
          <w:rStyle w:val="FootnoteReference"/>
        </w:rPr>
        <w:footnoteRef/>
      </w:r>
      <w:r>
        <w:t xml:space="preserve"> </w:t>
      </w:r>
      <w:r>
        <w:rPr>
          <w:lang w:val="en-US"/>
        </w:rPr>
        <w:t>Part 5, Division 6</w:t>
      </w:r>
    </w:p>
  </w:footnote>
  <w:footnote w:id="13">
    <w:p w14:paraId="49DA8DAE" w14:textId="77777777" w:rsidR="0069261D" w:rsidRPr="00757183" w:rsidRDefault="0069261D" w:rsidP="00EE7D3A">
      <w:pPr>
        <w:pStyle w:val="FootnoteText"/>
      </w:pPr>
      <w:r>
        <w:rPr>
          <w:rStyle w:val="FootnoteReference"/>
        </w:rPr>
        <w:footnoteRef/>
      </w:r>
      <w:r>
        <w:t xml:space="preserve"> </w:t>
      </w:r>
      <w:r>
        <w:rPr>
          <w:lang w:val="en-US"/>
        </w:rPr>
        <w:t>Under s 5.68</w:t>
      </w:r>
    </w:p>
  </w:footnote>
  <w:footnote w:id="14">
    <w:p w14:paraId="607A1CC2" w14:textId="77777777" w:rsidR="0069261D" w:rsidRDefault="0069261D">
      <w:pPr>
        <w:pStyle w:val="FootnoteText"/>
      </w:pPr>
      <w:r>
        <w:rPr>
          <w:rStyle w:val="FootnoteReference"/>
        </w:rPr>
        <w:footnoteRef/>
      </w:r>
      <w:r>
        <w:t xml:space="preserve"> Under s 5.69</w:t>
      </w:r>
    </w:p>
  </w:footnote>
  <w:footnote w:id="15">
    <w:p w14:paraId="47AE226E" w14:textId="77777777" w:rsidR="0069261D" w:rsidRDefault="0069261D">
      <w:pPr>
        <w:pStyle w:val="FootnoteText"/>
      </w:pPr>
      <w:r>
        <w:rPr>
          <w:rStyle w:val="FootnoteReference"/>
        </w:rPr>
        <w:footnoteRef/>
      </w:r>
      <w:r>
        <w:t xml:space="preserve"> </w:t>
      </w:r>
      <w:r w:rsidRPr="00F0563B">
        <w:rPr>
          <w:lang w:eastAsia="en-AU"/>
        </w:rPr>
        <w:t>Section 5.36</w:t>
      </w:r>
    </w:p>
  </w:footnote>
  <w:footnote w:id="16">
    <w:p w14:paraId="7E6BBBA3" w14:textId="77777777" w:rsidR="0069261D" w:rsidRDefault="0069261D">
      <w:pPr>
        <w:pStyle w:val="FootnoteText"/>
      </w:pPr>
      <w:r>
        <w:rPr>
          <w:rStyle w:val="FootnoteReference"/>
        </w:rPr>
        <w:footnoteRef/>
      </w:r>
      <w:r>
        <w:t xml:space="preserve"> </w:t>
      </w:r>
      <w:r w:rsidRPr="005A2827">
        <w:rPr>
          <w:lang w:eastAsia="en-AU"/>
        </w:rPr>
        <w:t>Section 5.39(1a)</w:t>
      </w:r>
    </w:p>
  </w:footnote>
  <w:footnote w:id="17">
    <w:p w14:paraId="060A48B7" w14:textId="77777777" w:rsidR="0069261D" w:rsidRDefault="0069261D">
      <w:pPr>
        <w:pStyle w:val="FootnoteText"/>
      </w:pPr>
      <w:r>
        <w:rPr>
          <w:rStyle w:val="FootnoteReference"/>
        </w:rPr>
        <w:footnoteRef/>
      </w:r>
      <w:r>
        <w:t xml:space="preserve"> </w:t>
      </w:r>
      <w:r w:rsidRPr="0022305B">
        <w:rPr>
          <w:lang w:eastAsia="en-AU"/>
        </w:rPr>
        <w:t>Section 5.38</w:t>
      </w:r>
    </w:p>
  </w:footnote>
  <w:footnote w:id="18">
    <w:p w14:paraId="5394488E" w14:textId="77777777" w:rsidR="0069261D" w:rsidRDefault="0069261D" w:rsidP="00A224D0">
      <w:pPr>
        <w:pStyle w:val="FootnoteText"/>
      </w:pPr>
      <w:r>
        <w:rPr>
          <w:rStyle w:val="FootnoteReference"/>
        </w:rPr>
        <w:footnoteRef/>
      </w:r>
      <w:r>
        <w:t xml:space="preserve"> </w:t>
      </w:r>
      <w:r w:rsidRPr="008F5B16">
        <w:t>http://www.localgovernmentreview.nsw.gov.au/documents/LGR/Revitalising%20Local%20Government%20-%20ILGRP%20Final%20Report%20-%20October%202013.pd</w:t>
      </w:r>
      <w:r>
        <w:t>f</w:t>
      </w:r>
    </w:p>
  </w:footnote>
  <w:footnote w:id="19">
    <w:p w14:paraId="2D921605" w14:textId="77777777" w:rsidR="0069261D" w:rsidRDefault="0069261D" w:rsidP="00954473">
      <w:pPr>
        <w:pStyle w:val="FootnoteText"/>
      </w:pPr>
      <w:r>
        <w:rPr>
          <w:rStyle w:val="FootnoteReference"/>
        </w:rPr>
        <w:footnoteRef/>
      </w:r>
      <w:r>
        <w:t xml:space="preserve"> </w:t>
      </w:r>
      <w:r>
        <w:rPr>
          <w:lang w:eastAsia="en-AU"/>
        </w:rPr>
        <w:t>section 5.74</w:t>
      </w:r>
    </w:p>
  </w:footnote>
  <w:footnote w:id="20">
    <w:p w14:paraId="5582EE89" w14:textId="77777777" w:rsidR="0069261D" w:rsidRDefault="0069261D">
      <w:pPr>
        <w:pStyle w:val="FootnoteText"/>
      </w:pPr>
      <w:r>
        <w:rPr>
          <w:rStyle w:val="FootnoteReference"/>
        </w:rPr>
        <w:footnoteRef/>
      </w:r>
      <w:r>
        <w:t xml:space="preserve"> </w:t>
      </w:r>
      <w:r w:rsidRPr="0047431A">
        <w:t>section 5.37 of the Act</w:t>
      </w:r>
      <w:r>
        <w:t>.</w:t>
      </w:r>
    </w:p>
  </w:footnote>
  <w:footnote w:id="21">
    <w:p w14:paraId="1B05E70C" w14:textId="77777777" w:rsidR="0069261D" w:rsidRDefault="0069261D" w:rsidP="0047431A">
      <w:r>
        <w:rPr>
          <w:rStyle w:val="FootnoteReference"/>
        </w:rPr>
        <w:footnoteRef/>
      </w:r>
      <w:r>
        <w:t xml:space="preserve"> </w:t>
      </w:r>
      <w:r w:rsidRPr="009318EF">
        <w:rPr>
          <w:sz w:val="20"/>
          <w:szCs w:val="20"/>
        </w:rPr>
        <w:t>Local governments have also queried whether the council is required to be informed of a decision to renew the contracts of senior employees.</w:t>
      </w:r>
      <w:r>
        <w:t xml:space="preserve"> </w:t>
      </w:r>
    </w:p>
    <w:p w14:paraId="4C7D72B4" w14:textId="77777777" w:rsidR="0069261D" w:rsidRDefault="0069261D" w:rsidP="0047431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8E315" w14:textId="77777777" w:rsidR="0069261D" w:rsidRDefault="0069261D" w:rsidP="00B15ED1">
    <w:pPr>
      <w:pStyle w:val="LogoForm"/>
      <w:spacing w:before="360" w:after="600"/>
    </w:pPr>
    <w:r>
      <w:rPr>
        <w:noProof/>
        <w:lang w:eastAsia="en-AU"/>
      </w:rPr>
      <w:drawing>
        <wp:anchor distT="0" distB="0" distL="114300" distR="114300" simplePos="0" relativeHeight="251658241" behindDoc="1" locked="0" layoutInCell="1" allowOverlap="1" wp14:anchorId="7CFC89F2" wp14:editId="1ADBB846">
          <wp:simplePos x="0" y="0"/>
          <wp:positionH relativeFrom="column">
            <wp:posOffset>3552190</wp:posOffset>
          </wp:positionH>
          <wp:positionV relativeFrom="paragraph">
            <wp:posOffset>-212090</wp:posOffset>
          </wp:positionV>
          <wp:extent cx="2314575" cy="1173979"/>
          <wp:effectExtent l="0" t="0" r="0" b="7620"/>
          <wp:wrapNone/>
          <wp:docPr id="4" name="Picture 4" descr="Local Government Act 1995 review. Agile, smart and inclusive." title="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G_ASI_Triangle_Text_speciall.jpg"/>
                  <pic:cNvPicPr/>
                </pic:nvPicPr>
                <pic:blipFill>
                  <a:blip r:embed="rId1">
                    <a:extLst>
                      <a:ext uri="{28A0092B-C50C-407E-A947-70E740481C1C}">
                        <a14:useLocalDpi xmlns:a14="http://schemas.microsoft.com/office/drawing/2010/main" val="0"/>
                      </a:ext>
                    </a:extLst>
                  </a:blip>
                  <a:stretch>
                    <a:fillRect/>
                  </a:stretch>
                </pic:blipFill>
                <pic:spPr>
                  <a:xfrm>
                    <a:off x="0" y="0"/>
                    <a:ext cx="2314575" cy="1173979"/>
                  </a:xfrm>
                  <a:prstGeom prst="rect">
                    <a:avLst/>
                  </a:prstGeom>
                </pic:spPr>
              </pic:pic>
            </a:graphicData>
          </a:graphic>
          <wp14:sizeRelH relativeFrom="page">
            <wp14:pctWidth>0</wp14:pctWidth>
          </wp14:sizeRelH>
          <wp14:sizeRelV relativeFrom="page">
            <wp14:pctHeight>0</wp14:pctHeight>
          </wp14:sizeRelV>
        </wp:anchor>
      </w:drawing>
    </w:r>
    <w:r w:rsidRPr="005F3803">
      <w:rPr>
        <w:rFonts w:ascii="Calibri" w:hAnsi="Calibri"/>
        <w:noProof/>
        <w:color w:val="2D2E2F"/>
        <w:sz w:val="22"/>
        <w:lang w:eastAsia="en-AU"/>
      </w:rPr>
      <w:drawing>
        <wp:anchor distT="0" distB="0" distL="114300" distR="114300" simplePos="0" relativeHeight="251658240" behindDoc="0" locked="0" layoutInCell="1" allowOverlap="1" wp14:anchorId="1692949D" wp14:editId="105C0A81">
          <wp:simplePos x="0" y="0"/>
          <wp:positionH relativeFrom="column">
            <wp:posOffset>-67945</wp:posOffset>
          </wp:positionH>
          <wp:positionV relativeFrom="paragraph">
            <wp:posOffset>-69215</wp:posOffset>
          </wp:positionV>
          <wp:extent cx="2880000" cy="932400"/>
          <wp:effectExtent l="0" t="0" r="0" b="1270"/>
          <wp:wrapSquare wrapText="bothSides"/>
          <wp:docPr id="6" name="Picture 6" descr="Department of Local Government, Sport and Cultural Industries  ( DLGSC ) logo" title="Department of Local Government, Sport and Cultural Industries  ( DLGSC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GSCI Crest Long Colour - cropped.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2880000" cy="93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7ADE64" w14:textId="4721A6CD" w:rsidR="0069261D" w:rsidRDefault="006926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0AF"/>
    <w:multiLevelType w:val="hybridMultilevel"/>
    <w:tmpl w:val="1AF6A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B001D7"/>
    <w:multiLevelType w:val="hybridMultilevel"/>
    <w:tmpl w:val="97DAFF1A"/>
    <w:lvl w:ilvl="0" w:tplc="0C090017">
      <w:start w:val="1"/>
      <w:numFmt w:val="lowerLetter"/>
      <w:lvlText w:val="%1)"/>
      <w:lvlJc w:val="left"/>
      <w:pPr>
        <w:ind w:left="1568" w:hanging="6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2" w15:restartNumberingAfterBreak="0">
    <w:nsid w:val="01280CFC"/>
    <w:multiLevelType w:val="hybridMultilevel"/>
    <w:tmpl w:val="83049D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12D4BDC"/>
    <w:multiLevelType w:val="hybridMultilevel"/>
    <w:tmpl w:val="1950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19F5838"/>
    <w:multiLevelType w:val="hybridMultilevel"/>
    <w:tmpl w:val="68C4B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3A2AEF"/>
    <w:multiLevelType w:val="multilevel"/>
    <w:tmpl w:val="EBBE8830"/>
    <w:lvl w:ilvl="0">
      <w:start w:val="5"/>
      <w:numFmt w:val="decimal"/>
      <w:lvlText w:val="%1"/>
      <w:lvlJc w:val="left"/>
      <w:pPr>
        <w:ind w:left="450" w:hanging="450"/>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342196D"/>
    <w:multiLevelType w:val="hybridMultilevel"/>
    <w:tmpl w:val="38D23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36747F2"/>
    <w:multiLevelType w:val="hybridMultilevel"/>
    <w:tmpl w:val="F94C83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4335499"/>
    <w:multiLevelType w:val="hybridMultilevel"/>
    <w:tmpl w:val="4CC6C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800CEE"/>
    <w:multiLevelType w:val="hybridMultilevel"/>
    <w:tmpl w:val="5BCAABBA"/>
    <w:lvl w:ilvl="0" w:tplc="6FEC3CE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6BD37C5"/>
    <w:multiLevelType w:val="hybridMultilevel"/>
    <w:tmpl w:val="62DE53F2"/>
    <w:lvl w:ilvl="0" w:tplc="212A9B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E508B1"/>
    <w:multiLevelType w:val="hybridMultilevel"/>
    <w:tmpl w:val="54162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EC1CCD"/>
    <w:multiLevelType w:val="hybridMultilevel"/>
    <w:tmpl w:val="12BC0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9D0237"/>
    <w:multiLevelType w:val="hybridMultilevel"/>
    <w:tmpl w:val="32E6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C5721A"/>
    <w:multiLevelType w:val="hybridMultilevel"/>
    <w:tmpl w:val="6052C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42FE5"/>
    <w:multiLevelType w:val="hybridMultilevel"/>
    <w:tmpl w:val="6D109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E044B3"/>
    <w:multiLevelType w:val="hybridMultilevel"/>
    <w:tmpl w:val="6FDA8F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0F13079"/>
    <w:multiLevelType w:val="hybridMultilevel"/>
    <w:tmpl w:val="CCD47DC2"/>
    <w:lvl w:ilvl="0" w:tplc="0E36B134">
      <w:start w:val="1"/>
      <w:numFmt w:val="lowerLetter"/>
      <w:lvlText w:val="(%1)"/>
      <w:lvlJc w:val="left"/>
      <w:pPr>
        <w:ind w:left="530" w:hanging="360"/>
      </w:pPr>
      <w:rPr>
        <w:rFonts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8" w15:restartNumberingAfterBreak="0">
    <w:nsid w:val="11633B83"/>
    <w:multiLevelType w:val="hybridMultilevel"/>
    <w:tmpl w:val="B2086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D97793"/>
    <w:multiLevelType w:val="hybridMultilevel"/>
    <w:tmpl w:val="A85C5614"/>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2AE5E5D"/>
    <w:multiLevelType w:val="hybridMultilevel"/>
    <w:tmpl w:val="CC2C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DE0714"/>
    <w:multiLevelType w:val="hybridMultilevel"/>
    <w:tmpl w:val="9A66E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337515C"/>
    <w:multiLevelType w:val="hybridMultilevel"/>
    <w:tmpl w:val="F31E6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4577BA3"/>
    <w:multiLevelType w:val="hybridMultilevel"/>
    <w:tmpl w:val="01B49B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149422C7"/>
    <w:multiLevelType w:val="hybridMultilevel"/>
    <w:tmpl w:val="68C267E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14C20B8C"/>
    <w:multiLevelType w:val="hybridMultilevel"/>
    <w:tmpl w:val="77489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5871339"/>
    <w:multiLevelType w:val="hybridMultilevel"/>
    <w:tmpl w:val="56CEA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7682C6C"/>
    <w:multiLevelType w:val="multilevel"/>
    <w:tmpl w:val="C47C5E0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17B24A6B"/>
    <w:multiLevelType w:val="hybridMultilevel"/>
    <w:tmpl w:val="43D21F4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29" w15:restartNumberingAfterBreak="0">
    <w:nsid w:val="1A6433B4"/>
    <w:multiLevelType w:val="hybridMultilevel"/>
    <w:tmpl w:val="664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A765D7D"/>
    <w:multiLevelType w:val="hybridMultilevel"/>
    <w:tmpl w:val="B6BA9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AC11A61"/>
    <w:multiLevelType w:val="multilevel"/>
    <w:tmpl w:val="4DB45E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1C9823AC"/>
    <w:multiLevelType w:val="hybridMultilevel"/>
    <w:tmpl w:val="802A4C8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1DBF53F4"/>
    <w:multiLevelType w:val="hybridMultilevel"/>
    <w:tmpl w:val="0884E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DC42AEE"/>
    <w:multiLevelType w:val="hybridMultilevel"/>
    <w:tmpl w:val="229CF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1EF302B4"/>
    <w:multiLevelType w:val="hybridMultilevel"/>
    <w:tmpl w:val="9196ABBE"/>
    <w:lvl w:ilvl="0" w:tplc="49CC84FA">
      <w:start w:val="2"/>
      <w:numFmt w:val="bullet"/>
      <w:lvlText w:val=""/>
      <w:lvlJc w:val="left"/>
      <w:pPr>
        <w:ind w:left="360" w:hanging="360"/>
      </w:pPr>
      <w:rPr>
        <w:rFonts w:ascii="Symbol" w:eastAsiaTheme="minorHAnsi" w:hAnsi="Symbol" w:cs="Arial" w:hint="default"/>
      </w:rPr>
    </w:lvl>
    <w:lvl w:ilvl="1" w:tplc="424E3AB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1F507C47"/>
    <w:multiLevelType w:val="multilevel"/>
    <w:tmpl w:val="5E9024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203B1E12"/>
    <w:multiLevelType w:val="hybridMultilevel"/>
    <w:tmpl w:val="87E4C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11607F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1284096"/>
    <w:multiLevelType w:val="hybridMultilevel"/>
    <w:tmpl w:val="33F0EB24"/>
    <w:lvl w:ilvl="0" w:tplc="7A544F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218241F"/>
    <w:multiLevelType w:val="hybridMultilevel"/>
    <w:tmpl w:val="DC646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4132A4C"/>
    <w:multiLevelType w:val="hybridMultilevel"/>
    <w:tmpl w:val="BF3CE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4946B95"/>
    <w:multiLevelType w:val="hybridMultilevel"/>
    <w:tmpl w:val="A85C5614"/>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6391E39"/>
    <w:multiLevelType w:val="hybridMultilevel"/>
    <w:tmpl w:val="34B0B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6512FC4"/>
    <w:multiLevelType w:val="hybridMultilevel"/>
    <w:tmpl w:val="58B0C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67B6EE6"/>
    <w:multiLevelType w:val="hybridMultilevel"/>
    <w:tmpl w:val="8A206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284F0E51"/>
    <w:multiLevelType w:val="hybridMultilevel"/>
    <w:tmpl w:val="EBAE1F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7" w15:restartNumberingAfterBreak="0">
    <w:nsid w:val="290965EF"/>
    <w:multiLevelType w:val="hybridMultilevel"/>
    <w:tmpl w:val="8048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98A5CB4"/>
    <w:multiLevelType w:val="hybridMultilevel"/>
    <w:tmpl w:val="475A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9B07DE5"/>
    <w:multiLevelType w:val="hybridMultilevel"/>
    <w:tmpl w:val="03D20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2BCE29DF"/>
    <w:multiLevelType w:val="hybridMultilevel"/>
    <w:tmpl w:val="DF7AD652"/>
    <w:lvl w:ilvl="0" w:tplc="CBD8B3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BE07A10"/>
    <w:multiLevelType w:val="hybridMultilevel"/>
    <w:tmpl w:val="1EE6E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C9F1249"/>
    <w:multiLevelType w:val="hybridMultilevel"/>
    <w:tmpl w:val="2DFA19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2D472D18"/>
    <w:multiLevelType w:val="hybridMultilevel"/>
    <w:tmpl w:val="3BC69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2D6C5241"/>
    <w:multiLevelType w:val="hybridMultilevel"/>
    <w:tmpl w:val="8336536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2DF83D04"/>
    <w:multiLevelType w:val="multilevel"/>
    <w:tmpl w:val="FDA68B3C"/>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15:restartNumberingAfterBreak="0">
    <w:nsid w:val="2E0F2F35"/>
    <w:multiLevelType w:val="hybridMultilevel"/>
    <w:tmpl w:val="A120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2FB32FB1"/>
    <w:multiLevelType w:val="hybridMultilevel"/>
    <w:tmpl w:val="CB0C3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0335996"/>
    <w:multiLevelType w:val="hybridMultilevel"/>
    <w:tmpl w:val="0E78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05143E9"/>
    <w:multiLevelType w:val="hybridMultilevel"/>
    <w:tmpl w:val="F230A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353"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46C5FCC"/>
    <w:multiLevelType w:val="multilevel"/>
    <w:tmpl w:val="5E9024A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1" w15:restartNumberingAfterBreak="0">
    <w:nsid w:val="34B07747"/>
    <w:multiLevelType w:val="hybridMultilevel"/>
    <w:tmpl w:val="48682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7671FFE"/>
    <w:multiLevelType w:val="hybridMultilevel"/>
    <w:tmpl w:val="3304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849786F"/>
    <w:multiLevelType w:val="hybridMultilevel"/>
    <w:tmpl w:val="C186CB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389907EA"/>
    <w:multiLevelType w:val="hybridMultilevel"/>
    <w:tmpl w:val="72AA4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396F1561"/>
    <w:multiLevelType w:val="hybridMultilevel"/>
    <w:tmpl w:val="B8285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A115DD5"/>
    <w:multiLevelType w:val="hybridMultilevel"/>
    <w:tmpl w:val="2A961808"/>
    <w:lvl w:ilvl="0" w:tplc="D9FE79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3A18638D"/>
    <w:multiLevelType w:val="hybridMultilevel"/>
    <w:tmpl w:val="AC027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A3D05E1"/>
    <w:multiLevelType w:val="hybridMultilevel"/>
    <w:tmpl w:val="A85C5614"/>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A9641D6"/>
    <w:multiLevelType w:val="hybridMultilevel"/>
    <w:tmpl w:val="FC8E79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AB03502"/>
    <w:multiLevelType w:val="hybridMultilevel"/>
    <w:tmpl w:val="7B30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3B0E4807"/>
    <w:multiLevelType w:val="hybridMultilevel"/>
    <w:tmpl w:val="05FE3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3CC522D3"/>
    <w:multiLevelType w:val="hybridMultilevel"/>
    <w:tmpl w:val="73805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3CF304C4"/>
    <w:multiLevelType w:val="hybridMultilevel"/>
    <w:tmpl w:val="3F029C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3D912DD0"/>
    <w:multiLevelType w:val="hybridMultilevel"/>
    <w:tmpl w:val="6974FB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3E131587"/>
    <w:multiLevelType w:val="hybridMultilevel"/>
    <w:tmpl w:val="43D48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3F6B1D13"/>
    <w:multiLevelType w:val="hybridMultilevel"/>
    <w:tmpl w:val="45A097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7" w15:restartNumberingAfterBreak="0">
    <w:nsid w:val="408C0A79"/>
    <w:multiLevelType w:val="hybridMultilevel"/>
    <w:tmpl w:val="5F7EFA08"/>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40942D35"/>
    <w:multiLevelType w:val="hybridMultilevel"/>
    <w:tmpl w:val="FA18F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2305D7B"/>
    <w:multiLevelType w:val="hybridMultilevel"/>
    <w:tmpl w:val="E0C46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2DE02AA"/>
    <w:multiLevelType w:val="hybridMultilevel"/>
    <w:tmpl w:val="E840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2EB7CBF"/>
    <w:multiLevelType w:val="hybridMultilevel"/>
    <w:tmpl w:val="D9C6002E"/>
    <w:lvl w:ilvl="0" w:tplc="8BC462C4">
      <w:start w:val="1"/>
      <w:numFmt w:val="decimal"/>
      <w:lvlText w:val="%1)"/>
      <w:lvlJc w:val="left"/>
      <w:pPr>
        <w:ind w:left="1030" w:hanging="604"/>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3AA1649"/>
    <w:multiLevelType w:val="hybridMultilevel"/>
    <w:tmpl w:val="4C40C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59E7EC7"/>
    <w:multiLevelType w:val="hybridMultilevel"/>
    <w:tmpl w:val="B41AF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83444F1"/>
    <w:multiLevelType w:val="hybridMultilevel"/>
    <w:tmpl w:val="0EA4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97552F9"/>
    <w:multiLevelType w:val="hybridMultilevel"/>
    <w:tmpl w:val="C934557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86" w15:restartNumberingAfterBreak="0">
    <w:nsid w:val="4B6D48AD"/>
    <w:multiLevelType w:val="hybridMultilevel"/>
    <w:tmpl w:val="B3045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4DF91848"/>
    <w:multiLevelType w:val="hybridMultilevel"/>
    <w:tmpl w:val="6CF42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4FEF3987"/>
    <w:multiLevelType w:val="hybridMultilevel"/>
    <w:tmpl w:val="49269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FF47BCA"/>
    <w:multiLevelType w:val="hybridMultilevel"/>
    <w:tmpl w:val="AF4C6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1561BCF"/>
    <w:multiLevelType w:val="hybridMultilevel"/>
    <w:tmpl w:val="25AC82A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1" w15:restartNumberingAfterBreak="0">
    <w:nsid w:val="53AD6108"/>
    <w:multiLevelType w:val="hybridMultilevel"/>
    <w:tmpl w:val="70169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4BD21B4"/>
    <w:multiLevelType w:val="hybridMultilevel"/>
    <w:tmpl w:val="5ED4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4FD3390"/>
    <w:multiLevelType w:val="hybridMultilevel"/>
    <w:tmpl w:val="B77453D0"/>
    <w:lvl w:ilvl="0" w:tplc="8BC462C4">
      <w:start w:val="1"/>
      <w:numFmt w:val="decimal"/>
      <w:lvlText w:val="%1)"/>
      <w:lvlJc w:val="left"/>
      <w:pPr>
        <w:ind w:left="1030" w:hanging="604"/>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55F71B8E"/>
    <w:multiLevelType w:val="hybridMultilevel"/>
    <w:tmpl w:val="8BE4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6444226"/>
    <w:multiLevelType w:val="hybridMultilevel"/>
    <w:tmpl w:val="DC880B52"/>
    <w:lvl w:ilvl="0" w:tplc="0C090001">
      <w:start w:val="1"/>
      <w:numFmt w:val="bullet"/>
      <w:lvlText w:val=""/>
      <w:lvlJc w:val="left"/>
      <w:pPr>
        <w:ind w:left="1324" w:hanging="360"/>
      </w:pPr>
      <w:rPr>
        <w:rFonts w:ascii="Symbol" w:hAnsi="Symbol"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96" w15:restartNumberingAfterBreak="0">
    <w:nsid w:val="564719D3"/>
    <w:multiLevelType w:val="hybridMultilevel"/>
    <w:tmpl w:val="BBE2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7AD49BF"/>
    <w:multiLevelType w:val="hybridMultilevel"/>
    <w:tmpl w:val="06263D62"/>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58201667"/>
    <w:multiLevelType w:val="hybridMultilevel"/>
    <w:tmpl w:val="BDB0A0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59CB7CC3"/>
    <w:multiLevelType w:val="hybridMultilevel"/>
    <w:tmpl w:val="112C0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9F670DD"/>
    <w:multiLevelType w:val="hybridMultilevel"/>
    <w:tmpl w:val="F174B9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AEA0F4C"/>
    <w:multiLevelType w:val="hybridMultilevel"/>
    <w:tmpl w:val="F5E4B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BD671CD"/>
    <w:multiLevelType w:val="hybridMultilevel"/>
    <w:tmpl w:val="46382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D6C3BFC"/>
    <w:multiLevelType w:val="hybridMultilevel"/>
    <w:tmpl w:val="01349D42"/>
    <w:lvl w:ilvl="0" w:tplc="8BC462C4">
      <w:start w:val="1"/>
      <w:numFmt w:val="decimal"/>
      <w:lvlText w:val="%1)"/>
      <w:lvlJc w:val="left"/>
      <w:pPr>
        <w:ind w:left="1030" w:hanging="604"/>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5E8860D0"/>
    <w:multiLevelType w:val="hybridMultilevel"/>
    <w:tmpl w:val="97DAFF1A"/>
    <w:lvl w:ilvl="0" w:tplc="0C090017">
      <w:start w:val="1"/>
      <w:numFmt w:val="lowerLetter"/>
      <w:lvlText w:val="%1)"/>
      <w:lvlJc w:val="left"/>
      <w:pPr>
        <w:ind w:left="1568" w:hanging="6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05" w15:restartNumberingAfterBreak="0">
    <w:nsid w:val="60362F8F"/>
    <w:multiLevelType w:val="multilevel"/>
    <w:tmpl w:val="5E9024A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6" w15:restartNumberingAfterBreak="0">
    <w:nsid w:val="60C06EA0"/>
    <w:multiLevelType w:val="multilevel"/>
    <w:tmpl w:val="565EC5EC"/>
    <w:lvl w:ilvl="0">
      <w:start w:val="4"/>
      <w:numFmt w:val="decimal"/>
      <w:lvlText w:val="%1"/>
      <w:lvlJc w:val="left"/>
      <w:pPr>
        <w:ind w:left="450" w:hanging="450"/>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7" w15:restartNumberingAfterBreak="0">
    <w:nsid w:val="62E95AA2"/>
    <w:multiLevelType w:val="hybridMultilevel"/>
    <w:tmpl w:val="9C804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649E5E84"/>
    <w:multiLevelType w:val="hybridMultilevel"/>
    <w:tmpl w:val="01349D42"/>
    <w:lvl w:ilvl="0" w:tplc="8BC462C4">
      <w:start w:val="1"/>
      <w:numFmt w:val="decimal"/>
      <w:lvlText w:val="%1)"/>
      <w:lvlJc w:val="left"/>
      <w:pPr>
        <w:ind w:left="1030" w:hanging="604"/>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656A71F3"/>
    <w:multiLevelType w:val="hybridMultilevel"/>
    <w:tmpl w:val="A852FD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0" w15:restartNumberingAfterBreak="0">
    <w:nsid w:val="661742CE"/>
    <w:multiLevelType w:val="hybridMultilevel"/>
    <w:tmpl w:val="31B2FAB8"/>
    <w:lvl w:ilvl="0" w:tplc="8BC462C4">
      <w:start w:val="1"/>
      <w:numFmt w:val="decimal"/>
      <w:lvlText w:val="%1)"/>
      <w:lvlJc w:val="left"/>
      <w:pPr>
        <w:ind w:left="1030" w:hanging="604"/>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6C60C0F"/>
    <w:multiLevelType w:val="hybridMultilevel"/>
    <w:tmpl w:val="01349D42"/>
    <w:lvl w:ilvl="0" w:tplc="8BC462C4">
      <w:start w:val="1"/>
      <w:numFmt w:val="decimal"/>
      <w:lvlText w:val="%1)"/>
      <w:lvlJc w:val="left"/>
      <w:pPr>
        <w:ind w:left="1030" w:hanging="604"/>
      </w:pPr>
      <w:rPr>
        <w:rFonts w:hint="default"/>
        <w:b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671D014E"/>
    <w:multiLevelType w:val="hybridMultilevel"/>
    <w:tmpl w:val="06263D62"/>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672C4B11"/>
    <w:multiLevelType w:val="multilevel"/>
    <w:tmpl w:val="5E9024A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676131A3"/>
    <w:multiLevelType w:val="hybridMultilevel"/>
    <w:tmpl w:val="07221AE2"/>
    <w:lvl w:ilvl="0" w:tplc="0C090001">
      <w:start w:val="1"/>
      <w:numFmt w:val="bullet"/>
      <w:lvlText w:val=""/>
      <w:lvlJc w:val="left"/>
      <w:pPr>
        <w:ind w:left="792" w:hanging="360"/>
      </w:pPr>
      <w:rPr>
        <w:rFonts w:ascii="Symbol" w:hAnsi="Symbol" w:hint="default"/>
      </w:rPr>
    </w:lvl>
    <w:lvl w:ilvl="1" w:tplc="0C090003" w:tentative="1">
      <w:start w:val="1"/>
      <w:numFmt w:val="bullet"/>
      <w:lvlText w:val="o"/>
      <w:lvlJc w:val="left"/>
      <w:pPr>
        <w:ind w:left="1512" w:hanging="360"/>
      </w:pPr>
      <w:rPr>
        <w:rFonts w:ascii="Courier New" w:hAnsi="Courier New" w:cs="Courier New" w:hint="default"/>
      </w:rPr>
    </w:lvl>
    <w:lvl w:ilvl="2" w:tplc="0C090005" w:tentative="1">
      <w:start w:val="1"/>
      <w:numFmt w:val="bullet"/>
      <w:lvlText w:val=""/>
      <w:lvlJc w:val="left"/>
      <w:pPr>
        <w:ind w:left="2232" w:hanging="360"/>
      </w:pPr>
      <w:rPr>
        <w:rFonts w:ascii="Wingdings" w:hAnsi="Wingdings" w:hint="default"/>
      </w:rPr>
    </w:lvl>
    <w:lvl w:ilvl="3" w:tplc="0C090001" w:tentative="1">
      <w:start w:val="1"/>
      <w:numFmt w:val="bullet"/>
      <w:lvlText w:val=""/>
      <w:lvlJc w:val="left"/>
      <w:pPr>
        <w:ind w:left="2952" w:hanging="360"/>
      </w:pPr>
      <w:rPr>
        <w:rFonts w:ascii="Symbol" w:hAnsi="Symbol" w:hint="default"/>
      </w:rPr>
    </w:lvl>
    <w:lvl w:ilvl="4" w:tplc="0C090003" w:tentative="1">
      <w:start w:val="1"/>
      <w:numFmt w:val="bullet"/>
      <w:lvlText w:val="o"/>
      <w:lvlJc w:val="left"/>
      <w:pPr>
        <w:ind w:left="3672" w:hanging="360"/>
      </w:pPr>
      <w:rPr>
        <w:rFonts w:ascii="Courier New" w:hAnsi="Courier New" w:cs="Courier New" w:hint="default"/>
      </w:rPr>
    </w:lvl>
    <w:lvl w:ilvl="5" w:tplc="0C090005" w:tentative="1">
      <w:start w:val="1"/>
      <w:numFmt w:val="bullet"/>
      <w:lvlText w:val=""/>
      <w:lvlJc w:val="left"/>
      <w:pPr>
        <w:ind w:left="4392" w:hanging="360"/>
      </w:pPr>
      <w:rPr>
        <w:rFonts w:ascii="Wingdings" w:hAnsi="Wingdings" w:hint="default"/>
      </w:rPr>
    </w:lvl>
    <w:lvl w:ilvl="6" w:tplc="0C090001" w:tentative="1">
      <w:start w:val="1"/>
      <w:numFmt w:val="bullet"/>
      <w:lvlText w:val=""/>
      <w:lvlJc w:val="left"/>
      <w:pPr>
        <w:ind w:left="5112" w:hanging="360"/>
      </w:pPr>
      <w:rPr>
        <w:rFonts w:ascii="Symbol" w:hAnsi="Symbol" w:hint="default"/>
      </w:rPr>
    </w:lvl>
    <w:lvl w:ilvl="7" w:tplc="0C090003" w:tentative="1">
      <w:start w:val="1"/>
      <w:numFmt w:val="bullet"/>
      <w:lvlText w:val="o"/>
      <w:lvlJc w:val="left"/>
      <w:pPr>
        <w:ind w:left="5832" w:hanging="360"/>
      </w:pPr>
      <w:rPr>
        <w:rFonts w:ascii="Courier New" w:hAnsi="Courier New" w:cs="Courier New" w:hint="default"/>
      </w:rPr>
    </w:lvl>
    <w:lvl w:ilvl="8" w:tplc="0C090005" w:tentative="1">
      <w:start w:val="1"/>
      <w:numFmt w:val="bullet"/>
      <w:lvlText w:val=""/>
      <w:lvlJc w:val="left"/>
      <w:pPr>
        <w:ind w:left="6552" w:hanging="360"/>
      </w:pPr>
      <w:rPr>
        <w:rFonts w:ascii="Wingdings" w:hAnsi="Wingdings" w:hint="default"/>
      </w:rPr>
    </w:lvl>
  </w:abstractNum>
  <w:abstractNum w:abstractNumId="115" w15:restartNumberingAfterBreak="0">
    <w:nsid w:val="67F612BD"/>
    <w:multiLevelType w:val="hybridMultilevel"/>
    <w:tmpl w:val="5642A608"/>
    <w:lvl w:ilvl="0" w:tplc="A308F4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8E85B69"/>
    <w:multiLevelType w:val="multilevel"/>
    <w:tmpl w:val="36D4C8FA"/>
    <w:lvl w:ilvl="0">
      <w:start w:val="10"/>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7" w15:restartNumberingAfterBreak="0">
    <w:nsid w:val="6A2E4567"/>
    <w:multiLevelType w:val="multilevel"/>
    <w:tmpl w:val="C47C5E0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6A436CC7"/>
    <w:multiLevelType w:val="hybridMultilevel"/>
    <w:tmpl w:val="B89A9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B6A1CB9"/>
    <w:multiLevelType w:val="multilevel"/>
    <w:tmpl w:val="1DC201FC"/>
    <w:lvl w:ilvl="0">
      <w:start w:val="10"/>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0" w15:restartNumberingAfterBreak="0">
    <w:nsid w:val="6C0E33C7"/>
    <w:multiLevelType w:val="hybridMultilevel"/>
    <w:tmpl w:val="42BC9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C346792"/>
    <w:multiLevelType w:val="hybridMultilevel"/>
    <w:tmpl w:val="5646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C763D64"/>
    <w:multiLevelType w:val="hybridMultilevel"/>
    <w:tmpl w:val="E1787AEE"/>
    <w:lvl w:ilvl="0" w:tplc="6FEC3C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3" w15:restartNumberingAfterBreak="0">
    <w:nsid w:val="6E086831"/>
    <w:multiLevelType w:val="hybridMultilevel"/>
    <w:tmpl w:val="EFE8531A"/>
    <w:lvl w:ilvl="0" w:tplc="464400B8">
      <w:start w:val="1"/>
      <w:numFmt w:val="decimal"/>
      <w:lvlText w:val="%1)"/>
      <w:lvlJc w:val="left"/>
      <w:pPr>
        <w:ind w:left="964" w:hanging="604"/>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6EEF259A"/>
    <w:multiLevelType w:val="hybridMultilevel"/>
    <w:tmpl w:val="7C98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00948B1"/>
    <w:multiLevelType w:val="hybridMultilevel"/>
    <w:tmpl w:val="C0EEF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0887340"/>
    <w:multiLevelType w:val="hybridMultilevel"/>
    <w:tmpl w:val="6D6682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7" w15:restartNumberingAfterBreak="0">
    <w:nsid w:val="72810B87"/>
    <w:multiLevelType w:val="hybridMultilevel"/>
    <w:tmpl w:val="72AA4D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3A13343"/>
    <w:multiLevelType w:val="hybridMultilevel"/>
    <w:tmpl w:val="BCE06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743F595E"/>
    <w:multiLevelType w:val="hybridMultilevel"/>
    <w:tmpl w:val="52CE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48A2E88"/>
    <w:multiLevelType w:val="hybridMultilevel"/>
    <w:tmpl w:val="A7586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4EC60CC"/>
    <w:multiLevelType w:val="hybridMultilevel"/>
    <w:tmpl w:val="79F63146"/>
    <w:lvl w:ilvl="0" w:tplc="0C090001">
      <w:start w:val="1"/>
      <w:numFmt w:val="bullet"/>
      <w:lvlText w:val=""/>
      <w:lvlJc w:val="left"/>
      <w:pPr>
        <w:ind w:left="530" w:hanging="360"/>
      </w:pPr>
      <w:rPr>
        <w:rFonts w:ascii="Symbol" w:hAnsi="Symbol"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132" w15:restartNumberingAfterBreak="0">
    <w:nsid w:val="75977832"/>
    <w:multiLevelType w:val="hybridMultilevel"/>
    <w:tmpl w:val="D9088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7F7155E"/>
    <w:multiLevelType w:val="hybridMultilevel"/>
    <w:tmpl w:val="D758D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B3273AC"/>
    <w:multiLevelType w:val="hybridMultilevel"/>
    <w:tmpl w:val="AD16A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B5133A2"/>
    <w:multiLevelType w:val="multilevel"/>
    <w:tmpl w:val="36D4C8FA"/>
    <w:lvl w:ilvl="0">
      <w:start w:val="1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6" w15:restartNumberingAfterBreak="0">
    <w:nsid w:val="7BAD013E"/>
    <w:multiLevelType w:val="hybridMultilevel"/>
    <w:tmpl w:val="A7284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D9D55EF"/>
    <w:multiLevelType w:val="hybridMultilevel"/>
    <w:tmpl w:val="3AD0A5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8" w15:restartNumberingAfterBreak="0">
    <w:nsid w:val="7FC87DCB"/>
    <w:multiLevelType w:val="hybridMultilevel"/>
    <w:tmpl w:val="49548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15:restartNumberingAfterBreak="0">
    <w:nsid w:val="7FF24169"/>
    <w:multiLevelType w:val="hybridMultilevel"/>
    <w:tmpl w:val="26005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1"/>
  </w:num>
  <w:num w:numId="2">
    <w:abstractNumId w:val="86"/>
  </w:num>
  <w:num w:numId="3">
    <w:abstractNumId w:val="43"/>
  </w:num>
  <w:num w:numId="4">
    <w:abstractNumId w:val="84"/>
  </w:num>
  <w:num w:numId="5">
    <w:abstractNumId w:val="27"/>
  </w:num>
  <w:num w:numId="6">
    <w:abstractNumId w:val="83"/>
  </w:num>
  <w:num w:numId="7">
    <w:abstractNumId w:val="69"/>
  </w:num>
  <w:num w:numId="8">
    <w:abstractNumId w:val="139"/>
  </w:num>
  <w:num w:numId="9">
    <w:abstractNumId w:val="30"/>
  </w:num>
  <w:num w:numId="10">
    <w:abstractNumId w:val="88"/>
  </w:num>
  <w:num w:numId="11">
    <w:abstractNumId w:val="121"/>
  </w:num>
  <w:num w:numId="12">
    <w:abstractNumId w:val="70"/>
  </w:num>
  <w:num w:numId="13">
    <w:abstractNumId w:val="18"/>
  </w:num>
  <w:num w:numId="14">
    <w:abstractNumId w:val="80"/>
  </w:num>
  <w:num w:numId="15">
    <w:abstractNumId w:val="61"/>
  </w:num>
  <w:num w:numId="16">
    <w:abstractNumId w:val="54"/>
  </w:num>
  <w:num w:numId="17">
    <w:abstractNumId w:val="24"/>
  </w:num>
  <w:num w:numId="18">
    <w:abstractNumId w:val="92"/>
  </w:num>
  <w:num w:numId="19">
    <w:abstractNumId w:val="81"/>
  </w:num>
  <w:num w:numId="20">
    <w:abstractNumId w:val="0"/>
  </w:num>
  <w:num w:numId="21">
    <w:abstractNumId w:val="109"/>
  </w:num>
  <w:num w:numId="22">
    <w:abstractNumId w:val="62"/>
  </w:num>
  <w:num w:numId="23">
    <w:abstractNumId w:val="131"/>
  </w:num>
  <w:num w:numId="24">
    <w:abstractNumId w:val="15"/>
  </w:num>
  <w:num w:numId="25">
    <w:abstractNumId w:val="48"/>
  </w:num>
  <w:num w:numId="26">
    <w:abstractNumId w:val="44"/>
  </w:num>
  <w:num w:numId="27">
    <w:abstractNumId w:val="120"/>
  </w:num>
  <w:num w:numId="28">
    <w:abstractNumId w:val="138"/>
  </w:num>
  <w:num w:numId="29">
    <w:abstractNumId w:val="78"/>
  </w:num>
  <w:num w:numId="30">
    <w:abstractNumId w:val="60"/>
  </w:num>
  <w:num w:numId="31">
    <w:abstractNumId w:val="17"/>
  </w:num>
  <w:num w:numId="32">
    <w:abstractNumId w:val="12"/>
  </w:num>
  <w:num w:numId="33">
    <w:abstractNumId w:val="126"/>
  </w:num>
  <w:num w:numId="34">
    <w:abstractNumId w:val="87"/>
  </w:num>
  <w:num w:numId="35">
    <w:abstractNumId w:val="16"/>
  </w:num>
  <w:num w:numId="36">
    <w:abstractNumId w:val="133"/>
  </w:num>
  <w:num w:numId="37">
    <w:abstractNumId w:val="72"/>
  </w:num>
  <w:num w:numId="38">
    <w:abstractNumId w:val="56"/>
  </w:num>
  <w:num w:numId="39">
    <w:abstractNumId w:val="128"/>
  </w:num>
  <w:num w:numId="40">
    <w:abstractNumId w:val="2"/>
  </w:num>
  <w:num w:numId="41">
    <w:abstractNumId w:val="63"/>
  </w:num>
  <w:num w:numId="42">
    <w:abstractNumId w:val="73"/>
  </w:num>
  <w:num w:numId="43">
    <w:abstractNumId w:val="59"/>
  </w:num>
  <w:num w:numId="44">
    <w:abstractNumId w:val="76"/>
  </w:num>
  <w:num w:numId="45">
    <w:abstractNumId w:val="45"/>
  </w:num>
  <w:num w:numId="46">
    <w:abstractNumId w:val="137"/>
  </w:num>
  <w:num w:numId="47">
    <w:abstractNumId w:val="136"/>
  </w:num>
  <w:num w:numId="48">
    <w:abstractNumId w:val="100"/>
  </w:num>
  <w:num w:numId="49">
    <w:abstractNumId w:val="52"/>
  </w:num>
  <w:num w:numId="50">
    <w:abstractNumId w:val="130"/>
  </w:num>
  <w:num w:numId="51">
    <w:abstractNumId w:val="85"/>
  </w:num>
  <w:num w:numId="52">
    <w:abstractNumId w:val="74"/>
  </w:num>
  <w:num w:numId="53">
    <w:abstractNumId w:val="37"/>
  </w:num>
  <w:num w:numId="54">
    <w:abstractNumId w:val="34"/>
  </w:num>
  <w:num w:numId="55">
    <w:abstractNumId w:val="7"/>
  </w:num>
  <w:num w:numId="56">
    <w:abstractNumId w:val="40"/>
  </w:num>
  <w:num w:numId="57">
    <w:abstractNumId w:val="75"/>
  </w:num>
  <w:num w:numId="58">
    <w:abstractNumId w:val="99"/>
  </w:num>
  <w:num w:numId="59">
    <w:abstractNumId w:val="90"/>
  </w:num>
  <w:num w:numId="60">
    <w:abstractNumId w:val="32"/>
  </w:num>
  <w:num w:numId="61">
    <w:abstractNumId w:val="6"/>
  </w:num>
  <w:num w:numId="62">
    <w:abstractNumId w:val="26"/>
  </w:num>
  <w:num w:numId="63">
    <w:abstractNumId w:val="132"/>
  </w:num>
  <w:num w:numId="64">
    <w:abstractNumId w:val="94"/>
  </w:num>
  <w:num w:numId="65">
    <w:abstractNumId w:val="31"/>
  </w:num>
  <w:num w:numId="66">
    <w:abstractNumId w:val="66"/>
  </w:num>
  <w:num w:numId="67">
    <w:abstractNumId w:val="51"/>
  </w:num>
  <w:num w:numId="68">
    <w:abstractNumId w:val="115"/>
  </w:num>
  <w:num w:numId="69">
    <w:abstractNumId w:val="122"/>
  </w:num>
  <w:num w:numId="70">
    <w:abstractNumId w:val="20"/>
  </w:num>
  <w:num w:numId="71">
    <w:abstractNumId w:val="33"/>
  </w:num>
  <w:num w:numId="72">
    <w:abstractNumId w:val="8"/>
  </w:num>
  <w:num w:numId="73">
    <w:abstractNumId w:val="9"/>
  </w:num>
  <w:num w:numId="74">
    <w:abstractNumId w:val="58"/>
  </w:num>
  <w:num w:numId="75">
    <w:abstractNumId w:val="50"/>
  </w:num>
  <w:num w:numId="76">
    <w:abstractNumId w:val="35"/>
  </w:num>
  <w:num w:numId="77">
    <w:abstractNumId w:val="119"/>
  </w:num>
  <w:num w:numId="78">
    <w:abstractNumId w:val="46"/>
  </w:num>
  <w:num w:numId="79">
    <w:abstractNumId w:val="23"/>
  </w:num>
  <w:num w:numId="80">
    <w:abstractNumId w:val="107"/>
  </w:num>
  <w:num w:numId="81">
    <w:abstractNumId w:val="125"/>
  </w:num>
  <w:num w:numId="82">
    <w:abstractNumId w:val="49"/>
  </w:num>
  <w:num w:numId="83">
    <w:abstractNumId w:val="21"/>
  </w:num>
  <w:num w:numId="84">
    <w:abstractNumId w:val="106"/>
  </w:num>
  <w:num w:numId="85">
    <w:abstractNumId w:val="36"/>
  </w:num>
  <w:num w:numId="86">
    <w:abstractNumId w:val="5"/>
  </w:num>
  <w:num w:numId="87">
    <w:abstractNumId w:val="113"/>
  </w:num>
  <w:num w:numId="88">
    <w:abstractNumId w:val="105"/>
  </w:num>
  <w:num w:numId="89">
    <w:abstractNumId w:val="55"/>
  </w:num>
  <w:num w:numId="90">
    <w:abstractNumId w:val="118"/>
  </w:num>
  <w:num w:numId="91">
    <w:abstractNumId w:val="96"/>
  </w:num>
  <w:num w:numId="92">
    <w:abstractNumId w:val="129"/>
  </w:num>
  <w:num w:numId="93">
    <w:abstractNumId w:val="65"/>
  </w:num>
  <w:num w:numId="94">
    <w:abstractNumId w:val="29"/>
  </w:num>
  <w:num w:numId="95">
    <w:abstractNumId w:val="22"/>
  </w:num>
  <w:num w:numId="96">
    <w:abstractNumId w:val="53"/>
  </w:num>
  <w:num w:numId="97">
    <w:abstractNumId w:val="95"/>
  </w:num>
  <w:num w:numId="98">
    <w:abstractNumId w:val="25"/>
  </w:num>
  <w:num w:numId="99">
    <w:abstractNumId w:val="104"/>
  </w:num>
  <w:num w:numId="100">
    <w:abstractNumId w:val="116"/>
  </w:num>
  <w:num w:numId="101">
    <w:abstractNumId w:val="117"/>
  </w:num>
  <w:num w:numId="102">
    <w:abstractNumId w:val="135"/>
  </w:num>
  <w:num w:numId="103">
    <w:abstractNumId w:val="68"/>
  </w:num>
  <w:num w:numId="104">
    <w:abstractNumId w:val="114"/>
  </w:num>
  <w:num w:numId="105">
    <w:abstractNumId w:val="28"/>
  </w:num>
  <w:num w:numId="106">
    <w:abstractNumId w:val="71"/>
  </w:num>
  <w:num w:numId="107">
    <w:abstractNumId w:val="101"/>
  </w:num>
  <w:num w:numId="108">
    <w:abstractNumId w:val="19"/>
  </w:num>
  <w:num w:numId="109">
    <w:abstractNumId w:val="42"/>
  </w:num>
  <w:num w:numId="110">
    <w:abstractNumId w:val="10"/>
  </w:num>
  <w:num w:numId="111">
    <w:abstractNumId w:val="124"/>
  </w:num>
  <w:num w:numId="112">
    <w:abstractNumId w:val="41"/>
  </w:num>
  <w:num w:numId="113">
    <w:abstractNumId w:val="3"/>
  </w:num>
  <w:num w:numId="114">
    <w:abstractNumId w:val="39"/>
  </w:num>
  <w:num w:numId="115">
    <w:abstractNumId w:val="112"/>
  </w:num>
  <w:num w:numId="116">
    <w:abstractNumId w:val="14"/>
  </w:num>
  <w:num w:numId="117">
    <w:abstractNumId w:val="67"/>
  </w:num>
  <w:num w:numId="118">
    <w:abstractNumId w:val="102"/>
  </w:num>
  <w:num w:numId="119">
    <w:abstractNumId w:val="11"/>
  </w:num>
  <w:num w:numId="120">
    <w:abstractNumId w:val="13"/>
  </w:num>
  <w:num w:numId="121">
    <w:abstractNumId w:val="57"/>
  </w:num>
  <w:num w:numId="122">
    <w:abstractNumId w:val="82"/>
  </w:num>
  <w:num w:numId="123">
    <w:abstractNumId w:val="89"/>
  </w:num>
  <w:num w:numId="124">
    <w:abstractNumId w:val="134"/>
  </w:num>
  <w:num w:numId="125">
    <w:abstractNumId w:val="4"/>
  </w:num>
  <w:num w:numId="126">
    <w:abstractNumId w:val="79"/>
  </w:num>
  <w:num w:numId="127">
    <w:abstractNumId w:val="47"/>
  </w:num>
  <w:num w:numId="128">
    <w:abstractNumId w:val="97"/>
  </w:num>
  <w:num w:numId="129">
    <w:abstractNumId w:val="77"/>
  </w:num>
  <w:num w:numId="130">
    <w:abstractNumId w:val="123"/>
  </w:num>
  <w:num w:numId="131">
    <w:abstractNumId w:val="98"/>
  </w:num>
  <w:num w:numId="132">
    <w:abstractNumId w:val="38"/>
  </w:num>
  <w:num w:numId="133">
    <w:abstractNumId w:val="127"/>
  </w:num>
  <w:num w:numId="134">
    <w:abstractNumId w:val="64"/>
  </w:num>
  <w:num w:numId="135">
    <w:abstractNumId w:val="108"/>
  </w:num>
  <w:num w:numId="136">
    <w:abstractNumId w:val="110"/>
  </w:num>
  <w:num w:numId="137">
    <w:abstractNumId w:val="93"/>
  </w:num>
  <w:num w:numId="138">
    <w:abstractNumId w:val="111"/>
  </w:num>
  <w:num w:numId="139">
    <w:abstractNumId w:val="103"/>
  </w:num>
  <w:num w:numId="140">
    <w:abstractNumId w:val="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3A"/>
    <w:rsid w:val="000011C1"/>
    <w:rsid w:val="0000386E"/>
    <w:rsid w:val="0000490B"/>
    <w:rsid w:val="00004BD8"/>
    <w:rsid w:val="00004E5D"/>
    <w:rsid w:val="000060C2"/>
    <w:rsid w:val="00006443"/>
    <w:rsid w:val="00007016"/>
    <w:rsid w:val="0001027E"/>
    <w:rsid w:val="00011ACD"/>
    <w:rsid w:val="000151E3"/>
    <w:rsid w:val="00015FA0"/>
    <w:rsid w:val="00016E57"/>
    <w:rsid w:val="00020DF3"/>
    <w:rsid w:val="00021FE7"/>
    <w:rsid w:val="00023279"/>
    <w:rsid w:val="0002472C"/>
    <w:rsid w:val="000248F3"/>
    <w:rsid w:val="000259B6"/>
    <w:rsid w:val="00025DC3"/>
    <w:rsid w:val="00025F7C"/>
    <w:rsid w:val="000268CA"/>
    <w:rsid w:val="000271BD"/>
    <w:rsid w:val="000303A6"/>
    <w:rsid w:val="000305AA"/>
    <w:rsid w:val="000315A6"/>
    <w:rsid w:val="00033F98"/>
    <w:rsid w:val="000351E2"/>
    <w:rsid w:val="00040EDF"/>
    <w:rsid w:val="00042DB0"/>
    <w:rsid w:val="000442DB"/>
    <w:rsid w:val="00052447"/>
    <w:rsid w:val="0005744D"/>
    <w:rsid w:val="000600E0"/>
    <w:rsid w:val="00060A4C"/>
    <w:rsid w:val="00062206"/>
    <w:rsid w:val="00062E84"/>
    <w:rsid w:val="00063472"/>
    <w:rsid w:val="000657D5"/>
    <w:rsid w:val="000669BE"/>
    <w:rsid w:val="00067D68"/>
    <w:rsid w:val="000717D8"/>
    <w:rsid w:val="0007345E"/>
    <w:rsid w:val="00074890"/>
    <w:rsid w:val="00075452"/>
    <w:rsid w:val="0007583D"/>
    <w:rsid w:val="0007632E"/>
    <w:rsid w:val="000768C1"/>
    <w:rsid w:val="00077B03"/>
    <w:rsid w:val="000801FF"/>
    <w:rsid w:val="00080E01"/>
    <w:rsid w:val="00081524"/>
    <w:rsid w:val="0008166F"/>
    <w:rsid w:val="00081F08"/>
    <w:rsid w:val="00081FA4"/>
    <w:rsid w:val="00083B5D"/>
    <w:rsid w:val="000840CC"/>
    <w:rsid w:val="00085B07"/>
    <w:rsid w:val="00085DD0"/>
    <w:rsid w:val="00085EBF"/>
    <w:rsid w:val="0008655B"/>
    <w:rsid w:val="000869E0"/>
    <w:rsid w:val="00087090"/>
    <w:rsid w:val="0008788F"/>
    <w:rsid w:val="00090063"/>
    <w:rsid w:val="000925E6"/>
    <w:rsid w:val="00093445"/>
    <w:rsid w:val="00094196"/>
    <w:rsid w:val="000949CD"/>
    <w:rsid w:val="00095852"/>
    <w:rsid w:val="000960D5"/>
    <w:rsid w:val="000965D2"/>
    <w:rsid w:val="00096615"/>
    <w:rsid w:val="000974E7"/>
    <w:rsid w:val="000976EB"/>
    <w:rsid w:val="00097BC0"/>
    <w:rsid w:val="000A0DFE"/>
    <w:rsid w:val="000A2BC9"/>
    <w:rsid w:val="000A4775"/>
    <w:rsid w:val="000A6874"/>
    <w:rsid w:val="000A7357"/>
    <w:rsid w:val="000A76D1"/>
    <w:rsid w:val="000A76E5"/>
    <w:rsid w:val="000B0F55"/>
    <w:rsid w:val="000B105A"/>
    <w:rsid w:val="000B1797"/>
    <w:rsid w:val="000B1FED"/>
    <w:rsid w:val="000B32D8"/>
    <w:rsid w:val="000B34FB"/>
    <w:rsid w:val="000B518F"/>
    <w:rsid w:val="000B58F5"/>
    <w:rsid w:val="000B6720"/>
    <w:rsid w:val="000B7A2D"/>
    <w:rsid w:val="000B7C9A"/>
    <w:rsid w:val="000C18B1"/>
    <w:rsid w:val="000C4054"/>
    <w:rsid w:val="000C5C9C"/>
    <w:rsid w:val="000D01E4"/>
    <w:rsid w:val="000D066D"/>
    <w:rsid w:val="000D0A67"/>
    <w:rsid w:val="000D3558"/>
    <w:rsid w:val="000D357F"/>
    <w:rsid w:val="000D35FB"/>
    <w:rsid w:val="000D3A3B"/>
    <w:rsid w:val="000D4337"/>
    <w:rsid w:val="000D534D"/>
    <w:rsid w:val="000D639D"/>
    <w:rsid w:val="000D75BD"/>
    <w:rsid w:val="000E1438"/>
    <w:rsid w:val="000E2EFF"/>
    <w:rsid w:val="000E3DC2"/>
    <w:rsid w:val="000E57F4"/>
    <w:rsid w:val="000F06B9"/>
    <w:rsid w:val="000F19B0"/>
    <w:rsid w:val="000F59D3"/>
    <w:rsid w:val="000F64E8"/>
    <w:rsid w:val="00100854"/>
    <w:rsid w:val="00100B0C"/>
    <w:rsid w:val="001018D8"/>
    <w:rsid w:val="00104DE5"/>
    <w:rsid w:val="001062CC"/>
    <w:rsid w:val="00107333"/>
    <w:rsid w:val="0011130A"/>
    <w:rsid w:val="00112717"/>
    <w:rsid w:val="00116F94"/>
    <w:rsid w:val="001209F3"/>
    <w:rsid w:val="001228B3"/>
    <w:rsid w:val="0012328E"/>
    <w:rsid w:val="00123385"/>
    <w:rsid w:val="00123955"/>
    <w:rsid w:val="00124F78"/>
    <w:rsid w:val="00130849"/>
    <w:rsid w:val="00130F26"/>
    <w:rsid w:val="001330A8"/>
    <w:rsid w:val="001330B5"/>
    <w:rsid w:val="00133392"/>
    <w:rsid w:val="00141D86"/>
    <w:rsid w:val="00142449"/>
    <w:rsid w:val="00142F81"/>
    <w:rsid w:val="00142FD9"/>
    <w:rsid w:val="00143C60"/>
    <w:rsid w:val="00143EB3"/>
    <w:rsid w:val="001442F0"/>
    <w:rsid w:val="00145886"/>
    <w:rsid w:val="00146063"/>
    <w:rsid w:val="00150EFA"/>
    <w:rsid w:val="00151400"/>
    <w:rsid w:val="001547C1"/>
    <w:rsid w:val="00154FA8"/>
    <w:rsid w:val="00156E20"/>
    <w:rsid w:val="001603DA"/>
    <w:rsid w:val="0016058E"/>
    <w:rsid w:val="001608F1"/>
    <w:rsid w:val="001617FF"/>
    <w:rsid w:val="00162A54"/>
    <w:rsid w:val="00162C84"/>
    <w:rsid w:val="00163351"/>
    <w:rsid w:val="00165C78"/>
    <w:rsid w:val="00165D42"/>
    <w:rsid w:val="00171B46"/>
    <w:rsid w:val="001726FC"/>
    <w:rsid w:val="00172C3B"/>
    <w:rsid w:val="0017325D"/>
    <w:rsid w:val="0017622F"/>
    <w:rsid w:val="0018386D"/>
    <w:rsid w:val="00183CF2"/>
    <w:rsid w:val="0018649B"/>
    <w:rsid w:val="00186FED"/>
    <w:rsid w:val="00191F45"/>
    <w:rsid w:val="00193547"/>
    <w:rsid w:val="001936C9"/>
    <w:rsid w:val="0019509C"/>
    <w:rsid w:val="001967BE"/>
    <w:rsid w:val="00197641"/>
    <w:rsid w:val="001A04CC"/>
    <w:rsid w:val="001A1C81"/>
    <w:rsid w:val="001A1D37"/>
    <w:rsid w:val="001A2781"/>
    <w:rsid w:val="001A2C52"/>
    <w:rsid w:val="001A4FC0"/>
    <w:rsid w:val="001A5FE2"/>
    <w:rsid w:val="001A6216"/>
    <w:rsid w:val="001A6A72"/>
    <w:rsid w:val="001A7B94"/>
    <w:rsid w:val="001A7F42"/>
    <w:rsid w:val="001B035D"/>
    <w:rsid w:val="001B1052"/>
    <w:rsid w:val="001B10CD"/>
    <w:rsid w:val="001B2DDA"/>
    <w:rsid w:val="001B3A0C"/>
    <w:rsid w:val="001B79BB"/>
    <w:rsid w:val="001C052D"/>
    <w:rsid w:val="001C0C3E"/>
    <w:rsid w:val="001C1A59"/>
    <w:rsid w:val="001C2998"/>
    <w:rsid w:val="001C3BE0"/>
    <w:rsid w:val="001C4988"/>
    <w:rsid w:val="001C5836"/>
    <w:rsid w:val="001C7595"/>
    <w:rsid w:val="001C7F70"/>
    <w:rsid w:val="001D0D24"/>
    <w:rsid w:val="001D1288"/>
    <w:rsid w:val="001D1A87"/>
    <w:rsid w:val="001D1C8E"/>
    <w:rsid w:val="001D5328"/>
    <w:rsid w:val="001D536A"/>
    <w:rsid w:val="001D5BC5"/>
    <w:rsid w:val="001D62CD"/>
    <w:rsid w:val="001E2010"/>
    <w:rsid w:val="001E4CE6"/>
    <w:rsid w:val="001E739B"/>
    <w:rsid w:val="001E75D0"/>
    <w:rsid w:val="001E7885"/>
    <w:rsid w:val="001F0694"/>
    <w:rsid w:val="001F18F3"/>
    <w:rsid w:val="001F3160"/>
    <w:rsid w:val="001F319E"/>
    <w:rsid w:val="001F35C1"/>
    <w:rsid w:val="001F4153"/>
    <w:rsid w:val="001F45ED"/>
    <w:rsid w:val="001F5F3A"/>
    <w:rsid w:val="001F6998"/>
    <w:rsid w:val="001F6EA6"/>
    <w:rsid w:val="001F7083"/>
    <w:rsid w:val="0020224A"/>
    <w:rsid w:val="00202489"/>
    <w:rsid w:val="00203F84"/>
    <w:rsid w:val="0020554E"/>
    <w:rsid w:val="002064EE"/>
    <w:rsid w:val="002079FB"/>
    <w:rsid w:val="00207F0C"/>
    <w:rsid w:val="002125FA"/>
    <w:rsid w:val="002158BF"/>
    <w:rsid w:val="00215B45"/>
    <w:rsid w:val="002206DA"/>
    <w:rsid w:val="00221776"/>
    <w:rsid w:val="00221E96"/>
    <w:rsid w:val="0022305B"/>
    <w:rsid w:val="00223CC7"/>
    <w:rsid w:val="0022534F"/>
    <w:rsid w:val="00225D1A"/>
    <w:rsid w:val="00227384"/>
    <w:rsid w:val="0023636A"/>
    <w:rsid w:val="002368A3"/>
    <w:rsid w:val="00241B50"/>
    <w:rsid w:val="00241DBB"/>
    <w:rsid w:val="00242E5A"/>
    <w:rsid w:val="00243711"/>
    <w:rsid w:val="00244E97"/>
    <w:rsid w:val="002467AD"/>
    <w:rsid w:val="00246B9A"/>
    <w:rsid w:val="00246CB2"/>
    <w:rsid w:val="00246FC2"/>
    <w:rsid w:val="002472E4"/>
    <w:rsid w:val="00247935"/>
    <w:rsid w:val="0025166F"/>
    <w:rsid w:val="00252BEC"/>
    <w:rsid w:val="002535A2"/>
    <w:rsid w:val="00253C53"/>
    <w:rsid w:val="002548C8"/>
    <w:rsid w:val="00256D5C"/>
    <w:rsid w:val="002571D6"/>
    <w:rsid w:val="00257AE2"/>
    <w:rsid w:val="00257BA8"/>
    <w:rsid w:val="00260F21"/>
    <w:rsid w:val="002627E5"/>
    <w:rsid w:val="00262806"/>
    <w:rsid w:val="0026306B"/>
    <w:rsid w:val="00264900"/>
    <w:rsid w:val="00265998"/>
    <w:rsid w:val="0027023C"/>
    <w:rsid w:val="002728F4"/>
    <w:rsid w:val="002738B6"/>
    <w:rsid w:val="00274372"/>
    <w:rsid w:val="0027462A"/>
    <w:rsid w:val="00274E93"/>
    <w:rsid w:val="00275189"/>
    <w:rsid w:val="00277B02"/>
    <w:rsid w:val="0028117C"/>
    <w:rsid w:val="00281632"/>
    <w:rsid w:val="002818C6"/>
    <w:rsid w:val="0028276D"/>
    <w:rsid w:val="002843B7"/>
    <w:rsid w:val="00286010"/>
    <w:rsid w:val="002875AB"/>
    <w:rsid w:val="00290ED5"/>
    <w:rsid w:val="0029252A"/>
    <w:rsid w:val="00293264"/>
    <w:rsid w:val="0029461C"/>
    <w:rsid w:val="002962AF"/>
    <w:rsid w:val="0029755D"/>
    <w:rsid w:val="002A658C"/>
    <w:rsid w:val="002A7641"/>
    <w:rsid w:val="002B0E10"/>
    <w:rsid w:val="002B2ADC"/>
    <w:rsid w:val="002B2B19"/>
    <w:rsid w:val="002B30E7"/>
    <w:rsid w:val="002B4847"/>
    <w:rsid w:val="002B4B8E"/>
    <w:rsid w:val="002B55FB"/>
    <w:rsid w:val="002B78E1"/>
    <w:rsid w:val="002B799C"/>
    <w:rsid w:val="002B79B2"/>
    <w:rsid w:val="002C0AD8"/>
    <w:rsid w:val="002C43AB"/>
    <w:rsid w:val="002C709C"/>
    <w:rsid w:val="002D0F49"/>
    <w:rsid w:val="002D1266"/>
    <w:rsid w:val="002D1EF4"/>
    <w:rsid w:val="002D2B7B"/>
    <w:rsid w:val="002D42A7"/>
    <w:rsid w:val="002D73B5"/>
    <w:rsid w:val="002D7E35"/>
    <w:rsid w:val="002E39E0"/>
    <w:rsid w:val="002E3C0F"/>
    <w:rsid w:val="002E461C"/>
    <w:rsid w:val="002E4700"/>
    <w:rsid w:val="002E54E7"/>
    <w:rsid w:val="002E5759"/>
    <w:rsid w:val="002E656E"/>
    <w:rsid w:val="002E722E"/>
    <w:rsid w:val="002E7738"/>
    <w:rsid w:val="002E7B81"/>
    <w:rsid w:val="002E7E95"/>
    <w:rsid w:val="002F025B"/>
    <w:rsid w:val="002F1790"/>
    <w:rsid w:val="002F1E95"/>
    <w:rsid w:val="002F2673"/>
    <w:rsid w:val="002F4CE3"/>
    <w:rsid w:val="002F5C43"/>
    <w:rsid w:val="002F6D23"/>
    <w:rsid w:val="002F7C0D"/>
    <w:rsid w:val="003004EB"/>
    <w:rsid w:val="003028A8"/>
    <w:rsid w:val="00302D71"/>
    <w:rsid w:val="00303383"/>
    <w:rsid w:val="00304A1F"/>
    <w:rsid w:val="00304A26"/>
    <w:rsid w:val="0030617F"/>
    <w:rsid w:val="00307913"/>
    <w:rsid w:val="00310E0A"/>
    <w:rsid w:val="00311479"/>
    <w:rsid w:val="00311B6D"/>
    <w:rsid w:val="00311D1C"/>
    <w:rsid w:val="00313040"/>
    <w:rsid w:val="0031380B"/>
    <w:rsid w:val="003140A4"/>
    <w:rsid w:val="003141EF"/>
    <w:rsid w:val="00314AF6"/>
    <w:rsid w:val="00314BAD"/>
    <w:rsid w:val="00316AF6"/>
    <w:rsid w:val="0032062D"/>
    <w:rsid w:val="003208D3"/>
    <w:rsid w:val="00322DDB"/>
    <w:rsid w:val="00323B92"/>
    <w:rsid w:val="00323CA1"/>
    <w:rsid w:val="003243C5"/>
    <w:rsid w:val="00326494"/>
    <w:rsid w:val="003265E6"/>
    <w:rsid w:val="003270EA"/>
    <w:rsid w:val="00327381"/>
    <w:rsid w:val="003310BD"/>
    <w:rsid w:val="00331101"/>
    <w:rsid w:val="00331F38"/>
    <w:rsid w:val="00332EB0"/>
    <w:rsid w:val="00335625"/>
    <w:rsid w:val="003365EA"/>
    <w:rsid w:val="003370F4"/>
    <w:rsid w:val="00340D8B"/>
    <w:rsid w:val="00341883"/>
    <w:rsid w:val="00342486"/>
    <w:rsid w:val="00343244"/>
    <w:rsid w:val="00343ECB"/>
    <w:rsid w:val="00344F82"/>
    <w:rsid w:val="0034573D"/>
    <w:rsid w:val="00347FA6"/>
    <w:rsid w:val="00350572"/>
    <w:rsid w:val="00350C69"/>
    <w:rsid w:val="003601A7"/>
    <w:rsid w:val="00360C78"/>
    <w:rsid w:val="003611BB"/>
    <w:rsid w:val="00361FF5"/>
    <w:rsid w:val="00362E11"/>
    <w:rsid w:val="00363178"/>
    <w:rsid w:val="00365467"/>
    <w:rsid w:val="003704BE"/>
    <w:rsid w:val="003718E6"/>
    <w:rsid w:val="0037382E"/>
    <w:rsid w:val="00375367"/>
    <w:rsid w:val="0037631A"/>
    <w:rsid w:val="00376E94"/>
    <w:rsid w:val="00376F23"/>
    <w:rsid w:val="00377A38"/>
    <w:rsid w:val="0038519F"/>
    <w:rsid w:val="003862C8"/>
    <w:rsid w:val="00393507"/>
    <w:rsid w:val="00395735"/>
    <w:rsid w:val="003958D2"/>
    <w:rsid w:val="0039736C"/>
    <w:rsid w:val="0039789E"/>
    <w:rsid w:val="003A0409"/>
    <w:rsid w:val="003A1777"/>
    <w:rsid w:val="003A399C"/>
    <w:rsid w:val="003A4142"/>
    <w:rsid w:val="003A5BDA"/>
    <w:rsid w:val="003B1439"/>
    <w:rsid w:val="003B1556"/>
    <w:rsid w:val="003B6AA5"/>
    <w:rsid w:val="003B6C4D"/>
    <w:rsid w:val="003B6D83"/>
    <w:rsid w:val="003B739F"/>
    <w:rsid w:val="003C06C6"/>
    <w:rsid w:val="003C0B3A"/>
    <w:rsid w:val="003C0DED"/>
    <w:rsid w:val="003C22AB"/>
    <w:rsid w:val="003C34DA"/>
    <w:rsid w:val="003C3954"/>
    <w:rsid w:val="003D0300"/>
    <w:rsid w:val="003D0C2E"/>
    <w:rsid w:val="003D12CD"/>
    <w:rsid w:val="003D2C59"/>
    <w:rsid w:val="003D32A0"/>
    <w:rsid w:val="003D3A18"/>
    <w:rsid w:val="003D4983"/>
    <w:rsid w:val="003D512B"/>
    <w:rsid w:val="003D5CF6"/>
    <w:rsid w:val="003D717F"/>
    <w:rsid w:val="003E1937"/>
    <w:rsid w:val="003E1BA1"/>
    <w:rsid w:val="003E21E0"/>
    <w:rsid w:val="003E4228"/>
    <w:rsid w:val="003E691F"/>
    <w:rsid w:val="003E6A36"/>
    <w:rsid w:val="003E7F1A"/>
    <w:rsid w:val="003F0EAC"/>
    <w:rsid w:val="003F1B4D"/>
    <w:rsid w:val="003F1CFF"/>
    <w:rsid w:val="003F2910"/>
    <w:rsid w:val="003F45C1"/>
    <w:rsid w:val="003F7603"/>
    <w:rsid w:val="003F78AB"/>
    <w:rsid w:val="003F7FC0"/>
    <w:rsid w:val="004000BE"/>
    <w:rsid w:val="00400213"/>
    <w:rsid w:val="00405270"/>
    <w:rsid w:val="00405A62"/>
    <w:rsid w:val="00406320"/>
    <w:rsid w:val="004078C9"/>
    <w:rsid w:val="0041055D"/>
    <w:rsid w:val="004116D7"/>
    <w:rsid w:val="004117DC"/>
    <w:rsid w:val="00411DDA"/>
    <w:rsid w:val="00412331"/>
    <w:rsid w:val="00412D01"/>
    <w:rsid w:val="004136E0"/>
    <w:rsid w:val="0041464A"/>
    <w:rsid w:val="00415093"/>
    <w:rsid w:val="00415A70"/>
    <w:rsid w:val="0041607F"/>
    <w:rsid w:val="00417088"/>
    <w:rsid w:val="004208B3"/>
    <w:rsid w:val="00422BD8"/>
    <w:rsid w:val="0042430D"/>
    <w:rsid w:val="00424E77"/>
    <w:rsid w:val="00425448"/>
    <w:rsid w:val="004261A1"/>
    <w:rsid w:val="0042650B"/>
    <w:rsid w:val="00427922"/>
    <w:rsid w:val="004301E6"/>
    <w:rsid w:val="004303F9"/>
    <w:rsid w:val="00430F7B"/>
    <w:rsid w:val="00430FBC"/>
    <w:rsid w:val="0043217F"/>
    <w:rsid w:val="004334AA"/>
    <w:rsid w:val="004358E4"/>
    <w:rsid w:val="00436B5D"/>
    <w:rsid w:val="00437C58"/>
    <w:rsid w:val="004415C8"/>
    <w:rsid w:val="00443178"/>
    <w:rsid w:val="00444338"/>
    <w:rsid w:val="00444A28"/>
    <w:rsid w:val="00445B46"/>
    <w:rsid w:val="00447003"/>
    <w:rsid w:val="00447F9A"/>
    <w:rsid w:val="0045047B"/>
    <w:rsid w:val="004531D5"/>
    <w:rsid w:val="0046013E"/>
    <w:rsid w:val="00461116"/>
    <w:rsid w:val="00461DFB"/>
    <w:rsid w:val="004634E1"/>
    <w:rsid w:val="00465128"/>
    <w:rsid w:val="00465F80"/>
    <w:rsid w:val="0047020B"/>
    <w:rsid w:val="00472ADE"/>
    <w:rsid w:val="0047431A"/>
    <w:rsid w:val="00476970"/>
    <w:rsid w:val="0047731D"/>
    <w:rsid w:val="00477922"/>
    <w:rsid w:val="004831F8"/>
    <w:rsid w:val="0048357B"/>
    <w:rsid w:val="004837F1"/>
    <w:rsid w:val="004838E0"/>
    <w:rsid w:val="004839D2"/>
    <w:rsid w:val="004843A6"/>
    <w:rsid w:val="00484BEB"/>
    <w:rsid w:val="00484F01"/>
    <w:rsid w:val="004853E3"/>
    <w:rsid w:val="0048547C"/>
    <w:rsid w:val="00487953"/>
    <w:rsid w:val="00491B7D"/>
    <w:rsid w:val="00492B0D"/>
    <w:rsid w:val="00494081"/>
    <w:rsid w:val="00496C44"/>
    <w:rsid w:val="004A01EA"/>
    <w:rsid w:val="004A0642"/>
    <w:rsid w:val="004A20D4"/>
    <w:rsid w:val="004A323B"/>
    <w:rsid w:val="004A4202"/>
    <w:rsid w:val="004A4A5A"/>
    <w:rsid w:val="004A4DE1"/>
    <w:rsid w:val="004A7A70"/>
    <w:rsid w:val="004B20E0"/>
    <w:rsid w:val="004B4212"/>
    <w:rsid w:val="004B557D"/>
    <w:rsid w:val="004B6311"/>
    <w:rsid w:val="004B69CF"/>
    <w:rsid w:val="004B7943"/>
    <w:rsid w:val="004B7C08"/>
    <w:rsid w:val="004B7E2D"/>
    <w:rsid w:val="004C390D"/>
    <w:rsid w:val="004C70A1"/>
    <w:rsid w:val="004C7D9A"/>
    <w:rsid w:val="004D0296"/>
    <w:rsid w:val="004D2112"/>
    <w:rsid w:val="004D317C"/>
    <w:rsid w:val="004D3206"/>
    <w:rsid w:val="004D5CC7"/>
    <w:rsid w:val="004D61EE"/>
    <w:rsid w:val="004D74DB"/>
    <w:rsid w:val="004D7756"/>
    <w:rsid w:val="004E0B17"/>
    <w:rsid w:val="004E4383"/>
    <w:rsid w:val="004E5458"/>
    <w:rsid w:val="004E5CD3"/>
    <w:rsid w:val="004E614E"/>
    <w:rsid w:val="004E6660"/>
    <w:rsid w:val="004F1789"/>
    <w:rsid w:val="004F468D"/>
    <w:rsid w:val="004F6364"/>
    <w:rsid w:val="004F746D"/>
    <w:rsid w:val="00502533"/>
    <w:rsid w:val="00503A3B"/>
    <w:rsid w:val="00504621"/>
    <w:rsid w:val="00504A59"/>
    <w:rsid w:val="00511C0D"/>
    <w:rsid w:val="00512432"/>
    <w:rsid w:val="00512477"/>
    <w:rsid w:val="005127AB"/>
    <w:rsid w:val="00517AEB"/>
    <w:rsid w:val="00517B05"/>
    <w:rsid w:val="00517D20"/>
    <w:rsid w:val="00521234"/>
    <w:rsid w:val="0052166B"/>
    <w:rsid w:val="00521705"/>
    <w:rsid w:val="00523FE7"/>
    <w:rsid w:val="005251C3"/>
    <w:rsid w:val="0052549F"/>
    <w:rsid w:val="00525BED"/>
    <w:rsid w:val="00531849"/>
    <w:rsid w:val="0053546B"/>
    <w:rsid w:val="005358A7"/>
    <w:rsid w:val="00536876"/>
    <w:rsid w:val="00540847"/>
    <w:rsid w:val="00541B8E"/>
    <w:rsid w:val="00542D69"/>
    <w:rsid w:val="0054353C"/>
    <w:rsid w:val="00543572"/>
    <w:rsid w:val="005437C5"/>
    <w:rsid w:val="0054479E"/>
    <w:rsid w:val="00544AF2"/>
    <w:rsid w:val="00544DCC"/>
    <w:rsid w:val="005464C6"/>
    <w:rsid w:val="005467B8"/>
    <w:rsid w:val="00547491"/>
    <w:rsid w:val="00547943"/>
    <w:rsid w:val="0055131E"/>
    <w:rsid w:val="00552B60"/>
    <w:rsid w:val="00553665"/>
    <w:rsid w:val="005537D4"/>
    <w:rsid w:val="00554AD7"/>
    <w:rsid w:val="005558B3"/>
    <w:rsid w:val="005568D9"/>
    <w:rsid w:val="0055772C"/>
    <w:rsid w:val="00557AC3"/>
    <w:rsid w:val="00562E68"/>
    <w:rsid w:val="00566C0D"/>
    <w:rsid w:val="00566CFC"/>
    <w:rsid w:val="00570212"/>
    <w:rsid w:val="00570C41"/>
    <w:rsid w:val="0057153E"/>
    <w:rsid w:val="005727DE"/>
    <w:rsid w:val="00572A34"/>
    <w:rsid w:val="0057504B"/>
    <w:rsid w:val="005754C0"/>
    <w:rsid w:val="005758AA"/>
    <w:rsid w:val="00575A4B"/>
    <w:rsid w:val="00576CE4"/>
    <w:rsid w:val="00577EFC"/>
    <w:rsid w:val="00582090"/>
    <w:rsid w:val="00582326"/>
    <w:rsid w:val="00583723"/>
    <w:rsid w:val="005841FA"/>
    <w:rsid w:val="00584500"/>
    <w:rsid w:val="005869F4"/>
    <w:rsid w:val="00587702"/>
    <w:rsid w:val="00587EC0"/>
    <w:rsid w:val="005907F1"/>
    <w:rsid w:val="00592252"/>
    <w:rsid w:val="0059277C"/>
    <w:rsid w:val="00592A4E"/>
    <w:rsid w:val="00593286"/>
    <w:rsid w:val="00593A46"/>
    <w:rsid w:val="00594F9F"/>
    <w:rsid w:val="00595DEB"/>
    <w:rsid w:val="005A1508"/>
    <w:rsid w:val="005A1DEB"/>
    <w:rsid w:val="005A2827"/>
    <w:rsid w:val="005A325D"/>
    <w:rsid w:val="005A665C"/>
    <w:rsid w:val="005B08F9"/>
    <w:rsid w:val="005B1F86"/>
    <w:rsid w:val="005B2CD3"/>
    <w:rsid w:val="005B33DF"/>
    <w:rsid w:val="005B4A03"/>
    <w:rsid w:val="005B5910"/>
    <w:rsid w:val="005B773E"/>
    <w:rsid w:val="005C0144"/>
    <w:rsid w:val="005C3DB2"/>
    <w:rsid w:val="005C469D"/>
    <w:rsid w:val="005C6707"/>
    <w:rsid w:val="005C6CFC"/>
    <w:rsid w:val="005D1984"/>
    <w:rsid w:val="005D35D5"/>
    <w:rsid w:val="005D52FD"/>
    <w:rsid w:val="005D6B78"/>
    <w:rsid w:val="005D72C0"/>
    <w:rsid w:val="005D7538"/>
    <w:rsid w:val="005D77FC"/>
    <w:rsid w:val="005E0504"/>
    <w:rsid w:val="005E160D"/>
    <w:rsid w:val="005E3209"/>
    <w:rsid w:val="005E37BF"/>
    <w:rsid w:val="005E5598"/>
    <w:rsid w:val="005E5E0B"/>
    <w:rsid w:val="005E79E1"/>
    <w:rsid w:val="005F0F1B"/>
    <w:rsid w:val="005F3895"/>
    <w:rsid w:val="005F53E3"/>
    <w:rsid w:val="005F5662"/>
    <w:rsid w:val="005F6346"/>
    <w:rsid w:val="005F6AE5"/>
    <w:rsid w:val="005F71CB"/>
    <w:rsid w:val="00600855"/>
    <w:rsid w:val="00601A39"/>
    <w:rsid w:val="00602546"/>
    <w:rsid w:val="00604286"/>
    <w:rsid w:val="00604C8B"/>
    <w:rsid w:val="006051E9"/>
    <w:rsid w:val="006069D3"/>
    <w:rsid w:val="00606BD7"/>
    <w:rsid w:val="006117B3"/>
    <w:rsid w:val="00611F3C"/>
    <w:rsid w:val="006120B9"/>
    <w:rsid w:val="006121F4"/>
    <w:rsid w:val="00612604"/>
    <w:rsid w:val="0061263B"/>
    <w:rsid w:val="006139C9"/>
    <w:rsid w:val="00613A5A"/>
    <w:rsid w:val="00615FC4"/>
    <w:rsid w:val="00617182"/>
    <w:rsid w:val="00620EDB"/>
    <w:rsid w:val="006212CC"/>
    <w:rsid w:val="00621D5D"/>
    <w:rsid w:val="00621E7B"/>
    <w:rsid w:val="00623307"/>
    <w:rsid w:val="00623D73"/>
    <w:rsid w:val="0062486A"/>
    <w:rsid w:val="00625921"/>
    <w:rsid w:val="00626D6B"/>
    <w:rsid w:val="00634217"/>
    <w:rsid w:val="006351D9"/>
    <w:rsid w:val="00635A74"/>
    <w:rsid w:val="00636D82"/>
    <w:rsid w:val="006414A4"/>
    <w:rsid w:val="00643C66"/>
    <w:rsid w:val="00644894"/>
    <w:rsid w:val="00644E49"/>
    <w:rsid w:val="00645BB0"/>
    <w:rsid w:val="00646E2E"/>
    <w:rsid w:val="00651B92"/>
    <w:rsid w:val="006524AA"/>
    <w:rsid w:val="006539BA"/>
    <w:rsid w:val="00655540"/>
    <w:rsid w:val="00656675"/>
    <w:rsid w:val="00657B76"/>
    <w:rsid w:val="006636DE"/>
    <w:rsid w:val="00670618"/>
    <w:rsid w:val="00671E54"/>
    <w:rsid w:val="00671FC0"/>
    <w:rsid w:val="00672444"/>
    <w:rsid w:val="00672CA8"/>
    <w:rsid w:val="00674036"/>
    <w:rsid w:val="00674792"/>
    <w:rsid w:val="00674A8A"/>
    <w:rsid w:val="00674AA1"/>
    <w:rsid w:val="00677010"/>
    <w:rsid w:val="00680D7A"/>
    <w:rsid w:val="006810EA"/>
    <w:rsid w:val="006815E8"/>
    <w:rsid w:val="006817C7"/>
    <w:rsid w:val="00683D4B"/>
    <w:rsid w:val="00685171"/>
    <w:rsid w:val="00685845"/>
    <w:rsid w:val="0068687A"/>
    <w:rsid w:val="006873D7"/>
    <w:rsid w:val="00690CA8"/>
    <w:rsid w:val="0069129E"/>
    <w:rsid w:val="006922DE"/>
    <w:rsid w:val="00692305"/>
    <w:rsid w:val="0069261D"/>
    <w:rsid w:val="0069425C"/>
    <w:rsid w:val="006A154A"/>
    <w:rsid w:val="006A21E9"/>
    <w:rsid w:val="006A6379"/>
    <w:rsid w:val="006B0023"/>
    <w:rsid w:val="006B31C7"/>
    <w:rsid w:val="006B4652"/>
    <w:rsid w:val="006B49E9"/>
    <w:rsid w:val="006B54F6"/>
    <w:rsid w:val="006B6F40"/>
    <w:rsid w:val="006B762B"/>
    <w:rsid w:val="006B77F4"/>
    <w:rsid w:val="006C0BDE"/>
    <w:rsid w:val="006C32CE"/>
    <w:rsid w:val="006C58E0"/>
    <w:rsid w:val="006C5BEF"/>
    <w:rsid w:val="006C5E3D"/>
    <w:rsid w:val="006C70B9"/>
    <w:rsid w:val="006C7209"/>
    <w:rsid w:val="006C7E74"/>
    <w:rsid w:val="006D09FB"/>
    <w:rsid w:val="006D1A88"/>
    <w:rsid w:val="006D4E1F"/>
    <w:rsid w:val="006D639E"/>
    <w:rsid w:val="006D6441"/>
    <w:rsid w:val="006E14F7"/>
    <w:rsid w:val="006E15F2"/>
    <w:rsid w:val="006E1C0E"/>
    <w:rsid w:val="006E1D5F"/>
    <w:rsid w:val="006E3866"/>
    <w:rsid w:val="006E5EF2"/>
    <w:rsid w:val="006E758A"/>
    <w:rsid w:val="006F0E08"/>
    <w:rsid w:val="006F1D13"/>
    <w:rsid w:val="006F1D3C"/>
    <w:rsid w:val="006F3284"/>
    <w:rsid w:val="006F3936"/>
    <w:rsid w:val="006F39A3"/>
    <w:rsid w:val="006F4546"/>
    <w:rsid w:val="006F6587"/>
    <w:rsid w:val="006F7195"/>
    <w:rsid w:val="006F7E82"/>
    <w:rsid w:val="007045CF"/>
    <w:rsid w:val="007063CF"/>
    <w:rsid w:val="0070659F"/>
    <w:rsid w:val="00706CD0"/>
    <w:rsid w:val="007071B9"/>
    <w:rsid w:val="00707CF6"/>
    <w:rsid w:val="00710367"/>
    <w:rsid w:val="00710EA2"/>
    <w:rsid w:val="00711047"/>
    <w:rsid w:val="00711EB6"/>
    <w:rsid w:val="00711EF9"/>
    <w:rsid w:val="00715F72"/>
    <w:rsid w:val="00716732"/>
    <w:rsid w:val="00716C9B"/>
    <w:rsid w:val="00717055"/>
    <w:rsid w:val="00720B73"/>
    <w:rsid w:val="00723AEC"/>
    <w:rsid w:val="00724306"/>
    <w:rsid w:val="00725260"/>
    <w:rsid w:val="007259A3"/>
    <w:rsid w:val="00725A88"/>
    <w:rsid w:val="007260B8"/>
    <w:rsid w:val="007273B1"/>
    <w:rsid w:val="007332D8"/>
    <w:rsid w:val="007335D2"/>
    <w:rsid w:val="00734712"/>
    <w:rsid w:val="00734E38"/>
    <w:rsid w:val="00735E0C"/>
    <w:rsid w:val="00736D57"/>
    <w:rsid w:val="00736EDE"/>
    <w:rsid w:val="00740A43"/>
    <w:rsid w:val="00741D6B"/>
    <w:rsid w:val="00745E2B"/>
    <w:rsid w:val="007469C3"/>
    <w:rsid w:val="007476DF"/>
    <w:rsid w:val="00750E28"/>
    <w:rsid w:val="00750F9E"/>
    <w:rsid w:val="00751606"/>
    <w:rsid w:val="00754832"/>
    <w:rsid w:val="00754FF1"/>
    <w:rsid w:val="00755300"/>
    <w:rsid w:val="00755FC6"/>
    <w:rsid w:val="00757183"/>
    <w:rsid w:val="00760032"/>
    <w:rsid w:val="0076067C"/>
    <w:rsid w:val="00760AAA"/>
    <w:rsid w:val="00766121"/>
    <w:rsid w:val="00767951"/>
    <w:rsid w:val="00770834"/>
    <w:rsid w:val="007730F9"/>
    <w:rsid w:val="0077324C"/>
    <w:rsid w:val="007741D1"/>
    <w:rsid w:val="007743D8"/>
    <w:rsid w:val="007748B5"/>
    <w:rsid w:val="00775328"/>
    <w:rsid w:val="00776725"/>
    <w:rsid w:val="00777A88"/>
    <w:rsid w:val="007817C6"/>
    <w:rsid w:val="007822B1"/>
    <w:rsid w:val="007825A3"/>
    <w:rsid w:val="007828C1"/>
    <w:rsid w:val="007842C4"/>
    <w:rsid w:val="00784BCB"/>
    <w:rsid w:val="00785B15"/>
    <w:rsid w:val="007872CC"/>
    <w:rsid w:val="007874D1"/>
    <w:rsid w:val="007876FF"/>
    <w:rsid w:val="0079080B"/>
    <w:rsid w:val="00791214"/>
    <w:rsid w:val="00792C23"/>
    <w:rsid w:val="007935C2"/>
    <w:rsid w:val="00794A99"/>
    <w:rsid w:val="007965CD"/>
    <w:rsid w:val="00796C9E"/>
    <w:rsid w:val="007A0B67"/>
    <w:rsid w:val="007A0BE6"/>
    <w:rsid w:val="007A0C24"/>
    <w:rsid w:val="007A1196"/>
    <w:rsid w:val="007A180F"/>
    <w:rsid w:val="007A2BAB"/>
    <w:rsid w:val="007A374D"/>
    <w:rsid w:val="007A3D2C"/>
    <w:rsid w:val="007A4DB4"/>
    <w:rsid w:val="007A6CB9"/>
    <w:rsid w:val="007A7022"/>
    <w:rsid w:val="007A7D3B"/>
    <w:rsid w:val="007B0A86"/>
    <w:rsid w:val="007B0C70"/>
    <w:rsid w:val="007B17CF"/>
    <w:rsid w:val="007B2AA0"/>
    <w:rsid w:val="007B42C2"/>
    <w:rsid w:val="007B4A3B"/>
    <w:rsid w:val="007B5687"/>
    <w:rsid w:val="007B5981"/>
    <w:rsid w:val="007B5D94"/>
    <w:rsid w:val="007B6F80"/>
    <w:rsid w:val="007C149B"/>
    <w:rsid w:val="007C2C03"/>
    <w:rsid w:val="007C41D7"/>
    <w:rsid w:val="007C4CF7"/>
    <w:rsid w:val="007D0481"/>
    <w:rsid w:val="007D241E"/>
    <w:rsid w:val="007D3DAA"/>
    <w:rsid w:val="007D4683"/>
    <w:rsid w:val="007D60C7"/>
    <w:rsid w:val="007D67E2"/>
    <w:rsid w:val="007D6917"/>
    <w:rsid w:val="007D783D"/>
    <w:rsid w:val="007E1940"/>
    <w:rsid w:val="007E1C05"/>
    <w:rsid w:val="007E4FA9"/>
    <w:rsid w:val="007E5370"/>
    <w:rsid w:val="007E5ADC"/>
    <w:rsid w:val="007E5B25"/>
    <w:rsid w:val="007E5BED"/>
    <w:rsid w:val="007E7377"/>
    <w:rsid w:val="007F043C"/>
    <w:rsid w:val="007F0A6D"/>
    <w:rsid w:val="007F4ECC"/>
    <w:rsid w:val="007F54A8"/>
    <w:rsid w:val="007F6A13"/>
    <w:rsid w:val="00801655"/>
    <w:rsid w:val="0080223D"/>
    <w:rsid w:val="00802872"/>
    <w:rsid w:val="00802E51"/>
    <w:rsid w:val="00803E54"/>
    <w:rsid w:val="00805400"/>
    <w:rsid w:val="00805E58"/>
    <w:rsid w:val="008079E9"/>
    <w:rsid w:val="008102B5"/>
    <w:rsid w:val="00811629"/>
    <w:rsid w:val="0081464F"/>
    <w:rsid w:val="008163F3"/>
    <w:rsid w:val="0082112C"/>
    <w:rsid w:val="00827740"/>
    <w:rsid w:val="00827A98"/>
    <w:rsid w:val="00831249"/>
    <w:rsid w:val="0083219E"/>
    <w:rsid w:val="00836F0C"/>
    <w:rsid w:val="008421EB"/>
    <w:rsid w:val="0084304A"/>
    <w:rsid w:val="00846F9B"/>
    <w:rsid w:val="00850ABC"/>
    <w:rsid w:val="0085196F"/>
    <w:rsid w:val="008527DF"/>
    <w:rsid w:val="00852FC5"/>
    <w:rsid w:val="00854FD6"/>
    <w:rsid w:val="0085513E"/>
    <w:rsid w:val="00855FDA"/>
    <w:rsid w:val="00856070"/>
    <w:rsid w:val="00857054"/>
    <w:rsid w:val="00860516"/>
    <w:rsid w:val="008605D7"/>
    <w:rsid w:val="008614CE"/>
    <w:rsid w:val="00861CBA"/>
    <w:rsid w:val="00864BA0"/>
    <w:rsid w:val="00864BFA"/>
    <w:rsid w:val="00865137"/>
    <w:rsid w:val="00866E02"/>
    <w:rsid w:val="00866FFA"/>
    <w:rsid w:val="00870266"/>
    <w:rsid w:val="008704DB"/>
    <w:rsid w:val="0087268D"/>
    <w:rsid w:val="0087321D"/>
    <w:rsid w:val="00875F4A"/>
    <w:rsid w:val="00880BF7"/>
    <w:rsid w:val="00881A4C"/>
    <w:rsid w:val="00881CE4"/>
    <w:rsid w:val="00883B3E"/>
    <w:rsid w:val="00885EBA"/>
    <w:rsid w:val="00886A92"/>
    <w:rsid w:val="00886E85"/>
    <w:rsid w:val="008914CD"/>
    <w:rsid w:val="00891609"/>
    <w:rsid w:val="00892323"/>
    <w:rsid w:val="008923A1"/>
    <w:rsid w:val="00893B6E"/>
    <w:rsid w:val="00894D18"/>
    <w:rsid w:val="008953B5"/>
    <w:rsid w:val="00895691"/>
    <w:rsid w:val="0089638D"/>
    <w:rsid w:val="00897727"/>
    <w:rsid w:val="00897C26"/>
    <w:rsid w:val="008A01C5"/>
    <w:rsid w:val="008A0A21"/>
    <w:rsid w:val="008A13AB"/>
    <w:rsid w:val="008A18FF"/>
    <w:rsid w:val="008A29DA"/>
    <w:rsid w:val="008A31EA"/>
    <w:rsid w:val="008A4054"/>
    <w:rsid w:val="008A4158"/>
    <w:rsid w:val="008A4246"/>
    <w:rsid w:val="008A5BDC"/>
    <w:rsid w:val="008A69DC"/>
    <w:rsid w:val="008A72FE"/>
    <w:rsid w:val="008A7B23"/>
    <w:rsid w:val="008B0C80"/>
    <w:rsid w:val="008B26A1"/>
    <w:rsid w:val="008B48BB"/>
    <w:rsid w:val="008B48ED"/>
    <w:rsid w:val="008B6CE1"/>
    <w:rsid w:val="008B7178"/>
    <w:rsid w:val="008B7357"/>
    <w:rsid w:val="008B7F7D"/>
    <w:rsid w:val="008C0FDA"/>
    <w:rsid w:val="008C23C5"/>
    <w:rsid w:val="008C2B81"/>
    <w:rsid w:val="008C3DC7"/>
    <w:rsid w:val="008C46E7"/>
    <w:rsid w:val="008C6002"/>
    <w:rsid w:val="008D0587"/>
    <w:rsid w:val="008D0D55"/>
    <w:rsid w:val="008D4152"/>
    <w:rsid w:val="008D6023"/>
    <w:rsid w:val="008D6EFC"/>
    <w:rsid w:val="008E0D88"/>
    <w:rsid w:val="008E1749"/>
    <w:rsid w:val="008E3108"/>
    <w:rsid w:val="008E3F3C"/>
    <w:rsid w:val="008E495F"/>
    <w:rsid w:val="008E5B23"/>
    <w:rsid w:val="008F0096"/>
    <w:rsid w:val="008F10C8"/>
    <w:rsid w:val="008F120C"/>
    <w:rsid w:val="008F2934"/>
    <w:rsid w:val="008F5394"/>
    <w:rsid w:val="008F58A5"/>
    <w:rsid w:val="008F6C9F"/>
    <w:rsid w:val="008F784C"/>
    <w:rsid w:val="008F7FE8"/>
    <w:rsid w:val="00900599"/>
    <w:rsid w:val="00905010"/>
    <w:rsid w:val="009060A5"/>
    <w:rsid w:val="009121A1"/>
    <w:rsid w:val="00912A5A"/>
    <w:rsid w:val="00913940"/>
    <w:rsid w:val="00913D59"/>
    <w:rsid w:val="0091665D"/>
    <w:rsid w:val="00916773"/>
    <w:rsid w:val="00917337"/>
    <w:rsid w:val="00917A77"/>
    <w:rsid w:val="0092273A"/>
    <w:rsid w:val="00922AF7"/>
    <w:rsid w:val="00922E89"/>
    <w:rsid w:val="00924276"/>
    <w:rsid w:val="009247B6"/>
    <w:rsid w:val="00925D66"/>
    <w:rsid w:val="00925DB5"/>
    <w:rsid w:val="00927DF4"/>
    <w:rsid w:val="0093261E"/>
    <w:rsid w:val="0093515C"/>
    <w:rsid w:val="00935E4F"/>
    <w:rsid w:val="0093632F"/>
    <w:rsid w:val="00936FCE"/>
    <w:rsid w:val="00940D9A"/>
    <w:rsid w:val="009502A7"/>
    <w:rsid w:val="00950E5D"/>
    <w:rsid w:val="00952097"/>
    <w:rsid w:val="009530B6"/>
    <w:rsid w:val="00953143"/>
    <w:rsid w:val="00954473"/>
    <w:rsid w:val="0095537D"/>
    <w:rsid w:val="009558F4"/>
    <w:rsid w:val="0095636D"/>
    <w:rsid w:val="0095658A"/>
    <w:rsid w:val="009579A1"/>
    <w:rsid w:val="00957B33"/>
    <w:rsid w:val="00961281"/>
    <w:rsid w:val="009614BF"/>
    <w:rsid w:val="00961F03"/>
    <w:rsid w:val="00963CED"/>
    <w:rsid w:val="0096405A"/>
    <w:rsid w:val="00964971"/>
    <w:rsid w:val="009653D4"/>
    <w:rsid w:val="00965846"/>
    <w:rsid w:val="0096588E"/>
    <w:rsid w:val="00967ADA"/>
    <w:rsid w:val="00970051"/>
    <w:rsid w:val="00970C42"/>
    <w:rsid w:val="00971C75"/>
    <w:rsid w:val="00972091"/>
    <w:rsid w:val="009746C5"/>
    <w:rsid w:val="00975297"/>
    <w:rsid w:val="00977840"/>
    <w:rsid w:val="00977C7D"/>
    <w:rsid w:val="00981579"/>
    <w:rsid w:val="00981C5B"/>
    <w:rsid w:val="0098446A"/>
    <w:rsid w:val="0098471D"/>
    <w:rsid w:val="009848D0"/>
    <w:rsid w:val="00985D6F"/>
    <w:rsid w:val="00987301"/>
    <w:rsid w:val="00987A9A"/>
    <w:rsid w:val="0099676A"/>
    <w:rsid w:val="00997D0A"/>
    <w:rsid w:val="009A1E76"/>
    <w:rsid w:val="009A229A"/>
    <w:rsid w:val="009A28F4"/>
    <w:rsid w:val="009A2BC4"/>
    <w:rsid w:val="009A48BE"/>
    <w:rsid w:val="009A6CF3"/>
    <w:rsid w:val="009A6D22"/>
    <w:rsid w:val="009A7F5D"/>
    <w:rsid w:val="009B0405"/>
    <w:rsid w:val="009B20A9"/>
    <w:rsid w:val="009B4A15"/>
    <w:rsid w:val="009B662C"/>
    <w:rsid w:val="009B6E56"/>
    <w:rsid w:val="009B73B1"/>
    <w:rsid w:val="009C08F4"/>
    <w:rsid w:val="009C0D96"/>
    <w:rsid w:val="009C0D9A"/>
    <w:rsid w:val="009C18F5"/>
    <w:rsid w:val="009C1DE4"/>
    <w:rsid w:val="009C30B2"/>
    <w:rsid w:val="009C3A09"/>
    <w:rsid w:val="009C58FD"/>
    <w:rsid w:val="009D4D5C"/>
    <w:rsid w:val="009D589A"/>
    <w:rsid w:val="009D5DF4"/>
    <w:rsid w:val="009E2450"/>
    <w:rsid w:val="009E2DBE"/>
    <w:rsid w:val="009E5148"/>
    <w:rsid w:val="009E667F"/>
    <w:rsid w:val="009E763E"/>
    <w:rsid w:val="009E76AD"/>
    <w:rsid w:val="009F02BC"/>
    <w:rsid w:val="009F05CC"/>
    <w:rsid w:val="009F1876"/>
    <w:rsid w:val="009F1B13"/>
    <w:rsid w:val="009F1C47"/>
    <w:rsid w:val="009F33AC"/>
    <w:rsid w:val="009F3F2B"/>
    <w:rsid w:val="009F7BFB"/>
    <w:rsid w:val="00A00258"/>
    <w:rsid w:val="00A0032A"/>
    <w:rsid w:val="00A005A6"/>
    <w:rsid w:val="00A00FE5"/>
    <w:rsid w:val="00A01C8F"/>
    <w:rsid w:val="00A039C3"/>
    <w:rsid w:val="00A0524C"/>
    <w:rsid w:val="00A0665F"/>
    <w:rsid w:val="00A06EE8"/>
    <w:rsid w:val="00A07C98"/>
    <w:rsid w:val="00A104DC"/>
    <w:rsid w:val="00A12C40"/>
    <w:rsid w:val="00A142F6"/>
    <w:rsid w:val="00A1502C"/>
    <w:rsid w:val="00A15156"/>
    <w:rsid w:val="00A15859"/>
    <w:rsid w:val="00A20BA8"/>
    <w:rsid w:val="00A21039"/>
    <w:rsid w:val="00A224D0"/>
    <w:rsid w:val="00A24360"/>
    <w:rsid w:val="00A250BD"/>
    <w:rsid w:val="00A268D2"/>
    <w:rsid w:val="00A27187"/>
    <w:rsid w:val="00A303F4"/>
    <w:rsid w:val="00A30B2E"/>
    <w:rsid w:val="00A30DCA"/>
    <w:rsid w:val="00A33CA2"/>
    <w:rsid w:val="00A33ECB"/>
    <w:rsid w:val="00A35C1B"/>
    <w:rsid w:val="00A37D71"/>
    <w:rsid w:val="00A40779"/>
    <w:rsid w:val="00A42843"/>
    <w:rsid w:val="00A4307C"/>
    <w:rsid w:val="00A432EB"/>
    <w:rsid w:val="00A5034F"/>
    <w:rsid w:val="00A50E89"/>
    <w:rsid w:val="00A52E34"/>
    <w:rsid w:val="00A5317B"/>
    <w:rsid w:val="00A53390"/>
    <w:rsid w:val="00A572DA"/>
    <w:rsid w:val="00A62382"/>
    <w:rsid w:val="00A6491F"/>
    <w:rsid w:val="00A64E01"/>
    <w:rsid w:val="00A654F9"/>
    <w:rsid w:val="00A66680"/>
    <w:rsid w:val="00A670D5"/>
    <w:rsid w:val="00A673C5"/>
    <w:rsid w:val="00A70F43"/>
    <w:rsid w:val="00A71E2C"/>
    <w:rsid w:val="00A7265E"/>
    <w:rsid w:val="00A73052"/>
    <w:rsid w:val="00A73D12"/>
    <w:rsid w:val="00A73FD5"/>
    <w:rsid w:val="00A75504"/>
    <w:rsid w:val="00A763A1"/>
    <w:rsid w:val="00A768F2"/>
    <w:rsid w:val="00A779E8"/>
    <w:rsid w:val="00A83B70"/>
    <w:rsid w:val="00A83FF0"/>
    <w:rsid w:val="00A85184"/>
    <w:rsid w:val="00A9134F"/>
    <w:rsid w:val="00A920AA"/>
    <w:rsid w:val="00A935DB"/>
    <w:rsid w:val="00A95C7C"/>
    <w:rsid w:val="00A965CE"/>
    <w:rsid w:val="00AA415C"/>
    <w:rsid w:val="00AB0064"/>
    <w:rsid w:val="00AB44DE"/>
    <w:rsid w:val="00AB611C"/>
    <w:rsid w:val="00AB706E"/>
    <w:rsid w:val="00AB74C9"/>
    <w:rsid w:val="00AC0E21"/>
    <w:rsid w:val="00AC131F"/>
    <w:rsid w:val="00AC1D7F"/>
    <w:rsid w:val="00AC5E9C"/>
    <w:rsid w:val="00AC5F8D"/>
    <w:rsid w:val="00AC6DDF"/>
    <w:rsid w:val="00AD2D79"/>
    <w:rsid w:val="00AD4DFE"/>
    <w:rsid w:val="00AD5548"/>
    <w:rsid w:val="00AD700E"/>
    <w:rsid w:val="00AE0B1E"/>
    <w:rsid w:val="00AE1C3C"/>
    <w:rsid w:val="00AE1F49"/>
    <w:rsid w:val="00AE36A3"/>
    <w:rsid w:val="00AE43B7"/>
    <w:rsid w:val="00AE4B48"/>
    <w:rsid w:val="00AE5354"/>
    <w:rsid w:val="00AE5627"/>
    <w:rsid w:val="00AE6637"/>
    <w:rsid w:val="00AF2FC8"/>
    <w:rsid w:val="00AF542F"/>
    <w:rsid w:val="00AF6298"/>
    <w:rsid w:val="00AF7B22"/>
    <w:rsid w:val="00B00769"/>
    <w:rsid w:val="00B02274"/>
    <w:rsid w:val="00B028E4"/>
    <w:rsid w:val="00B02FB2"/>
    <w:rsid w:val="00B04546"/>
    <w:rsid w:val="00B047BD"/>
    <w:rsid w:val="00B0548E"/>
    <w:rsid w:val="00B07BFC"/>
    <w:rsid w:val="00B1010A"/>
    <w:rsid w:val="00B1330F"/>
    <w:rsid w:val="00B14803"/>
    <w:rsid w:val="00B15B16"/>
    <w:rsid w:val="00B15ED1"/>
    <w:rsid w:val="00B15FF5"/>
    <w:rsid w:val="00B16FC0"/>
    <w:rsid w:val="00B173D0"/>
    <w:rsid w:val="00B1743E"/>
    <w:rsid w:val="00B20DD6"/>
    <w:rsid w:val="00B20FC1"/>
    <w:rsid w:val="00B2195B"/>
    <w:rsid w:val="00B221BD"/>
    <w:rsid w:val="00B23BDA"/>
    <w:rsid w:val="00B23BF5"/>
    <w:rsid w:val="00B23DD5"/>
    <w:rsid w:val="00B23F83"/>
    <w:rsid w:val="00B244F2"/>
    <w:rsid w:val="00B24671"/>
    <w:rsid w:val="00B247B3"/>
    <w:rsid w:val="00B255FC"/>
    <w:rsid w:val="00B27FAC"/>
    <w:rsid w:val="00B321C4"/>
    <w:rsid w:val="00B32492"/>
    <w:rsid w:val="00B337CC"/>
    <w:rsid w:val="00B33BA0"/>
    <w:rsid w:val="00B35396"/>
    <w:rsid w:val="00B35B99"/>
    <w:rsid w:val="00B365FE"/>
    <w:rsid w:val="00B36904"/>
    <w:rsid w:val="00B37AC4"/>
    <w:rsid w:val="00B40851"/>
    <w:rsid w:val="00B43D9C"/>
    <w:rsid w:val="00B446D7"/>
    <w:rsid w:val="00B44A5D"/>
    <w:rsid w:val="00B4536C"/>
    <w:rsid w:val="00B477E4"/>
    <w:rsid w:val="00B5216A"/>
    <w:rsid w:val="00B5336A"/>
    <w:rsid w:val="00B54D4C"/>
    <w:rsid w:val="00B5526D"/>
    <w:rsid w:val="00B552C3"/>
    <w:rsid w:val="00B55377"/>
    <w:rsid w:val="00B62CE5"/>
    <w:rsid w:val="00B66765"/>
    <w:rsid w:val="00B67C85"/>
    <w:rsid w:val="00B70DDF"/>
    <w:rsid w:val="00B71A50"/>
    <w:rsid w:val="00B727C1"/>
    <w:rsid w:val="00B72E42"/>
    <w:rsid w:val="00B73225"/>
    <w:rsid w:val="00B75197"/>
    <w:rsid w:val="00B776D8"/>
    <w:rsid w:val="00B80291"/>
    <w:rsid w:val="00B80DC0"/>
    <w:rsid w:val="00B810EB"/>
    <w:rsid w:val="00B8186D"/>
    <w:rsid w:val="00B8212B"/>
    <w:rsid w:val="00B82841"/>
    <w:rsid w:val="00B835CD"/>
    <w:rsid w:val="00B83FB2"/>
    <w:rsid w:val="00B8562C"/>
    <w:rsid w:val="00B85E2D"/>
    <w:rsid w:val="00B8754B"/>
    <w:rsid w:val="00B90487"/>
    <w:rsid w:val="00B91DA7"/>
    <w:rsid w:val="00B93269"/>
    <w:rsid w:val="00B94FA6"/>
    <w:rsid w:val="00B97548"/>
    <w:rsid w:val="00BA1875"/>
    <w:rsid w:val="00BA269D"/>
    <w:rsid w:val="00BA2AE1"/>
    <w:rsid w:val="00BA3483"/>
    <w:rsid w:val="00BA3FFF"/>
    <w:rsid w:val="00BA55D7"/>
    <w:rsid w:val="00BA5B85"/>
    <w:rsid w:val="00BA5FEF"/>
    <w:rsid w:val="00BA6786"/>
    <w:rsid w:val="00BA6D65"/>
    <w:rsid w:val="00BA7539"/>
    <w:rsid w:val="00BB16EE"/>
    <w:rsid w:val="00BB2CD3"/>
    <w:rsid w:val="00BB2FA9"/>
    <w:rsid w:val="00BB33A9"/>
    <w:rsid w:val="00BB38E4"/>
    <w:rsid w:val="00BB3DC1"/>
    <w:rsid w:val="00BB611E"/>
    <w:rsid w:val="00BB618A"/>
    <w:rsid w:val="00BB68F0"/>
    <w:rsid w:val="00BC1709"/>
    <w:rsid w:val="00BC1763"/>
    <w:rsid w:val="00BC1A4F"/>
    <w:rsid w:val="00BC52C1"/>
    <w:rsid w:val="00BC7338"/>
    <w:rsid w:val="00BC7F24"/>
    <w:rsid w:val="00BD0CAD"/>
    <w:rsid w:val="00BD0DB7"/>
    <w:rsid w:val="00BD1308"/>
    <w:rsid w:val="00BD26AB"/>
    <w:rsid w:val="00BD3D46"/>
    <w:rsid w:val="00BD578A"/>
    <w:rsid w:val="00BD6487"/>
    <w:rsid w:val="00BD69FA"/>
    <w:rsid w:val="00BD74B0"/>
    <w:rsid w:val="00BE0EA9"/>
    <w:rsid w:val="00BE1D99"/>
    <w:rsid w:val="00BE43EC"/>
    <w:rsid w:val="00BE49EC"/>
    <w:rsid w:val="00BE55BD"/>
    <w:rsid w:val="00BE672C"/>
    <w:rsid w:val="00BF018F"/>
    <w:rsid w:val="00BF2403"/>
    <w:rsid w:val="00BF2C6C"/>
    <w:rsid w:val="00BF398A"/>
    <w:rsid w:val="00BF3D98"/>
    <w:rsid w:val="00BF40B9"/>
    <w:rsid w:val="00BF4BFA"/>
    <w:rsid w:val="00BF6BEB"/>
    <w:rsid w:val="00BF74B4"/>
    <w:rsid w:val="00C00306"/>
    <w:rsid w:val="00C00970"/>
    <w:rsid w:val="00C01132"/>
    <w:rsid w:val="00C02DA1"/>
    <w:rsid w:val="00C02E57"/>
    <w:rsid w:val="00C0415B"/>
    <w:rsid w:val="00C063F4"/>
    <w:rsid w:val="00C06616"/>
    <w:rsid w:val="00C070DA"/>
    <w:rsid w:val="00C106CF"/>
    <w:rsid w:val="00C13752"/>
    <w:rsid w:val="00C153D6"/>
    <w:rsid w:val="00C17C15"/>
    <w:rsid w:val="00C200FE"/>
    <w:rsid w:val="00C23169"/>
    <w:rsid w:val="00C23AE0"/>
    <w:rsid w:val="00C23B60"/>
    <w:rsid w:val="00C247E9"/>
    <w:rsid w:val="00C24BC4"/>
    <w:rsid w:val="00C24D34"/>
    <w:rsid w:val="00C25BDE"/>
    <w:rsid w:val="00C271E2"/>
    <w:rsid w:val="00C305BD"/>
    <w:rsid w:val="00C30BDC"/>
    <w:rsid w:val="00C3239B"/>
    <w:rsid w:val="00C3324D"/>
    <w:rsid w:val="00C33793"/>
    <w:rsid w:val="00C3390C"/>
    <w:rsid w:val="00C343FF"/>
    <w:rsid w:val="00C34616"/>
    <w:rsid w:val="00C35473"/>
    <w:rsid w:val="00C35BDB"/>
    <w:rsid w:val="00C37EB3"/>
    <w:rsid w:val="00C41B4B"/>
    <w:rsid w:val="00C43725"/>
    <w:rsid w:val="00C44D33"/>
    <w:rsid w:val="00C4772E"/>
    <w:rsid w:val="00C47A74"/>
    <w:rsid w:val="00C50A04"/>
    <w:rsid w:val="00C52977"/>
    <w:rsid w:val="00C53ADC"/>
    <w:rsid w:val="00C55265"/>
    <w:rsid w:val="00C55F72"/>
    <w:rsid w:val="00C602CE"/>
    <w:rsid w:val="00C6207B"/>
    <w:rsid w:val="00C62C86"/>
    <w:rsid w:val="00C6307E"/>
    <w:rsid w:val="00C64F0B"/>
    <w:rsid w:val="00C6515A"/>
    <w:rsid w:val="00C65BF2"/>
    <w:rsid w:val="00C660F7"/>
    <w:rsid w:val="00C66EA7"/>
    <w:rsid w:val="00C67438"/>
    <w:rsid w:val="00C67E8D"/>
    <w:rsid w:val="00C71B0C"/>
    <w:rsid w:val="00C71D1E"/>
    <w:rsid w:val="00C751A9"/>
    <w:rsid w:val="00C76196"/>
    <w:rsid w:val="00C7663B"/>
    <w:rsid w:val="00C767D4"/>
    <w:rsid w:val="00C76FD5"/>
    <w:rsid w:val="00C82AE6"/>
    <w:rsid w:val="00C82B47"/>
    <w:rsid w:val="00C838C1"/>
    <w:rsid w:val="00C84942"/>
    <w:rsid w:val="00C851BD"/>
    <w:rsid w:val="00C85D86"/>
    <w:rsid w:val="00C85E65"/>
    <w:rsid w:val="00C86CCE"/>
    <w:rsid w:val="00C905DA"/>
    <w:rsid w:val="00C90957"/>
    <w:rsid w:val="00C9158E"/>
    <w:rsid w:val="00C91F56"/>
    <w:rsid w:val="00C9204B"/>
    <w:rsid w:val="00C96DCA"/>
    <w:rsid w:val="00C97225"/>
    <w:rsid w:val="00CA3160"/>
    <w:rsid w:val="00CA519B"/>
    <w:rsid w:val="00CA5427"/>
    <w:rsid w:val="00CA59C9"/>
    <w:rsid w:val="00CB1170"/>
    <w:rsid w:val="00CB13AD"/>
    <w:rsid w:val="00CB4D15"/>
    <w:rsid w:val="00CB5100"/>
    <w:rsid w:val="00CB52CA"/>
    <w:rsid w:val="00CB5574"/>
    <w:rsid w:val="00CB7E63"/>
    <w:rsid w:val="00CC3B05"/>
    <w:rsid w:val="00CC50AB"/>
    <w:rsid w:val="00CC6005"/>
    <w:rsid w:val="00CC6390"/>
    <w:rsid w:val="00CC715A"/>
    <w:rsid w:val="00CD03FA"/>
    <w:rsid w:val="00CD16B8"/>
    <w:rsid w:val="00CD184D"/>
    <w:rsid w:val="00CD1F83"/>
    <w:rsid w:val="00CD385C"/>
    <w:rsid w:val="00CD6643"/>
    <w:rsid w:val="00CD7289"/>
    <w:rsid w:val="00CE1280"/>
    <w:rsid w:val="00CE224E"/>
    <w:rsid w:val="00CE4AB8"/>
    <w:rsid w:val="00CE5088"/>
    <w:rsid w:val="00CE5191"/>
    <w:rsid w:val="00CE5270"/>
    <w:rsid w:val="00CE67FA"/>
    <w:rsid w:val="00CE74FC"/>
    <w:rsid w:val="00CE78E4"/>
    <w:rsid w:val="00CF0E99"/>
    <w:rsid w:val="00CF276F"/>
    <w:rsid w:val="00CF37F1"/>
    <w:rsid w:val="00CF4627"/>
    <w:rsid w:val="00CF536B"/>
    <w:rsid w:val="00CF702F"/>
    <w:rsid w:val="00CF72E4"/>
    <w:rsid w:val="00CF7F59"/>
    <w:rsid w:val="00D0181A"/>
    <w:rsid w:val="00D01964"/>
    <w:rsid w:val="00D0292D"/>
    <w:rsid w:val="00D02F4F"/>
    <w:rsid w:val="00D06001"/>
    <w:rsid w:val="00D062B4"/>
    <w:rsid w:val="00D07717"/>
    <w:rsid w:val="00D1183A"/>
    <w:rsid w:val="00D11D33"/>
    <w:rsid w:val="00D163FF"/>
    <w:rsid w:val="00D21C3B"/>
    <w:rsid w:val="00D25748"/>
    <w:rsid w:val="00D25B16"/>
    <w:rsid w:val="00D25DFB"/>
    <w:rsid w:val="00D26417"/>
    <w:rsid w:val="00D271E1"/>
    <w:rsid w:val="00D3051C"/>
    <w:rsid w:val="00D311CA"/>
    <w:rsid w:val="00D3133B"/>
    <w:rsid w:val="00D40808"/>
    <w:rsid w:val="00D40F2A"/>
    <w:rsid w:val="00D41186"/>
    <w:rsid w:val="00D4422A"/>
    <w:rsid w:val="00D453D8"/>
    <w:rsid w:val="00D45D53"/>
    <w:rsid w:val="00D500B1"/>
    <w:rsid w:val="00D51A90"/>
    <w:rsid w:val="00D53A53"/>
    <w:rsid w:val="00D57EDF"/>
    <w:rsid w:val="00D57EE5"/>
    <w:rsid w:val="00D608A6"/>
    <w:rsid w:val="00D63374"/>
    <w:rsid w:val="00D63820"/>
    <w:rsid w:val="00D63AF5"/>
    <w:rsid w:val="00D66C15"/>
    <w:rsid w:val="00D71C93"/>
    <w:rsid w:val="00D723A5"/>
    <w:rsid w:val="00D72B35"/>
    <w:rsid w:val="00D72EBC"/>
    <w:rsid w:val="00D73B59"/>
    <w:rsid w:val="00D7528A"/>
    <w:rsid w:val="00D75A1F"/>
    <w:rsid w:val="00D7646B"/>
    <w:rsid w:val="00D77164"/>
    <w:rsid w:val="00D81CC4"/>
    <w:rsid w:val="00D81D2C"/>
    <w:rsid w:val="00D82E1B"/>
    <w:rsid w:val="00D84C84"/>
    <w:rsid w:val="00D84DFE"/>
    <w:rsid w:val="00D86A53"/>
    <w:rsid w:val="00D87E3C"/>
    <w:rsid w:val="00D91EB1"/>
    <w:rsid w:val="00D94F97"/>
    <w:rsid w:val="00D97DBA"/>
    <w:rsid w:val="00DA00E2"/>
    <w:rsid w:val="00DA1B51"/>
    <w:rsid w:val="00DA22A1"/>
    <w:rsid w:val="00DA2DD8"/>
    <w:rsid w:val="00DA40A7"/>
    <w:rsid w:val="00DA4563"/>
    <w:rsid w:val="00DA48F0"/>
    <w:rsid w:val="00DA5A13"/>
    <w:rsid w:val="00DA5B7C"/>
    <w:rsid w:val="00DA5FB2"/>
    <w:rsid w:val="00DA6DB9"/>
    <w:rsid w:val="00DA7A86"/>
    <w:rsid w:val="00DB2A57"/>
    <w:rsid w:val="00DB37F5"/>
    <w:rsid w:val="00DB3A1A"/>
    <w:rsid w:val="00DB455F"/>
    <w:rsid w:val="00DB4D37"/>
    <w:rsid w:val="00DB759E"/>
    <w:rsid w:val="00DC2AD6"/>
    <w:rsid w:val="00DC33C3"/>
    <w:rsid w:val="00DC39DF"/>
    <w:rsid w:val="00DC6494"/>
    <w:rsid w:val="00DC7AFD"/>
    <w:rsid w:val="00DC7BBA"/>
    <w:rsid w:val="00DD032A"/>
    <w:rsid w:val="00DD0AFD"/>
    <w:rsid w:val="00DD39EC"/>
    <w:rsid w:val="00DD484E"/>
    <w:rsid w:val="00DD74F4"/>
    <w:rsid w:val="00DD759E"/>
    <w:rsid w:val="00DE00DA"/>
    <w:rsid w:val="00DE1F30"/>
    <w:rsid w:val="00DE36D0"/>
    <w:rsid w:val="00DE4FAA"/>
    <w:rsid w:val="00DE503A"/>
    <w:rsid w:val="00DE6789"/>
    <w:rsid w:val="00DE696B"/>
    <w:rsid w:val="00DF038C"/>
    <w:rsid w:val="00DF0FA4"/>
    <w:rsid w:val="00DF1DFF"/>
    <w:rsid w:val="00DF3025"/>
    <w:rsid w:val="00DF49F5"/>
    <w:rsid w:val="00DF53C1"/>
    <w:rsid w:val="00DF5F02"/>
    <w:rsid w:val="00DF6094"/>
    <w:rsid w:val="00DF627D"/>
    <w:rsid w:val="00DF7FF8"/>
    <w:rsid w:val="00E00001"/>
    <w:rsid w:val="00E00A9B"/>
    <w:rsid w:val="00E01D9F"/>
    <w:rsid w:val="00E05169"/>
    <w:rsid w:val="00E05EE1"/>
    <w:rsid w:val="00E07EC2"/>
    <w:rsid w:val="00E10DEE"/>
    <w:rsid w:val="00E1219F"/>
    <w:rsid w:val="00E1241D"/>
    <w:rsid w:val="00E135C1"/>
    <w:rsid w:val="00E14AB8"/>
    <w:rsid w:val="00E150A3"/>
    <w:rsid w:val="00E162E8"/>
    <w:rsid w:val="00E16481"/>
    <w:rsid w:val="00E16D65"/>
    <w:rsid w:val="00E1710B"/>
    <w:rsid w:val="00E226EA"/>
    <w:rsid w:val="00E22DF6"/>
    <w:rsid w:val="00E22F0D"/>
    <w:rsid w:val="00E2383C"/>
    <w:rsid w:val="00E24AB5"/>
    <w:rsid w:val="00E24D7D"/>
    <w:rsid w:val="00E25E6A"/>
    <w:rsid w:val="00E2747C"/>
    <w:rsid w:val="00E30BC7"/>
    <w:rsid w:val="00E330ED"/>
    <w:rsid w:val="00E333B8"/>
    <w:rsid w:val="00E33B24"/>
    <w:rsid w:val="00E36560"/>
    <w:rsid w:val="00E37210"/>
    <w:rsid w:val="00E37CBC"/>
    <w:rsid w:val="00E404DA"/>
    <w:rsid w:val="00E40A4B"/>
    <w:rsid w:val="00E42FF4"/>
    <w:rsid w:val="00E44813"/>
    <w:rsid w:val="00E47F78"/>
    <w:rsid w:val="00E50BA1"/>
    <w:rsid w:val="00E51BE1"/>
    <w:rsid w:val="00E51F05"/>
    <w:rsid w:val="00E53305"/>
    <w:rsid w:val="00E536FC"/>
    <w:rsid w:val="00E53FE3"/>
    <w:rsid w:val="00E565D9"/>
    <w:rsid w:val="00E619CE"/>
    <w:rsid w:val="00E63C72"/>
    <w:rsid w:val="00E658FC"/>
    <w:rsid w:val="00E66ED0"/>
    <w:rsid w:val="00E73890"/>
    <w:rsid w:val="00E74F1D"/>
    <w:rsid w:val="00E765B4"/>
    <w:rsid w:val="00E77A74"/>
    <w:rsid w:val="00E77B3A"/>
    <w:rsid w:val="00E82110"/>
    <w:rsid w:val="00E827EB"/>
    <w:rsid w:val="00E83E30"/>
    <w:rsid w:val="00E84E1B"/>
    <w:rsid w:val="00E85C8B"/>
    <w:rsid w:val="00E8703A"/>
    <w:rsid w:val="00E90990"/>
    <w:rsid w:val="00E93699"/>
    <w:rsid w:val="00E936A1"/>
    <w:rsid w:val="00E9673B"/>
    <w:rsid w:val="00E97E60"/>
    <w:rsid w:val="00EA0DA8"/>
    <w:rsid w:val="00EA1855"/>
    <w:rsid w:val="00EA1AFE"/>
    <w:rsid w:val="00EA2BA3"/>
    <w:rsid w:val="00EA2FFF"/>
    <w:rsid w:val="00EA38A3"/>
    <w:rsid w:val="00EA5935"/>
    <w:rsid w:val="00EA7D07"/>
    <w:rsid w:val="00EB0F09"/>
    <w:rsid w:val="00EB0F16"/>
    <w:rsid w:val="00EB0F2B"/>
    <w:rsid w:val="00EB12B4"/>
    <w:rsid w:val="00EB30FF"/>
    <w:rsid w:val="00EB34B6"/>
    <w:rsid w:val="00EB3EAC"/>
    <w:rsid w:val="00EC0439"/>
    <w:rsid w:val="00EC2704"/>
    <w:rsid w:val="00EC2FF4"/>
    <w:rsid w:val="00EC542C"/>
    <w:rsid w:val="00EC5E78"/>
    <w:rsid w:val="00EC6E6C"/>
    <w:rsid w:val="00EC6E92"/>
    <w:rsid w:val="00EC7016"/>
    <w:rsid w:val="00EC75DA"/>
    <w:rsid w:val="00EC7F6D"/>
    <w:rsid w:val="00ED0D86"/>
    <w:rsid w:val="00ED0DD8"/>
    <w:rsid w:val="00ED10FF"/>
    <w:rsid w:val="00ED4524"/>
    <w:rsid w:val="00ED462D"/>
    <w:rsid w:val="00EE14B1"/>
    <w:rsid w:val="00EE2D03"/>
    <w:rsid w:val="00EE39A2"/>
    <w:rsid w:val="00EE4417"/>
    <w:rsid w:val="00EE701E"/>
    <w:rsid w:val="00EE7D3A"/>
    <w:rsid w:val="00EF0422"/>
    <w:rsid w:val="00EF0681"/>
    <w:rsid w:val="00EF3655"/>
    <w:rsid w:val="00EF53B2"/>
    <w:rsid w:val="00EF58B6"/>
    <w:rsid w:val="00EF5EB7"/>
    <w:rsid w:val="00EF66BB"/>
    <w:rsid w:val="00EF7704"/>
    <w:rsid w:val="00F002F5"/>
    <w:rsid w:val="00F02214"/>
    <w:rsid w:val="00F03BAE"/>
    <w:rsid w:val="00F0450D"/>
    <w:rsid w:val="00F04726"/>
    <w:rsid w:val="00F0563B"/>
    <w:rsid w:val="00F05DB2"/>
    <w:rsid w:val="00F06D6E"/>
    <w:rsid w:val="00F1377D"/>
    <w:rsid w:val="00F13A47"/>
    <w:rsid w:val="00F14369"/>
    <w:rsid w:val="00F14D18"/>
    <w:rsid w:val="00F15125"/>
    <w:rsid w:val="00F1636B"/>
    <w:rsid w:val="00F16B28"/>
    <w:rsid w:val="00F20ED1"/>
    <w:rsid w:val="00F21B75"/>
    <w:rsid w:val="00F23142"/>
    <w:rsid w:val="00F239C6"/>
    <w:rsid w:val="00F24751"/>
    <w:rsid w:val="00F25ABD"/>
    <w:rsid w:val="00F27DAF"/>
    <w:rsid w:val="00F30AF9"/>
    <w:rsid w:val="00F317FB"/>
    <w:rsid w:val="00F32DAB"/>
    <w:rsid w:val="00F33B85"/>
    <w:rsid w:val="00F37252"/>
    <w:rsid w:val="00F408D7"/>
    <w:rsid w:val="00F428F7"/>
    <w:rsid w:val="00F4484E"/>
    <w:rsid w:val="00F47367"/>
    <w:rsid w:val="00F51FED"/>
    <w:rsid w:val="00F52F9D"/>
    <w:rsid w:val="00F54366"/>
    <w:rsid w:val="00F54FC8"/>
    <w:rsid w:val="00F55359"/>
    <w:rsid w:val="00F554D2"/>
    <w:rsid w:val="00F55F03"/>
    <w:rsid w:val="00F61EE9"/>
    <w:rsid w:val="00F6220B"/>
    <w:rsid w:val="00F62D81"/>
    <w:rsid w:val="00F66619"/>
    <w:rsid w:val="00F67FD8"/>
    <w:rsid w:val="00F71CB4"/>
    <w:rsid w:val="00F72963"/>
    <w:rsid w:val="00F729AC"/>
    <w:rsid w:val="00F75250"/>
    <w:rsid w:val="00F77154"/>
    <w:rsid w:val="00F802F0"/>
    <w:rsid w:val="00F82A6E"/>
    <w:rsid w:val="00F832B3"/>
    <w:rsid w:val="00F840FA"/>
    <w:rsid w:val="00F84227"/>
    <w:rsid w:val="00F84EE2"/>
    <w:rsid w:val="00F85315"/>
    <w:rsid w:val="00F91187"/>
    <w:rsid w:val="00F95003"/>
    <w:rsid w:val="00F95A2B"/>
    <w:rsid w:val="00F9797C"/>
    <w:rsid w:val="00F97F35"/>
    <w:rsid w:val="00FA1AB6"/>
    <w:rsid w:val="00FA3025"/>
    <w:rsid w:val="00FA3695"/>
    <w:rsid w:val="00FA370A"/>
    <w:rsid w:val="00FA4B5E"/>
    <w:rsid w:val="00FA51C0"/>
    <w:rsid w:val="00FA70FF"/>
    <w:rsid w:val="00FA791C"/>
    <w:rsid w:val="00FB20D3"/>
    <w:rsid w:val="00FB2F21"/>
    <w:rsid w:val="00FB3726"/>
    <w:rsid w:val="00FB3E96"/>
    <w:rsid w:val="00FB5628"/>
    <w:rsid w:val="00FB641F"/>
    <w:rsid w:val="00FB7240"/>
    <w:rsid w:val="00FB7539"/>
    <w:rsid w:val="00FB7FD7"/>
    <w:rsid w:val="00FC1733"/>
    <w:rsid w:val="00FC1A82"/>
    <w:rsid w:val="00FC36F4"/>
    <w:rsid w:val="00FC39D8"/>
    <w:rsid w:val="00FC5411"/>
    <w:rsid w:val="00FD013A"/>
    <w:rsid w:val="00FD10B3"/>
    <w:rsid w:val="00FD15F5"/>
    <w:rsid w:val="00FD3C0A"/>
    <w:rsid w:val="00FD3C0E"/>
    <w:rsid w:val="00FD4A20"/>
    <w:rsid w:val="00FD72B3"/>
    <w:rsid w:val="00FD79EB"/>
    <w:rsid w:val="00FE008B"/>
    <w:rsid w:val="00FE0793"/>
    <w:rsid w:val="00FE089A"/>
    <w:rsid w:val="00FE0B6E"/>
    <w:rsid w:val="00FE128A"/>
    <w:rsid w:val="00FE1A16"/>
    <w:rsid w:val="00FE1E25"/>
    <w:rsid w:val="00FE290E"/>
    <w:rsid w:val="00FE3A8C"/>
    <w:rsid w:val="00FE3BB6"/>
    <w:rsid w:val="00FE47AE"/>
    <w:rsid w:val="00FE637E"/>
    <w:rsid w:val="00FE7235"/>
    <w:rsid w:val="00FF0906"/>
    <w:rsid w:val="00FF0C6A"/>
    <w:rsid w:val="00FF5D75"/>
    <w:rsid w:val="00FF6C0B"/>
    <w:rsid w:val="00FF7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DF2787"/>
  <w15:docId w15:val="{2D15B0C0-9154-4581-91F0-8C573ED9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95B"/>
    <w:rPr>
      <w:rFonts w:ascii="Arial" w:hAnsi="Arial"/>
      <w:color w:val="3C3C3C"/>
      <w:sz w:val="24"/>
    </w:rPr>
  </w:style>
  <w:style w:type="paragraph" w:styleId="Heading1">
    <w:name w:val="heading 1"/>
    <w:basedOn w:val="Normal"/>
    <w:next w:val="Normal"/>
    <w:link w:val="Heading1Char"/>
    <w:uiPriority w:val="9"/>
    <w:qFormat/>
    <w:rsid w:val="00B047BD"/>
    <w:pPr>
      <w:keepNext/>
      <w:keepLines/>
      <w:spacing w:before="480" w:after="360"/>
      <w:outlineLvl w:val="0"/>
    </w:pPr>
    <w:rPr>
      <w:rFonts w:eastAsiaTheme="majorEastAsia" w:cs="Arial"/>
      <w:bCs/>
      <w:color w:val="2C5C86"/>
      <w:sz w:val="40"/>
      <w:szCs w:val="40"/>
    </w:rPr>
  </w:style>
  <w:style w:type="paragraph" w:styleId="Heading2">
    <w:name w:val="heading 2"/>
    <w:basedOn w:val="Normal"/>
    <w:next w:val="Normal"/>
    <w:link w:val="Heading2Char"/>
    <w:uiPriority w:val="9"/>
    <w:unhideWhenUsed/>
    <w:qFormat/>
    <w:rsid w:val="00B047BD"/>
    <w:pPr>
      <w:keepNext/>
      <w:keepLines/>
      <w:spacing w:before="360"/>
      <w:outlineLvl w:val="1"/>
    </w:pPr>
    <w:rPr>
      <w:rFonts w:eastAsiaTheme="majorEastAsia" w:cs="Arial"/>
      <w:bCs/>
      <w:color w:val="2C5C86"/>
      <w:sz w:val="32"/>
      <w:szCs w:val="26"/>
      <w:lang w:eastAsia="en-AU"/>
    </w:rPr>
  </w:style>
  <w:style w:type="paragraph" w:styleId="Heading3">
    <w:name w:val="heading 3"/>
    <w:basedOn w:val="Normal"/>
    <w:next w:val="Normal"/>
    <w:link w:val="Heading3Char"/>
    <w:uiPriority w:val="9"/>
    <w:unhideWhenUsed/>
    <w:qFormat/>
    <w:rsid w:val="00B047BD"/>
    <w:pPr>
      <w:keepNext/>
      <w:keepLines/>
      <w:spacing w:before="36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B047BD"/>
    <w:pPr>
      <w:keepNext/>
      <w:keepLines/>
      <w:spacing w:before="240"/>
      <w:outlineLvl w:val="3"/>
    </w:pPr>
    <w:rPr>
      <w:rFonts w:eastAsiaTheme="majorEastAsia" w:cstheme="majorBidi"/>
      <w:b/>
      <w:bCs/>
      <w:iCs/>
      <w:color w:val="2C5C86"/>
      <w:szCs w:val="24"/>
    </w:rPr>
  </w:style>
  <w:style w:type="paragraph" w:styleId="Heading5">
    <w:name w:val="heading 5"/>
    <w:basedOn w:val="Normal"/>
    <w:next w:val="Normal"/>
    <w:link w:val="Heading5Char"/>
    <w:uiPriority w:val="9"/>
    <w:unhideWhenUsed/>
    <w:qFormat/>
    <w:rsid w:val="00B047BD"/>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7BD"/>
    <w:rPr>
      <w:rFonts w:ascii="Arial" w:eastAsiaTheme="majorEastAsia" w:hAnsi="Arial" w:cs="Arial"/>
      <w:bCs/>
      <w:color w:val="2C5C86"/>
      <w:sz w:val="40"/>
      <w:szCs w:val="40"/>
    </w:rPr>
  </w:style>
  <w:style w:type="character" w:customStyle="1" w:styleId="Heading2Char">
    <w:name w:val="Heading 2 Char"/>
    <w:basedOn w:val="DefaultParagraphFont"/>
    <w:link w:val="Heading2"/>
    <w:uiPriority w:val="9"/>
    <w:rsid w:val="00B047BD"/>
    <w:rPr>
      <w:rFonts w:ascii="Arial" w:eastAsiaTheme="majorEastAsia" w:hAnsi="Arial" w:cs="Arial"/>
      <w:bCs/>
      <w:color w:val="2C5C86"/>
      <w:sz w:val="32"/>
      <w:szCs w:val="26"/>
      <w:lang w:eastAsia="en-AU"/>
    </w:rPr>
  </w:style>
  <w:style w:type="character" w:customStyle="1" w:styleId="Heading3Char">
    <w:name w:val="Heading 3 Char"/>
    <w:basedOn w:val="DefaultParagraphFont"/>
    <w:link w:val="Heading3"/>
    <w:uiPriority w:val="9"/>
    <w:rsid w:val="00B047BD"/>
    <w:rPr>
      <w:rFonts w:ascii="Arial" w:eastAsiaTheme="majorEastAsia" w:hAnsi="Arial" w:cs="Arial"/>
      <w:b/>
      <w:bCs/>
      <w:color w:val="3C3C3C"/>
      <w:sz w:val="26"/>
      <w:szCs w:val="26"/>
    </w:rPr>
  </w:style>
  <w:style w:type="character" w:customStyle="1" w:styleId="Heading4Char">
    <w:name w:val="Heading 4 Char"/>
    <w:basedOn w:val="DefaultParagraphFont"/>
    <w:link w:val="Heading4"/>
    <w:uiPriority w:val="9"/>
    <w:rsid w:val="00B047BD"/>
    <w:rPr>
      <w:rFonts w:ascii="Arial" w:eastAsiaTheme="majorEastAsia" w:hAnsi="Arial" w:cstheme="majorBidi"/>
      <w:b/>
      <w:bCs/>
      <w:iCs/>
      <w:color w:val="2C5C86"/>
      <w:sz w:val="24"/>
      <w:szCs w:val="24"/>
    </w:rPr>
  </w:style>
  <w:style w:type="character" w:customStyle="1" w:styleId="Heading5Char">
    <w:name w:val="Heading 5 Char"/>
    <w:basedOn w:val="DefaultParagraphFont"/>
    <w:link w:val="Heading5"/>
    <w:uiPriority w:val="9"/>
    <w:rsid w:val="00B047BD"/>
    <w:rPr>
      <w:rFonts w:ascii="Arial" w:eastAsiaTheme="majorEastAsia" w:hAnsi="Arial" w:cstheme="majorBidi"/>
      <w:b/>
      <w:color w:val="3C3C3C"/>
      <w:sz w:val="24"/>
    </w:rPr>
  </w:style>
  <w:style w:type="table" w:customStyle="1" w:styleId="DLGCTable-Data">
    <w:name w:val="DLGC Table - Data"/>
    <w:basedOn w:val="TableNormal"/>
    <w:uiPriority w:val="99"/>
    <w:rsid w:val="005D1984"/>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table" w:styleId="TableGrid">
    <w:name w:val="Table Grid"/>
    <w:aliases w:val="DLGC Table - Form"/>
    <w:basedOn w:val="TableNormal"/>
    <w:rsid w:val="005D1984"/>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DLGCTable-Checklist">
    <w:name w:val="DLGC Table - Checklist"/>
    <w:basedOn w:val="TableNormal"/>
    <w:uiPriority w:val="99"/>
    <w:rsid w:val="005D1984"/>
    <w:pPr>
      <w:spacing w:before="100" w:after="100" w:line="240" w:lineRule="auto"/>
      <w:ind w:left="170" w:right="170"/>
    </w:pPr>
    <w:rPr>
      <w:rFonts w:ascii="Arial" w:hAnsi="Arial"/>
      <w:color w:val="3C3C3C"/>
      <w:sz w:val="24"/>
    </w:rPr>
    <w:tblPr>
      <w:tblBorders>
        <w:insideH w:val="single" w:sz="12" w:space="0" w:color="FFFFFF" w:themeColor="background1"/>
        <w:insideV w:val="single" w:sz="12" w:space="0" w:color="FFFFFF" w:themeColor="background1"/>
      </w:tblBorders>
    </w:tblPr>
    <w:trPr>
      <w:tblHeader/>
    </w:trPr>
    <w:tcPr>
      <w:shd w:val="clear" w:color="auto" w:fill="E1F4FD"/>
    </w:tcPr>
    <w:tblStylePr w:type="firstRow">
      <w:pPr>
        <w:wordWrap/>
        <w:ind w:leftChars="0" w:left="170" w:rightChars="0" w:right="170"/>
      </w:pPr>
      <w:rPr>
        <w:b/>
      </w:rPr>
      <w:tblPr/>
      <w:trPr>
        <w:tblHeader/>
      </w:trPr>
    </w:tblStylePr>
  </w:style>
  <w:style w:type="paragraph" w:styleId="BalloonText">
    <w:name w:val="Balloon Text"/>
    <w:basedOn w:val="Normal"/>
    <w:link w:val="BalloonTextChar"/>
    <w:uiPriority w:val="99"/>
    <w:semiHidden/>
    <w:unhideWhenUsed/>
    <w:rsid w:val="005D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84"/>
    <w:rPr>
      <w:rFonts w:ascii="Tahoma" w:hAnsi="Tahoma" w:cs="Tahoma"/>
      <w:sz w:val="16"/>
      <w:szCs w:val="16"/>
    </w:rPr>
  </w:style>
  <w:style w:type="paragraph" w:styleId="BodyText">
    <w:name w:val="Body Text"/>
    <w:basedOn w:val="Normal"/>
    <w:link w:val="BodyTextChar"/>
    <w:uiPriority w:val="99"/>
    <w:unhideWhenUsed/>
    <w:rsid w:val="005D1984"/>
  </w:style>
  <w:style w:type="character" w:customStyle="1" w:styleId="BodyTextChar">
    <w:name w:val="Body Text Char"/>
    <w:basedOn w:val="DefaultParagraphFont"/>
    <w:link w:val="BodyText"/>
    <w:uiPriority w:val="99"/>
    <w:rsid w:val="005D1984"/>
    <w:rPr>
      <w:rFonts w:ascii="Arial" w:hAnsi="Arial"/>
      <w:color w:val="3C3C3C"/>
      <w:sz w:val="24"/>
    </w:rPr>
  </w:style>
  <w:style w:type="paragraph" w:customStyle="1" w:styleId="BodyText-nospacebelow">
    <w:name w:val="Body Text - no space below"/>
    <w:basedOn w:val="BodyText"/>
    <w:qFormat/>
    <w:locked/>
    <w:rsid w:val="005D1984"/>
    <w:pPr>
      <w:spacing w:after="0"/>
    </w:pPr>
  </w:style>
  <w:style w:type="paragraph" w:styleId="BlockText">
    <w:name w:val="Block Text"/>
    <w:basedOn w:val="Normal"/>
    <w:uiPriority w:val="99"/>
    <w:rsid w:val="00940D9A"/>
    <w:pPr>
      <w:pBdr>
        <w:top w:val="single" w:sz="2" w:space="10" w:color="007DBA"/>
        <w:left w:val="single" w:sz="2" w:space="10" w:color="007DBA"/>
        <w:bottom w:val="single" w:sz="2" w:space="10" w:color="007DBA"/>
        <w:right w:val="single" w:sz="2" w:space="10" w:color="007DBA"/>
      </w:pBdr>
      <w:ind w:left="142" w:right="1152"/>
    </w:pPr>
    <w:rPr>
      <w:rFonts w:eastAsiaTheme="minorEastAsia"/>
      <w:iCs/>
      <w:color w:val="007DBA"/>
    </w:rPr>
  </w:style>
  <w:style w:type="paragraph" w:styleId="BodyText2">
    <w:name w:val="Body Text 2"/>
    <w:basedOn w:val="Normal"/>
    <w:link w:val="BodyText2Char"/>
    <w:uiPriority w:val="99"/>
    <w:unhideWhenUsed/>
    <w:rsid w:val="00940D9A"/>
    <w:pPr>
      <w:spacing w:after="120"/>
    </w:pPr>
    <w:rPr>
      <w:color w:val="005F86"/>
    </w:rPr>
  </w:style>
  <w:style w:type="character" w:customStyle="1" w:styleId="BodyText2Char">
    <w:name w:val="Body Text 2 Char"/>
    <w:basedOn w:val="DefaultParagraphFont"/>
    <w:link w:val="BodyText2"/>
    <w:uiPriority w:val="99"/>
    <w:rsid w:val="00940D9A"/>
    <w:rPr>
      <w:rFonts w:ascii="Arial" w:hAnsi="Arial"/>
      <w:color w:val="005F86"/>
      <w:sz w:val="24"/>
    </w:rPr>
  </w:style>
  <w:style w:type="paragraph" w:customStyle="1" w:styleId="BodyText2-nospacebelow">
    <w:name w:val="Body Text 2 - no space below"/>
    <w:basedOn w:val="BodyText2"/>
    <w:qFormat/>
    <w:rsid w:val="00940D9A"/>
    <w:pPr>
      <w:spacing w:after="0"/>
    </w:pPr>
  </w:style>
  <w:style w:type="paragraph" w:styleId="BodyTextIndent">
    <w:name w:val="Body Text Indent"/>
    <w:basedOn w:val="Normal"/>
    <w:link w:val="BodyTextIndentChar"/>
    <w:uiPriority w:val="99"/>
    <w:rsid w:val="00940D9A"/>
    <w:pPr>
      <w:spacing w:after="120"/>
      <w:ind w:left="283"/>
    </w:pPr>
  </w:style>
  <w:style w:type="character" w:customStyle="1" w:styleId="BodyTextIndentChar">
    <w:name w:val="Body Text Indent Char"/>
    <w:basedOn w:val="DefaultParagraphFont"/>
    <w:link w:val="BodyTextIndent"/>
    <w:uiPriority w:val="99"/>
    <w:rsid w:val="00940D9A"/>
    <w:rPr>
      <w:rFonts w:ascii="Arial" w:hAnsi="Arial"/>
      <w:color w:val="3C3C3C"/>
      <w:sz w:val="24"/>
    </w:rPr>
  </w:style>
  <w:style w:type="paragraph" w:styleId="BodyTextIndent2">
    <w:name w:val="Body Text Indent 2"/>
    <w:basedOn w:val="BodyText2"/>
    <w:link w:val="BodyTextIndent2Char"/>
    <w:uiPriority w:val="99"/>
    <w:unhideWhenUsed/>
    <w:rsid w:val="00940D9A"/>
    <w:pPr>
      <w:spacing w:after="200"/>
      <w:ind w:left="284"/>
    </w:pPr>
  </w:style>
  <w:style w:type="character" w:customStyle="1" w:styleId="BodyTextIndent2Char">
    <w:name w:val="Body Text Indent 2 Char"/>
    <w:basedOn w:val="DefaultParagraphFont"/>
    <w:link w:val="BodyTextIndent2"/>
    <w:uiPriority w:val="99"/>
    <w:rsid w:val="00940D9A"/>
    <w:rPr>
      <w:rFonts w:ascii="Arial" w:hAnsi="Arial"/>
      <w:color w:val="005F86"/>
      <w:sz w:val="24"/>
    </w:rPr>
  </w:style>
  <w:style w:type="paragraph" w:styleId="Caption">
    <w:name w:val="caption"/>
    <w:basedOn w:val="Normal"/>
    <w:next w:val="Normal"/>
    <w:uiPriority w:val="35"/>
    <w:qFormat/>
    <w:rsid w:val="00940D9A"/>
    <w:pPr>
      <w:keepNext/>
      <w:spacing w:before="360"/>
    </w:pPr>
    <w:rPr>
      <w:rFonts w:cs="Arial"/>
      <w:b/>
      <w:bCs/>
      <w:color w:val="58585B"/>
      <w:szCs w:val="18"/>
      <w:lang w:eastAsia="en-AU"/>
    </w:rPr>
  </w:style>
  <w:style w:type="paragraph" w:customStyle="1" w:styleId="Heading1-Formblue">
    <w:name w:val="Heading 1 - Form blue"/>
    <w:basedOn w:val="Heading1"/>
    <w:qFormat/>
    <w:rsid w:val="00940D9A"/>
    <w:pPr>
      <w:pBdr>
        <w:bottom w:val="single" w:sz="4" w:space="1" w:color="007DBA"/>
      </w:pBdr>
      <w:spacing w:after="240" w:line="264" w:lineRule="auto"/>
    </w:pPr>
    <w:rPr>
      <w:bCs w:val="0"/>
    </w:rPr>
  </w:style>
  <w:style w:type="paragraph" w:customStyle="1" w:styleId="Heading2-Formblue">
    <w:name w:val="Heading 2 - Form blue"/>
    <w:basedOn w:val="Heading2"/>
    <w:qFormat/>
    <w:rsid w:val="00940D9A"/>
    <w:pPr>
      <w:pBdr>
        <w:bottom w:val="single" w:sz="4" w:space="1" w:color="007DBA"/>
      </w:pBdr>
      <w:tabs>
        <w:tab w:val="left" w:pos="4590"/>
      </w:tabs>
      <w:spacing w:before="480" w:after="240" w:line="264" w:lineRule="auto"/>
    </w:pPr>
    <w:rPr>
      <w:bCs w:val="0"/>
    </w:rPr>
  </w:style>
  <w:style w:type="paragraph" w:styleId="IntenseQuote">
    <w:name w:val="Intense Quote"/>
    <w:basedOn w:val="Normal"/>
    <w:next w:val="Normal"/>
    <w:link w:val="IntenseQuoteChar"/>
    <w:uiPriority w:val="30"/>
    <w:qFormat/>
    <w:rsid w:val="00940D9A"/>
    <w:pPr>
      <w:shd w:val="clear" w:color="auto" w:fill="E1F4FD"/>
      <w:spacing w:before="240" w:after="240"/>
      <w:ind w:right="936"/>
    </w:pPr>
    <w:rPr>
      <w:bCs/>
      <w:iCs/>
    </w:rPr>
  </w:style>
  <w:style w:type="character" w:customStyle="1" w:styleId="IntenseQuoteChar">
    <w:name w:val="Intense Quote Char"/>
    <w:basedOn w:val="DefaultParagraphFont"/>
    <w:link w:val="IntenseQuote"/>
    <w:uiPriority w:val="30"/>
    <w:rsid w:val="00940D9A"/>
    <w:rPr>
      <w:rFonts w:ascii="Arial" w:hAnsi="Arial"/>
      <w:bCs/>
      <w:iCs/>
      <w:color w:val="3C3C3C"/>
      <w:sz w:val="24"/>
      <w:shd w:val="clear" w:color="auto" w:fill="E1F4FD"/>
    </w:rPr>
  </w:style>
  <w:style w:type="paragraph" w:customStyle="1" w:styleId="Note">
    <w:name w:val="Note:"/>
    <w:basedOn w:val="NoteHeading"/>
    <w:qFormat/>
    <w:rsid w:val="00940D9A"/>
  </w:style>
  <w:style w:type="paragraph" w:styleId="NoteHeading">
    <w:name w:val="Note Heading"/>
    <w:basedOn w:val="Normal"/>
    <w:next w:val="Normal"/>
    <w:link w:val="NoteHeadingChar"/>
    <w:uiPriority w:val="99"/>
    <w:semiHidden/>
    <w:unhideWhenUsed/>
    <w:rsid w:val="00940D9A"/>
    <w:pPr>
      <w:spacing w:after="0" w:line="240" w:lineRule="auto"/>
    </w:pPr>
  </w:style>
  <w:style w:type="character" w:customStyle="1" w:styleId="NoteHeadingChar">
    <w:name w:val="Note Heading Char"/>
    <w:basedOn w:val="DefaultParagraphFont"/>
    <w:link w:val="NoteHeading"/>
    <w:uiPriority w:val="99"/>
    <w:semiHidden/>
    <w:rsid w:val="00940D9A"/>
    <w:rPr>
      <w:rFonts w:ascii="Arial" w:hAnsi="Arial"/>
      <w:color w:val="3C3C3C"/>
      <w:sz w:val="24"/>
    </w:rPr>
  </w:style>
  <w:style w:type="character" w:styleId="PageNumber">
    <w:name w:val="page number"/>
    <w:basedOn w:val="DefaultParagraphFont"/>
    <w:uiPriority w:val="99"/>
    <w:unhideWhenUsed/>
    <w:rsid w:val="00940D9A"/>
    <w:rPr>
      <w:sz w:val="20"/>
      <w:szCs w:val="20"/>
    </w:rPr>
  </w:style>
  <w:style w:type="paragraph" w:styleId="Quote">
    <w:name w:val="Quote"/>
    <w:basedOn w:val="Normal"/>
    <w:next w:val="Normal"/>
    <w:link w:val="QuoteChar"/>
    <w:uiPriority w:val="29"/>
    <w:qFormat/>
    <w:rsid w:val="00940D9A"/>
    <w:pPr>
      <w:spacing w:before="240" w:after="240"/>
    </w:pPr>
    <w:rPr>
      <w:iCs/>
      <w:color w:val="005F86"/>
    </w:rPr>
  </w:style>
  <w:style w:type="character" w:customStyle="1" w:styleId="QuoteChar">
    <w:name w:val="Quote Char"/>
    <w:basedOn w:val="DefaultParagraphFont"/>
    <w:link w:val="Quote"/>
    <w:uiPriority w:val="29"/>
    <w:rsid w:val="00940D9A"/>
    <w:rPr>
      <w:rFonts w:ascii="Arial" w:hAnsi="Arial"/>
      <w:iCs/>
      <w:color w:val="005F86"/>
      <w:sz w:val="24"/>
    </w:rPr>
  </w:style>
  <w:style w:type="paragraph" w:styleId="Subtitle">
    <w:name w:val="Subtitle"/>
    <w:basedOn w:val="Normal"/>
    <w:next w:val="Normal"/>
    <w:link w:val="SubtitleChar"/>
    <w:uiPriority w:val="11"/>
    <w:qFormat/>
    <w:rsid w:val="00B047BD"/>
    <w:pPr>
      <w:spacing w:before="240" w:after="240"/>
    </w:pPr>
    <w:rPr>
      <w:rFonts w:eastAsiaTheme="majorEastAsia" w:cs="Arial"/>
      <w:iCs/>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B047BD"/>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customStyle="1" w:styleId="Table-fake">
    <w:name w:val="Table - fake"/>
    <w:basedOn w:val="BodyText"/>
    <w:qFormat/>
    <w:rsid w:val="00F25ABD"/>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pPr>
  </w:style>
  <w:style w:type="paragraph" w:customStyle="1" w:styleId="TableText">
    <w:name w:val="Table Text"/>
    <w:basedOn w:val="Normal"/>
    <w:qFormat/>
    <w:rsid w:val="00940D9A"/>
    <w:pPr>
      <w:spacing w:before="100" w:after="100" w:line="240" w:lineRule="auto"/>
    </w:pPr>
  </w:style>
  <w:style w:type="paragraph" w:styleId="Title">
    <w:name w:val="Title"/>
    <w:basedOn w:val="Normal"/>
    <w:next w:val="Normal"/>
    <w:link w:val="TitleChar"/>
    <w:uiPriority w:val="10"/>
    <w:qFormat/>
    <w:rsid w:val="00B047BD"/>
    <w:pPr>
      <w:pBdr>
        <w:bottom w:val="single" w:sz="4" w:space="4" w:color="007DBA"/>
      </w:pBdr>
      <w:spacing w:before="3520" w:after="240" w:line="240" w:lineRule="auto"/>
      <w:contextualSpacing/>
    </w:pPr>
    <w:rPr>
      <w:rFonts w:eastAsiaTheme="majorEastAsia" w:cs="Arial"/>
      <w:b/>
      <w:color w:val="2C5C86"/>
      <w:spacing w:val="5"/>
      <w:kern w:val="28"/>
      <w:sz w:val="56"/>
      <w:szCs w:val="52"/>
    </w:rPr>
  </w:style>
  <w:style w:type="character" w:customStyle="1" w:styleId="TitleChar">
    <w:name w:val="Title Char"/>
    <w:basedOn w:val="DefaultParagraphFont"/>
    <w:link w:val="Title"/>
    <w:uiPriority w:val="10"/>
    <w:rsid w:val="00B047BD"/>
    <w:rPr>
      <w:rFonts w:ascii="Arial" w:eastAsiaTheme="majorEastAsia" w:hAnsi="Arial" w:cs="Arial"/>
      <w:b/>
      <w:color w:val="2C5C86"/>
      <w:spacing w:val="5"/>
      <w:kern w:val="28"/>
      <w:sz w:val="56"/>
      <w:szCs w:val="52"/>
    </w:rPr>
  </w:style>
  <w:style w:type="paragraph" w:customStyle="1" w:styleId="SignaturetabDate">
    <w:name w:val="Signature: (tab) Date:"/>
    <w:basedOn w:val="BodyText"/>
    <w:qFormat/>
    <w:rsid w:val="00940D9A"/>
    <w:pPr>
      <w:pBdr>
        <w:bottom w:val="single" w:sz="4" w:space="1" w:color="auto"/>
      </w:pBdr>
      <w:tabs>
        <w:tab w:val="left" w:pos="6096"/>
      </w:tabs>
      <w:spacing w:after="600" w:line="360" w:lineRule="auto"/>
    </w:pPr>
    <w:rPr>
      <w:rFonts w:cs="Arial"/>
      <w:szCs w:val="24"/>
    </w:rPr>
  </w:style>
  <w:style w:type="character" w:styleId="PlaceholderText">
    <w:name w:val="Placeholder Text"/>
    <w:uiPriority w:val="99"/>
    <w:semiHidden/>
    <w:rsid w:val="00940D9A"/>
    <w:rPr>
      <w:b w:val="0"/>
      <w:shd w:val="clear" w:color="auto" w:fill="FEE7DC"/>
    </w:rPr>
  </w:style>
  <w:style w:type="paragraph" w:styleId="Header">
    <w:name w:val="header"/>
    <w:basedOn w:val="Normal"/>
    <w:link w:val="HeaderChar"/>
    <w:uiPriority w:val="99"/>
    <w:unhideWhenUsed/>
    <w:rsid w:val="00313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80B"/>
    <w:rPr>
      <w:rFonts w:ascii="Arial" w:hAnsi="Arial"/>
      <w:color w:val="3C3C3C"/>
      <w:sz w:val="24"/>
    </w:rPr>
  </w:style>
  <w:style w:type="paragraph" w:styleId="Footer">
    <w:name w:val="footer"/>
    <w:basedOn w:val="Normal"/>
    <w:link w:val="FooterChar"/>
    <w:uiPriority w:val="99"/>
    <w:unhideWhenUsed/>
    <w:rsid w:val="0031380B"/>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31380B"/>
    <w:rPr>
      <w:rFonts w:ascii="Arial" w:hAnsi="Arial"/>
      <w:color w:val="3C3C3C"/>
      <w:sz w:val="20"/>
      <w:szCs w:val="20"/>
    </w:rPr>
  </w:style>
  <w:style w:type="character" w:styleId="IntenseReference">
    <w:name w:val="Intense Reference"/>
    <w:basedOn w:val="DefaultParagraphFont"/>
    <w:uiPriority w:val="32"/>
    <w:qFormat/>
    <w:rsid w:val="00400213"/>
    <w:rPr>
      <w:rFonts w:ascii="Arial" w:hAnsi="Arial"/>
      <w:b w:val="0"/>
      <w:bCs/>
      <w:caps w:val="0"/>
      <w:smallCaps w:val="0"/>
      <w:color w:val="3C3C3C"/>
      <w:spacing w:val="5"/>
      <w:sz w:val="24"/>
      <w:u w:val="none"/>
    </w:rPr>
  </w:style>
  <w:style w:type="character" w:styleId="BookTitle">
    <w:name w:val="Book Title"/>
    <w:basedOn w:val="DefaultParagraphFont"/>
    <w:uiPriority w:val="33"/>
    <w:qFormat/>
    <w:rsid w:val="00C43725"/>
    <w:rPr>
      <w:rFonts w:ascii="Arial" w:hAnsi="Arial"/>
      <w:b/>
      <w:bCs/>
      <w:smallCaps/>
      <w:spacing w:val="5"/>
    </w:rPr>
  </w:style>
  <w:style w:type="character" w:styleId="Emphasis">
    <w:name w:val="Emphasis"/>
    <w:basedOn w:val="DefaultParagraphFont"/>
    <w:uiPriority w:val="20"/>
    <w:qFormat/>
    <w:rsid w:val="0069425C"/>
    <w:rPr>
      <w:b/>
      <w:i w:val="0"/>
      <w:iCs/>
    </w:rPr>
  </w:style>
  <w:style w:type="character" w:styleId="IntenseEmphasis">
    <w:name w:val="Intense Emphasis"/>
    <w:basedOn w:val="DefaultParagraphFont"/>
    <w:uiPriority w:val="21"/>
    <w:qFormat/>
    <w:rsid w:val="0069425C"/>
    <w:rPr>
      <w:rFonts w:ascii="Arial" w:hAnsi="Arial"/>
      <w:b/>
      <w:bCs/>
      <w:i w:val="0"/>
      <w:iCs/>
      <w:color w:val="3C3C3C"/>
    </w:rPr>
  </w:style>
  <w:style w:type="character" w:styleId="SubtleReference">
    <w:name w:val="Subtle Reference"/>
    <w:basedOn w:val="DefaultParagraphFont"/>
    <w:uiPriority w:val="31"/>
    <w:qFormat/>
    <w:rsid w:val="004A20D4"/>
    <w:rPr>
      <w:rFonts w:ascii="Arial" w:hAnsi="Arial"/>
      <w:caps w:val="0"/>
      <w:smallCaps w:val="0"/>
      <w:color w:val="3C3C3C"/>
      <w:u w:val="none"/>
    </w:rPr>
  </w:style>
  <w:style w:type="character" w:styleId="SubtleEmphasis">
    <w:name w:val="Subtle Emphasis"/>
    <w:basedOn w:val="DefaultParagraphFont"/>
    <w:uiPriority w:val="19"/>
    <w:qFormat/>
    <w:rsid w:val="0069425C"/>
    <w:rPr>
      <w:rFonts w:ascii="Arial" w:hAnsi="Arial"/>
      <w:i w:val="0"/>
      <w:iCs/>
      <w:color w:val="3C3C3C"/>
    </w:rPr>
  </w:style>
  <w:style w:type="paragraph" w:styleId="Date">
    <w:name w:val="Date"/>
    <w:basedOn w:val="Normal"/>
    <w:next w:val="Normal"/>
    <w:link w:val="DateChar"/>
    <w:uiPriority w:val="99"/>
    <w:unhideWhenUsed/>
    <w:rsid w:val="00CA5427"/>
  </w:style>
  <w:style w:type="character" w:customStyle="1" w:styleId="DateChar">
    <w:name w:val="Date Char"/>
    <w:basedOn w:val="DefaultParagraphFont"/>
    <w:link w:val="Date"/>
    <w:uiPriority w:val="99"/>
    <w:rsid w:val="00CA5427"/>
    <w:rPr>
      <w:rFonts w:ascii="Arial" w:hAnsi="Arial"/>
      <w:color w:val="3C3C3C"/>
      <w:sz w:val="24"/>
    </w:rPr>
  </w:style>
  <w:style w:type="character" w:styleId="Hyperlink">
    <w:name w:val="Hyperlink"/>
    <w:basedOn w:val="DefaultParagraphFont"/>
    <w:uiPriority w:val="99"/>
    <w:unhideWhenUsed/>
    <w:rsid w:val="00CE224E"/>
    <w:rPr>
      <w:rFonts w:ascii="Arial" w:hAnsi="Arial"/>
      <w:color w:val="005F86"/>
      <w:sz w:val="24"/>
      <w:u w:val="single"/>
    </w:rPr>
  </w:style>
  <w:style w:type="paragraph" w:styleId="TableofAuthorities">
    <w:name w:val="table of authorities"/>
    <w:basedOn w:val="Normal"/>
    <w:next w:val="Normal"/>
    <w:uiPriority w:val="99"/>
    <w:unhideWhenUsed/>
    <w:rsid w:val="00CA5427"/>
    <w:pPr>
      <w:spacing w:after="0"/>
      <w:ind w:left="240" w:hanging="240"/>
    </w:pPr>
  </w:style>
  <w:style w:type="paragraph" w:styleId="TOC1">
    <w:name w:val="toc 1"/>
    <w:basedOn w:val="Normal"/>
    <w:next w:val="Normal"/>
    <w:autoRedefine/>
    <w:uiPriority w:val="39"/>
    <w:unhideWhenUsed/>
    <w:rsid w:val="00142FD9"/>
    <w:pPr>
      <w:tabs>
        <w:tab w:val="right" w:leader="dot" w:pos="9288"/>
      </w:tabs>
      <w:spacing w:before="240" w:after="240"/>
    </w:pPr>
    <w:rPr>
      <w:b/>
      <w:noProof/>
    </w:rPr>
  </w:style>
  <w:style w:type="paragraph" w:styleId="TOCHeading">
    <w:name w:val="TOC Heading"/>
    <w:next w:val="Normal"/>
    <w:uiPriority w:val="39"/>
    <w:unhideWhenUsed/>
    <w:qFormat/>
    <w:rsid w:val="00B047BD"/>
    <w:pPr>
      <w:spacing w:before="480"/>
    </w:pPr>
    <w:rPr>
      <w:rFonts w:ascii="Arial" w:eastAsiaTheme="majorEastAsia" w:hAnsi="Arial" w:cs="Arial"/>
      <w:bCs/>
      <w:color w:val="2C5C86"/>
      <w:sz w:val="32"/>
      <w:szCs w:val="28"/>
    </w:rPr>
  </w:style>
  <w:style w:type="paragraph" w:styleId="TOC2">
    <w:name w:val="toc 2"/>
    <w:basedOn w:val="Normal"/>
    <w:next w:val="Normal"/>
    <w:autoRedefine/>
    <w:uiPriority w:val="39"/>
    <w:unhideWhenUsed/>
    <w:rsid w:val="00CA5427"/>
    <w:pPr>
      <w:tabs>
        <w:tab w:val="right" w:leader="dot" w:pos="9288"/>
      </w:tabs>
      <w:spacing w:before="120" w:after="120"/>
      <w:ind w:left="238"/>
    </w:pPr>
    <w:rPr>
      <w:noProof/>
      <w:lang w:eastAsia="en-AU"/>
    </w:rPr>
  </w:style>
  <w:style w:type="paragraph" w:styleId="TOC3">
    <w:name w:val="toc 3"/>
    <w:basedOn w:val="Normal"/>
    <w:next w:val="Normal"/>
    <w:autoRedefine/>
    <w:uiPriority w:val="39"/>
    <w:unhideWhenUsed/>
    <w:rsid w:val="00CA5427"/>
    <w:pPr>
      <w:tabs>
        <w:tab w:val="right" w:leader="dot" w:pos="9288"/>
      </w:tabs>
      <w:spacing w:after="100"/>
      <w:ind w:left="480"/>
    </w:pPr>
    <w:rPr>
      <w:noProof/>
      <w:lang w:eastAsia="en-AU"/>
    </w:rPr>
  </w:style>
  <w:style w:type="character" w:styleId="CommentReference">
    <w:name w:val="annotation reference"/>
    <w:basedOn w:val="DefaultParagraphFont"/>
    <w:uiPriority w:val="99"/>
    <w:unhideWhenUsed/>
    <w:rsid w:val="00D63AF5"/>
    <w:rPr>
      <w:rFonts w:ascii="Arial" w:hAnsi="Arial"/>
      <w:sz w:val="20"/>
      <w:szCs w:val="16"/>
    </w:rPr>
  </w:style>
  <w:style w:type="paragraph" w:styleId="CommentText">
    <w:name w:val="annotation text"/>
    <w:basedOn w:val="Normal"/>
    <w:link w:val="CommentTextChar"/>
    <w:uiPriority w:val="99"/>
    <w:unhideWhenUsed/>
    <w:rsid w:val="00D63AF5"/>
    <w:pPr>
      <w:spacing w:line="240" w:lineRule="auto"/>
    </w:pPr>
    <w:rPr>
      <w:sz w:val="20"/>
      <w:szCs w:val="20"/>
    </w:rPr>
  </w:style>
  <w:style w:type="character" w:customStyle="1" w:styleId="CommentTextChar">
    <w:name w:val="Comment Text Char"/>
    <w:basedOn w:val="DefaultParagraphFont"/>
    <w:link w:val="CommentText"/>
    <w:uiPriority w:val="99"/>
    <w:rsid w:val="00D63AF5"/>
    <w:rPr>
      <w:rFonts w:ascii="Arial" w:hAnsi="Arial"/>
      <w:color w:val="3C3C3C"/>
      <w:sz w:val="20"/>
      <w:szCs w:val="20"/>
    </w:rPr>
  </w:style>
  <w:style w:type="paragraph" w:styleId="FootnoteText">
    <w:name w:val="footnote text"/>
    <w:basedOn w:val="Normal"/>
    <w:link w:val="FootnoteTextChar"/>
    <w:uiPriority w:val="99"/>
    <w:unhideWhenUsed/>
    <w:rsid w:val="001547C1"/>
    <w:pPr>
      <w:spacing w:after="0" w:line="240" w:lineRule="auto"/>
    </w:pPr>
    <w:rPr>
      <w:sz w:val="20"/>
      <w:szCs w:val="20"/>
    </w:rPr>
  </w:style>
  <w:style w:type="character" w:customStyle="1" w:styleId="FootnoteTextChar">
    <w:name w:val="Footnote Text Char"/>
    <w:basedOn w:val="DefaultParagraphFont"/>
    <w:link w:val="FootnoteText"/>
    <w:uiPriority w:val="99"/>
    <w:rsid w:val="001547C1"/>
    <w:rPr>
      <w:rFonts w:ascii="Arial" w:hAnsi="Arial"/>
      <w:color w:val="3C3C3C"/>
      <w:sz w:val="20"/>
      <w:szCs w:val="20"/>
    </w:rPr>
  </w:style>
  <w:style w:type="character" w:styleId="FootnoteReference">
    <w:name w:val="footnote reference"/>
    <w:basedOn w:val="DefaultParagraphFont"/>
    <w:uiPriority w:val="99"/>
    <w:unhideWhenUsed/>
    <w:rsid w:val="001547C1"/>
    <w:rPr>
      <w:vertAlign w:val="superscript"/>
    </w:rPr>
  </w:style>
  <w:style w:type="paragraph" w:styleId="ListParagraph">
    <w:name w:val="List Paragraph"/>
    <w:basedOn w:val="Normal"/>
    <w:uiPriority w:val="34"/>
    <w:qFormat/>
    <w:rsid w:val="00DE00DA"/>
    <w:pPr>
      <w:ind w:left="720"/>
      <w:contextualSpacing/>
    </w:pPr>
  </w:style>
  <w:style w:type="table" w:customStyle="1" w:styleId="DLGCTable-Data1">
    <w:name w:val="DLGC Table - Data1"/>
    <w:basedOn w:val="TableNormal"/>
    <w:uiPriority w:val="99"/>
    <w:rsid w:val="00B66765"/>
    <w:pPr>
      <w:spacing w:before="100" w:after="100" w:line="240" w:lineRule="auto"/>
      <w:ind w:left="170" w:right="170"/>
    </w:pPr>
    <w:rPr>
      <w:rFonts w:ascii="Arial" w:hAnsi="Arial"/>
      <w:sz w:val="24"/>
    </w:rPr>
    <w:tblPr>
      <w:tblBorders>
        <w:bottom w:val="single" w:sz="4" w:space="0" w:color="3C3C3C"/>
        <w:insideH w:val="single" w:sz="4" w:space="0" w:color="3C3C3C"/>
      </w:tblBorders>
    </w:tblPr>
    <w:tblStylePr w:type="firstRow">
      <w:rPr>
        <w:b/>
        <w:color w:val="005F86"/>
      </w:rPr>
      <w:tblPr/>
      <w:trPr>
        <w:tblHeader/>
      </w:trPr>
      <w:tcPr>
        <w:shd w:val="clear" w:color="auto" w:fill="E1F4FD"/>
      </w:tcPr>
    </w:tblStylePr>
  </w:style>
  <w:style w:type="paragraph" w:styleId="TOC4">
    <w:name w:val="toc 4"/>
    <w:basedOn w:val="Normal"/>
    <w:next w:val="Normal"/>
    <w:autoRedefine/>
    <w:uiPriority w:val="39"/>
    <w:unhideWhenUsed/>
    <w:rsid w:val="00A95C7C"/>
    <w:pPr>
      <w:spacing w:after="100" w:line="259" w:lineRule="auto"/>
      <w:ind w:left="660"/>
    </w:pPr>
    <w:rPr>
      <w:rFonts w:asciiTheme="minorHAnsi" w:eastAsiaTheme="minorEastAsia" w:hAnsiTheme="minorHAnsi"/>
      <w:color w:val="auto"/>
      <w:sz w:val="22"/>
      <w:lang w:eastAsia="en-AU"/>
    </w:rPr>
  </w:style>
  <w:style w:type="paragraph" w:styleId="TOC5">
    <w:name w:val="toc 5"/>
    <w:basedOn w:val="Normal"/>
    <w:next w:val="Normal"/>
    <w:autoRedefine/>
    <w:uiPriority w:val="39"/>
    <w:unhideWhenUsed/>
    <w:rsid w:val="00A95C7C"/>
    <w:pPr>
      <w:spacing w:after="100" w:line="259" w:lineRule="auto"/>
      <w:ind w:left="880"/>
    </w:pPr>
    <w:rPr>
      <w:rFonts w:asciiTheme="minorHAnsi" w:eastAsiaTheme="minorEastAsia" w:hAnsiTheme="minorHAnsi"/>
      <w:color w:val="auto"/>
      <w:sz w:val="22"/>
      <w:lang w:eastAsia="en-AU"/>
    </w:rPr>
  </w:style>
  <w:style w:type="paragraph" w:styleId="TOC6">
    <w:name w:val="toc 6"/>
    <w:basedOn w:val="Normal"/>
    <w:next w:val="Normal"/>
    <w:autoRedefine/>
    <w:uiPriority w:val="39"/>
    <w:unhideWhenUsed/>
    <w:rsid w:val="00A95C7C"/>
    <w:pPr>
      <w:spacing w:after="100" w:line="259" w:lineRule="auto"/>
      <w:ind w:left="1100"/>
    </w:pPr>
    <w:rPr>
      <w:rFonts w:asciiTheme="minorHAnsi" w:eastAsiaTheme="minorEastAsia" w:hAnsiTheme="minorHAnsi"/>
      <w:color w:val="auto"/>
      <w:sz w:val="22"/>
      <w:lang w:eastAsia="en-AU"/>
    </w:rPr>
  </w:style>
  <w:style w:type="paragraph" w:styleId="TOC7">
    <w:name w:val="toc 7"/>
    <w:basedOn w:val="Normal"/>
    <w:next w:val="Normal"/>
    <w:autoRedefine/>
    <w:uiPriority w:val="39"/>
    <w:unhideWhenUsed/>
    <w:rsid w:val="00A95C7C"/>
    <w:pPr>
      <w:spacing w:after="100" w:line="259" w:lineRule="auto"/>
      <w:ind w:left="1320"/>
    </w:pPr>
    <w:rPr>
      <w:rFonts w:asciiTheme="minorHAnsi" w:eastAsiaTheme="minorEastAsia" w:hAnsiTheme="minorHAnsi"/>
      <w:color w:val="auto"/>
      <w:sz w:val="22"/>
      <w:lang w:eastAsia="en-AU"/>
    </w:rPr>
  </w:style>
  <w:style w:type="paragraph" w:styleId="TOC8">
    <w:name w:val="toc 8"/>
    <w:basedOn w:val="Normal"/>
    <w:next w:val="Normal"/>
    <w:autoRedefine/>
    <w:uiPriority w:val="39"/>
    <w:unhideWhenUsed/>
    <w:rsid w:val="00A95C7C"/>
    <w:pPr>
      <w:spacing w:after="100" w:line="259" w:lineRule="auto"/>
      <w:ind w:left="1540"/>
    </w:pPr>
    <w:rPr>
      <w:rFonts w:asciiTheme="minorHAnsi" w:eastAsiaTheme="minorEastAsia" w:hAnsiTheme="minorHAnsi"/>
      <w:color w:val="auto"/>
      <w:sz w:val="22"/>
      <w:lang w:eastAsia="en-AU"/>
    </w:rPr>
  </w:style>
  <w:style w:type="paragraph" w:styleId="TOC9">
    <w:name w:val="toc 9"/>
    <w:basedOn w:val="Normal"/>
    <w:next w:val="Normal"/>
    <w:autoRedefine/>
    <w:uiPriority w:val="39"/>
    <w:unhideWhenUsed/>
    <w:rsid w:val="00A95C7C"/>
    <w:pPr>
      <w:spacing w:after="100" w:line="259" w:lineRule="auto"/>
      <w:ind w:left="1760"/>
    </w:pPr>
    <w:rPr>
      <w:rFonts w:asciiTheme="minorHAnsi" w:eastAsiaTheme="minorEastAsia" w:hAnsiTheme="minorHAnsi"/>
      <w:color w:val="auto"/>
      <w:sz w:val="22"/>
      <w:lang w:eastAsia="en-AU"/>
    </w:rPr>
  </w:style>
  <w:style w:type="paragraph" w:styleId="CommentSubject">
    <w:name w:val="annotation subject"/>
    <w:basedOn w:val="CommentText"/>
    <w:next w:val="CommentText"/>
    <w:link w:val="CommentSubjectChar"/>
    <w:uiPriority w:val="99"/>
    <w:semiHidden/>
    <w:unhideWhenUsed/>
    <w:rsid w:val="00E44813"/>
    <w:rPr>
      <w:b/>
      <w:bCs/>
    </w:rPr>
  </w:style>
  <w:style w:type="character" w:customStyle="1" w:styleId="CommentSubjectChar">
    <w:name w:val="Comment Subject Char"/>
    <w:basedOn w:val="CommentTextChar"/>
    <w:link w:val="CommentSubject"/>
    <w:uiPriority w:val="99"/>
    <w:semiHidden/>
    <w:rsid w:val="00E44813"/>
    <w:rPr>
      <w:rFonts w:ascii="Arial" w:hAnsi="Arial"/>
      <w:b/>
      <w:bCs/>
      <w:color w:val="3C3C3C"/>
      <w:sz w:val="20"/>
      <w:szCs w:val="20"/>
    </w:rPr>
  </w:style>
  <w:style w:type="character" w:customStyle="1" w:styleId="Mention1">
    <w:name w:val="Mention1"/>
    <w:basedOn w:val="DefaultParagraphFont"/>
    <w:uiPriority w:val="99"/>
    <w:semiHidden/>
    <w:unhideWhenUsed/>
    <w:rsid w:val="001D536A"/>
    <w:rPr>
      <w:color w:val="2B579A"/>
      <w:shd w:val="clear" w:color="auto" w:fill="E6E6E6"/>
    </w:rPr>
  </w:style>
  <w:style w:type="table" w:styleId="ListTable3-Accent1">
    <w:name w:val="List Table 3 Accent 1"/>
    <w:basedOn w:val="TableNormal"/>
    <w:uiPriority w:val="48"/>
    <w:rsid w:val="00707CF6"/>
    <w:pPr>
      <w:spacing w:after="0" w:line="240" w:lineRule="auto"/>
    </w:pPr>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paragraph" w:styleId="Revision">
    <w:name w:val="Revision"/>
    <w:hidden/>
    <w:uiPriority w:val="99"/>
    <w:semiHidden/>
    <w:rsid w:val="00C305BD"/>
    <w:pPr>
      <w:spacing w:after="0" w:line="240" w:lineRule="auto"/>
    </w:pPr>
    <w:rPr>
      <w:rFonts w:ascii="Arial" w:hAnsi="Arial"/>
      <w:color w:val="3C3C3C"/>
      <w:sz w:val="24"/>
    </w:rPr>
  </w:style>
  <w:style w:type="character" w:customStyle="1" w:styleId="Mention2">
    <w:name w:val="Mention2"/>
    <w:basedOn w:val="DefaultParagraphFont"/>
    <w:uiPriority w:val="99"/>
    <w:semiHidden/>
    <w:unhideWhenUsed/>
    <w:rsid w:val="000B1FED"/>
    <w:rPr>
      <w:color w:val="2B579A"/>
      <w:shd w:val="clear" w:color="auto" w:fill="E6E6E6"/>
    </w:rPr>
  </w:style>
  <w:style w:type="character" w:styleId="Strong">
    <w:name w:val="Strong"/>
    <w:basedOn w:val="DefaultParagraphFont"/>
    <w:uiPriority w:val="22"/>
    <w:qFormat/>
    <w:rsid w:val="00116F94"/>
    <w:rPr>
      <w:b/>
      <w:bCs/>
    </w:rPr>
  </w:style>
  <w:style w:type="character" w:customStyle="1" w:styleId="Mention3">
    <w:name w:val="Mention3"/>
    <w:basedOn w:val="DefaultParagraphFont"/>
    <w:uiPriority w:val="99"/>
    <w:semiHidden/>
    <w:unhideWhenUsed/>
    <w:rsid w:val="00E82110"/>
    <w:rPr>
      <w:color w:val="2B579A"/>
      <w:shd w:val="clear" w:color="auto" w:fill="E6E6E6"/>
    </w:rPr>
  </w:style>
  <w:style w:type="character" w:styleId="FollowedHyperlink">
    <w:name w:val="FollowedHyperlink"/>
    <w:basedOn w:val="DefaultParagraphFont"/>
    <w:uiPriority w:val="99"/>
    <w:semiHidden/>
    <w:unhideWhenUsed/>
    <w:rsid w:val="009B20A9"/>
    <w:rPr>
      <w:color w:val="919191" w:themeColor="followedHyperlink"/>
      <w:u w:val="single"/>
    </w:rPr>
  </w:style>
  <w:style w:type="character" w:customStyle="1" w:styleId="Mention4">
    <w:name w:val="Mention4"/>
    <w:basedOn w:val="DefaultParagraphFont"/>
    <w:uiPriority w:val="99"/>
    <w:semiHidden/>
    <w:unhideWhenUsed/>
    <w:rsid w:val="007730F9"/>
    <w:rPr>
      <w:color w:val="2B579A"/>
      <w:shd w:val="clear" w:color="auto" w:fill="E6E6E6"/>
    </w:rPr>
  </w:style>
  <w:style w:type="character" w:customStyle="1" w:styleId="Mention5">
    <w:name w:val="Mention5"/>
    <w:basedOn w:val="DefaultParagraphFont"/>
    <w:uiPriority w:val="99"/>
    <w:semiHidden/>
    <w:unhideWhenUsed/>
    <w:rsid w:val="00154FA8"/>
    <w:rPr>
      <w:color w:val="2B579A"/>
      <w:shd w:val="clear" w:color="auto" w:fill="E6E6E6"/>
    </w:rPr>
  </w:style>
  <w:style w:type="paragraph" w:customStyle="1" w:styleId="LogoForm">
    <w:name w:val="Logo (Form)"/>
    <w:basedOn w:val="Normal"/>
    <w:qFormat/>
    <w:rsid w:val="00B15ED1"/>
    <w:pPr>
      <w:spacing w:after="1920" w:line="288" w:lineRule="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2521">
      <w:bodyDiv w:val="1"/>
      <w:marLeft w:val="0"/>
      <w:marRight w:val="0"/>
      <w:marTop w:val="0"/>
      <w:marBottom w:val="0"/>
      <w:divBdr>
        <w:top w:val="none" w:sz="0" w:space="0" w:color="auto"/>
        <w:left w:val="none" w:sz="0" w:space="0" w:color="auto"/>
        <w:bottom w:val="none" w:sz="0" w:space="0" w:color="auto"/>
        <w:right w:val="none" w:sz="0" w:space="0" w:color="auto"/>
      </w:divBdr>
    </w:div>
    <w:div w:id="60369310">
      <w:bodyDiv w:val="1"/>
      <w:marLeft w:val="0"/>
      <w:marRight w:val="0"/>
      <w:marTop w:val="0"/>
      <w:marBottom w:val="0"/>
      <w:divBdr>
        <w:top w:val="none" w:sz="0" w:space="0" w:color="auto"/>
        <w:left w:val="none" w:sz="0" w:space="0" w:color="auto"/>
        <w:bottom w:val="none" w:sz="0" w:space="0" w:color="auto"/>
        <w:right w:val="none" w:sz="0" w:space="0" w:color="auto"/>
      </w:divBdr>
    </w:div>
    <w:div w:id="94597170">
      <w:bodyDiv w:val="1"/>
      <w:marLeft w:val="0"/>
      <w:marRight w:val="0"/>
      <w:marTop w:val="0"/>
      <w:marBottom w:val="0"/>
      <w:divBdr>
        <w:top w:val="none" w:sz="0" w:space="0" w:color="auto"/>
        <w:left w:val="none" w:sz="0" w:space="0" w:color="auto"/>
        <w:bottom w:val="none" w:sz="0" w:space="0" w:color="auto"/>
        <w:right w:val="none" w:sz="0" w:space="0" w:color="auto"/>
      </w:divBdr>
    </w:div>
    <w:div w:id="181628623">
      <w:bodyDiv w:val="1"/>
      <w:marLeft w:val="0"/>
      <w:marRight w:val="0"/>
      <w:marTop w:val="0"/>
      <w:marBottom w:val="0"/>
      <w:divBdr>
        <w:top w:val="none" w:sz="0" w:space="0" w:color="auto"/>
        <w:left w:val="none" w:sz="0" w:space="0" w:color="auto"/>
        <w:bottom w:val="none" w:sz="0" w:space="0" w:color="auto"/>
        <w:right w:val="none" w:sz="0" w:space="0" w:color="auto"/>
      </w:divBdr>
    </w:div>
    <w:div w:id="188028148">
      <w:bodyDiv w:val="1"/>
      <w:marLeft w:val="0"/>
      <w:marRight w:val="0"/>
      <w:marTop w:val="0"/>
      <w:marBottom w:val="0"/>
      <w:divBdr>
        <w:top w:val="none" w:sz="0" w:space="0" w:color="auto"/>
        <w:left w:val="none" w:sz="0" w:space="0" w:color="auto"/>
        <w:bottom w:val="none" w:sz="0" w:space="0" w:color="auto"/>
        <w:right w:val="none" w:sz="0" w:space="0" w:color="auto"/>
      </w:divBdr>
    </w:div>
    <w:div w:id="223107536">
      <w:bodyDiv w:val="1"/>
      <w:marLeft w:val="0"/>
      <w:marRight w:val="0"/>
      <w:marTop w:val="0"/>
      <w:marBottom w:val="0"/>
      <w:divBdr>
        <w:top w:val="none" w:sz="0" w:space="0" w:color="auto"/>
        <w:left w:val="none" w:sz="0" w:space="0" w:color="auto"/>
        <w:bottom w:val="none" w:sz="0" w:space="0" w:color="auto"/>
        <w:right w:val="none" w:sz="0" w:space="0" w:color="auto"/>
      </w:divBdr>
    </w:div>
    <w:div w:id="248849802">
      <w:bodyDiv w:val="1"/>
      <w:marLeft w:val="0"/>
      <w:marRight w:val="0"/>
      <w:marTop w:val="0"/>
      <w:marBottom w:val="0"/>
      <w:divBdr>
        <w:top w:val="none" w:sz="0" w:space="0" w:color="auto"/>
        <w:left w:val="none" w:sz="0" w:space="0" w:color="auto"/>
        <w:bottom w:val="none" w:sz="0" w:space="0" w:color="auto"/>
        <w:right w:val="none" w:sz="0" w:space="0" w:color="auto"/>
      </w:divBdr>
    </w:div>
    <w:div w:id="264002016">
      <w:bodyDiv w:val="1"/>
      <w:marLeft w:val="0"/>
      <w:marRight w:val="0"/>
      <w:marTop w:val="0"/>
      <w:marBottom w:val="0"/>
      <w:divBdr>
        <w:top w:val="none" w:sz="0" w:space="0" w:color="auto"/>
        <w:left w:val="none" w:sz="0" w:space="0" w:color="auto"/>
        <w:bottom w:val="none" w:sz="0" w:space="0" w:color="auto"/>
        <w:right w:val="none" w:sz="0" w:space="0" w:color="auto"/>
      </w:divBdr>
    </w:div>
    <w:div w:id="286086819">
      <w:bodyDiv w:val="1"/>
      <w:marLeft w:val="0"/>
      <w:marRight w:val="0"/>
      <w:marTop w:val="0"/>
      <w:marBottom w:val="0"/>
      <w:divBdr>
        <w:top w:val="none" w:sz="0" w:space="0" w:color="auto"/>
        <w:left w:val="none" w:sz="0" w:space="0" w:color="auto"/>
        <w:bottom w:val="none" w:sz="0" w:space="0" w:color="auto"/>
        <w:right w:val="none" w:sz="0" w:space="0" w:color="auto"/>
      </w:divBdr>
    </w:div>
    <w:div w:id="350257021">
      <w:bodyDiv w:val="1"/>
      <w:marLeft w:val="0"/>
      <w:marRight w:val="0"/>
      <w:marTop w:val="0"/>
      <w:marBottom w:val="0"/>
      <w:divBdr>
        <w:top w:val="none" w:sz="0" w:space="0" w:color="auto"/>
        <w:left w:val="none" w:sz="0" w:space="0" w:color="auto"/>
        <w:bottom w:val="none" w:sz="0" w:space="0" w:color="auto"/>
        <w:right w:val="none" w:sz="0" w:space="0" w:color="auto"/>
      </w:divBdr>
    </w:div>
    <w:div w:id="356351964">
      <w:bodyDiv w:val="1"/>
      <w:marLeft w:val="0"/>
      <w:marRight w:val="0"/>
      <w:marTop w:val="0"/>
      <w:marBottom w:val="0"/>
      <w:divBdr>
        <w:top w:val="none" w:sz="0" w:space="0" w:color="auto"/>
        <w:left w:val="none" w:sz="0" w:space="0" w:color="auto"/>
        <w:bottom w:val="none" w:sz="0" w:space="0" w:color="auto"/>
        <w:right w:val="none" w:sz="0" w:space="0" w:color="auto"/>
      </w:divBdr>
    </w:div>
    <w:div w:id="395589775">
      <w:bodyDiv w:val="1"/>
      <w:marLeft w:val="0"/>
      <w:marRight w:val="0"/>
      <w:marTop w:val="0"/>
      <w:marBottom w:val="0"/>
      <w:divBdr>
        <w:top w:val="none" w:sz="0" w:space="0" w:color="auto"/>
        <w:left w:val="none" w:sz="0" w:space="0" w:color="auto"/>
        <w:bottom w:val="none" w:sz="0" w:space="0" w:color="auto"/>
        <w:right w:val="none" w:sz="0" w:space="0" w:color="auto"/>
      </w:divBdr>
    </w:div>
    <w:div w:id="422382879">
      <w:bodyDiv w:val="1"/>
      <w:marLeft w:val="0"/>
      <w:marRight w:val="0"/>
      <w:marTop w:val="0"/>
      <w:marBottom w:val="0"/>
      <w:divBdr>
        <w:top w:val="none" w:sz="0" w:space="0" w:color="auto"/>
        <w:left w:val="none" w:sz="0" w:space="0" w:color="auto"/>
        <w:bottom w:val="none" w:sz="0" w:space="0" w:color="auto"/>
        <w:right w:val="none" w:sz="0" w:space="0" w:color="auto"/>
      </w:divBdr>
    </w:div>
    <w:div w:id="456071679">
      <w:bodyDiv w:val="1"/>
      <w:marLeft w:val="0"/>
      <w:marRight w:val="0"/>
      <w:marTop w:val="0"/>
      <w:marBottom w:val="0"/>
      <w:divBdr>
        <w:top w:val="none" w:sz="0" w:space="0" w:color="auto"/>
        <w:left w:val="none" w:sz="0" w:space="0" w:color="auto"/>
        <w:bottom w:val="none" w:sz="0" w:space="0" w:color="auto"/>
        <w:right w:val="none" w:sz="0" w:space="0" w:color="auto"/>
      </w:divBdr>
    </w:div>
    <w:div w:id="506139658">
      <w:bodyDiv w:val="1"/>
      <w:marLeft w:val="0"/>
      <w:marRight w:val="0"/>
      <w:marTop w:val="0"/>
      <w:marBottom w:val="0"/>
      <w:divBdr>
        <w:top w:val="none" w:sz="0" w:space="0" w:color="auto"/>
        <w:left w:val="none" w:sz="0" w:space="0" w:color="auto"/>
        <w:bottom w:val="none" w:sz="0" w:space="0" w:color="auto"/>
        <w:right w:val="none" w:sz="0" w:space="0" w:color="auto"/>
      </w:divBdr>
    </w:div>
    <w:div w:id="518203939">
      <w:bodyDiv w:val="1"/>
      <w:marLeft w:val="0"/>
      <w:marRight w:val="0"/>
      <w:marTop w:val="0"/>
      <w:marBottom w:val="0"/>
      <w:divBdr>
        <w:top w:val="none" w:sz="0" w:space="0" w:color="auto"/>
        <w:left w:val="none" w:sz="0" w:space="0" w:color="auto"/>
        <w:bottom w:val="none" w:sz="0" w:space="0" w:color="auto"/>
        <w:right w:val="none" w:sz="0" w:space="0" w:color="auto"/>
      </w:divBdr>
    </w:div>
    <w:div w:id="538124305">
      <w:bodyDiv w:val="1"/>
      <w:marLeft w:val="0"/>
      <w:marRight w:val="0"/>
      <w:marTop w:val="0"/>
      <w:marBottom w:val="0"/>
      <w:divBdr>
        <w:top w:val="none" w:sz="0" w:space="0" w:color="auto"/>
        <w:left w:val="none" w:sz="0" w:space="0" w:color="auto"/>
        <w:bottom w:val="none" w:sz="0" w:space="0" w:color="auto"/>
        <w:right w:val="none" w:sz="0" w:space="0" w:color="auto"/>
      </w:divBdr>
    </w:div>
    <w:div w:id="544298114">
      <w:bodyDiv w:val="1"/>
      <w:marLeft w:val="0"/>
      <w:marRight w:val="0"/>
      <w:marTop w:val="0"/>
      <w:marBottom w:val="0"/>
      <w:divBdr>
        <w:top w:val="none" w:sz="0" w:space="0" w:color="auto"/>
        <w:left w:val="none" w:sz="0" w:space="0" w:color="auto"/>
        <w:bottom w:val="none" w:sz="0" w:space="0" w:color="auto"/>
        <w:right w:val="none" w:sz="0" w:space="0" w:color="auto"/>
      </w:divBdr>
    </w:div>
    <w:div w:id="600184986">
      <w:bodyDiv w:val="1"/>
      <w:marLeft w:val="0"/>
      <w:marRight w:val="0"/>
      <w:marTop w:val="0"/>
      <w:marBottom w:val="0"/>
      <w:divBdr>
        <w:top w:val="none" w:sz="0" w:space="0" w:color="auto"/>
        <w:left w:val="none" w:sz="0" w:space="0" w:color="auto"/>
        <w:bottom w:val="none" w:sz="0" w:space="0" w:color="auto"/>
        <w:right w:val="none" w:sz="0" w:space="0" w:color="auto"/>
      </w:divBdr>
    </w:div>
    <w:div w:id="601694494">
      <w:bodyDiv w:val="1"/>
      <w:marLeft w:val="0"/>
      <w:marRight w:val="0"/>
      <w:marTop w:val="0"/>
      <w:marBottom w:val="0"/>
      <w:divBdr>
        <w:top w:val="none" w:sz="0" w:space="0" w:color="auto"/>
        <w:left w:val="none" w:sz="0" w:space="0" w:color="auto"/>
        <w:bottom w:val="none" w:sz="0" w:space="0" w:color="auto"/>
        <w:right w:val="none" w:sz="0" w:space="0" w:color="auto"/>
      </w:divBdr>
    </w:div>
    <w:div w:id="604532117">
      <w:bodyDiv w:val="1"/>
      <w:marLeft w:val="0"/>
      <w:marRight w:val="0"/>
      <w:marTop w:val="0"/>
      <w:marBottom w:val="0"/>
      <w:divBdr>
        <w:top w:val="none" w:sz="0" w:space="0" w:color="auto"/>
        <w:left w:val="none" w:sz="0" w:space="0" w:color="auto"/>
        <w:bottom w:val="none" w:sz="0" w:space="0" w:color="auto"/>
        <w:right w:val="none" w:sz="0" w:space="0" w:color="auto"/>
      </w:divBdr>
    </w:div>
    <w:div w:id="624577392">
      <w:bodyDiv w:val="1"/>
      <w:marLeft w:val="0"/>
      <w:marRight w:val="0"/>
      <w:marTop w:val="0"/>
      <w:marBottom w:val="0"/>
      <w:divBdr>
        <w:top w:val="none" w:sz="0" w:space="0" w:color="auto"/>
        <w:left w:val="none" w:sz="0" w:space="0" w:color="auto"/>
        <w:bottom w:val="none" w:sz="0" w:space="0" w:color="auto"/>
        <w:right w:val="none" w:sz="0" w:space="0" w:color="auto"/>
      </w:divBdr>
    </w:div>
    <w:div w:id="625156674">
      <w:bodyDiv w:val="1"/>
      <w:marLeft w:val="0"/>
      <w:marRight w:val="0"/>
      <w:marTop w:val="0"/>
      <w:marBottom w:val="0"/>
      <w:divBdr>
        <w:top w:val="none" w:sz="0" w:space="0" w:color="auto"/>
        <w:left w:val="none" w:sz="0" w:space="0" w:color="auto"/>
        <w:bottom w:val="none" w:sz="0" w:space="0" w:color="auto"/>
        <w:right w:val="none" w:sz="0" w:space="0" w:color="auto"/>
      </w:divBdr>
    </w:div>
    <w:div w:id="636644590">
      <w:bodyDiv w:val="1"/>
      <w:marLeft w:val="0"/>
      <w:marRight w:val="0"/>
      <w:marTop w:val="0"/>
      <w:marBottom w:val="0"/>
      <w:divBdr>
        <w:top w:val="none" w:sz="0" w:space="0" w:color="auto"/>
        <w:left w:val="none" w:sz="0" w:space="0" w:color="auto"/>
        <w:bottom w:val="none" w:sz="0" w:space="0" w:color="auto"/>
        <w:right w:val="none" w:sz="0" w:space="0" w:color="auto"/>
      </w:divBdr>
    </w:div>
    <w:div w:id="651447265">
      <w:bodyDiv w:val="1"/>
      <w:marLeft w:val="0"/>
      <w:marRight w:val="0"/>
      <w:marTop w:val="0"/>
      <w:marBottom w:val="0"/>
      <w:divBdr>
        <w:top w:val="none" w:sz="0" w:space="0" w:color="auto"/>
        <w:left w:val="none" w:sz="0" w:space="0" w:color="auto"/>
        <w:bottom w:val="none" w:sz="0" w:space="0" w:color="auto"/>
        <w:right w:val="none" w:sz="0" w:space="0" w:color="auto"/>
      </w:divBdr>
    </w:div>
    <w:div w:id="728454905">
      <w:bodyDiv w:val="1"/>
      <w:marLeft w:val="0"/>
      <w:marRight w:val="0"/>
      <w:marTop w:val="0"/>
      <w:marBottom w:val="0"/>
      <w:divBdr>
        <w:top w:val="none" w:sz="0" w:space="0" w:color="auto"/>
        <w:left w:val="none" w:sz="0" w:space="0" w:color="auto"/>
        <w:bottom w:val="none" w:sz="0" w:space="0" w:color="auto"/>
        <w:right w:val="none" w:sz="0" w:space="0" w:color="auto"/>
      </w:divBdr>
    </w:div>
    <w:div w:id="733699816">
      <w:bodyDiv w:val="1"/>
      <w:marLeft w:val="0"/>
      <w:marRight w:val="0"/>
      <w:marTop w:val="0"/>
      <w:marBottom w:val="0"/>
      <w:divBdr>
        <w:top w:val="none" w:sz="0" w:space="0" w:color="auto"/>
        <w:left w:val="none" w:sz="0" w:space="0" w:color="auto"/>
        <w:bottom w:val="none" w:sz="0" w:space="0" w:color="auto"/>
        <w:right w:val="none" w:sz="0" w:space="0" w:color="auto"/>
      </w:divBdr>
    </w:div>
    <w:div w:id="738599443">
      <w:bodyDiv w:val="1"/>
      <w:marLeft w:val="0"/>
      <w:marRight w:val="0"/>
      <w:marTop w:val="0"/>
      <w:marBottom w:val="0"/>
      <w:divBdr>
        <w:top w:val="none" w:sz="0" w:space="0" w:color="auto"/>
        <w:left w:val="none" w:sz="0" w:space="0" w:color="auto"/>
        <w:bottom w:val="none" w:sz="0" w:space="0" w:color="auto"/>
        <w:right w:val="none" w:sz="0" w:space="0" w:color="auto"/>
      </w:divBdr>
    </w:div>
    <w:div w:id="812060658">
      <w:bodyDiv w:val="1"/>
      <w:marLeft w:val="0"/>
      <w:marRight w:val="0"/>
      <w:marTop w:val="0"/>
      <w:marBottom w:val="0"/>
      <w:divBdr>
        <w:top w:val="none" w:sz="0" w:space="0" w:color="auto"/>
        <w:left w:val="none" w:sz="0" w:space="0" w:color="auto"/>
        <w:bottom w:val="none" w:sz="0" w:space="0" w:color="auto"/>
        <w:right w:val="none" w:sz="0" w:space="0" w:color="auto"/>
      </w:divBdr>
    </w:div>
    <w:div w:id="835388861">
      <w:bodyDiv w:val="1"/>
      <w:marLeft w:val="0"/>
      <w:marRight w:val="0"/>
      <w:marTop w:val="0"/>
      <w:marBottom w:val="0"/>
      <w:divBdr>
        <w:top w:val="none" w:sz="0" w:space="0" w:color="auto"/>
        <w:left w:val="none" w:sz="0" w:space="0" w:color="auto"/>
        <w:bottom w:val="none" w:sz="0" w:space="0" w:color="auto"/>
        <w:right w:val="none" w:sz="0" w:space="0" w:color="auto"/>
      </w:divBdr>
    </w:div>
    <w:div w:id="837039240">
      <w:bodyDiv w:val="1"/>
      <w:marLeft w:val="0"/>
      <w:marRight w:val="0"/>
      <w:marTop w:val="0"/>
      <w:marBottom w:val="0"/>
      <w:divBdr>
        <w:top w:val="none" w:sz="0" w:space="0" w:color="auto"/>
        <w:left w:val="none" w:sz="0" w:space="0" w:color="auto"/>
        <w:bottom w:val="none" w:sz="0" w:space="0" w:color="auto"/>
        <w:right w:val="none" w:sz="0" w:space="0" w:color="auto"/>
      </w:divBdr>
    </w:div>
    <w:div w:id="867597826">
      <w:bodyDiv w:val="1"/>
      <w:marLeft w:val="0"/>
      <w:marRight w:val="0"/>
      <w:marTop w:val="0"/>
      <w:marBottom w:val="0"/>
      <w:divBdr>
        <w:top w:val="none" w:sz="0" w:space="0" w:color="auto"/>
        <w:left w:val="none" w:sz="0" w:space="0" w:color="auto"/>
        <w:bottom w:val="none" w:sz="0" w:space="0" w:color="auto"/>
        <w:right w:val="none" w:sz="0" w:space="0" w:color="auto"/>
      </w:divBdr>
    </w:div>
    <w:div w:id="901795939">
      <w:bodyDiv w:val="1"/>
      <w:marLeft w:val="0"/>
      <w:marRight w:val="0"/>
      <w:marTop w:val="0"/>
      <w:marBottom w:val="0"/>
      <w:divBdr>
        <w:top w:val="none" w:sz="0" w:space="0" w:color="auto"/>
        <w:left w:val="none" w:sz="0" w:space="0" w:color="auto"/>
        <w:bottom w:val="none" w:sz="0" w:space="0" w:color="auto"/>
        <w:right w:val="none" w:sz="0" w:space="0" w:color="auto"/>
      </w:divBdr>
    </w:div>
    <w:div w:id="959187153">
      <w:bodyDiv w:val="1"/>
      <w:marLeft w:val="0"/>
      <w:marRight w:val="0"/>
      <w:marTop w:val="0"/>
      <w:marBottom w:val="0"/>
      <w:divBdr>
        <w:top w:val="none" w:sz="0" w:space="0" w:color="auto"/>
        <w:left w:val="none" w:sz="0" w:space="0" w:color="auto"/>
        <w:bottom w:val="none" w:sz="0" w:space="0" w:color="auto"/>
        <w:right w:val="none" w:sz="0" w:space="0" w:color="auto"/>
      </w:divBdr>
    </w:div>
    <w:div w:id="963925308">
      <w:bodyDiv w:val="1"/>
      <w:marLeft w:val="0"/>
      <w:marRight w:val="0"/>
      <w:marTop w:val="0"/>
      <w:marBottom w:val="0"/>
      <w:divBdr>
        <w:top w:val="none" w:sz="0" w:space="0" w:color="auto"/>
        <w:left w:val="none" w:sz="0" w:space="0" w:color="auto"/>
        <w:bottom w:val="none" w:sz="0" w:space="0" w:color="auto"/>
        <w:right w:val="none" w:sz="0" w:space="0" w:color="auto"/>
      </w:divBdr>
    </w:div>
    <w:div w:id="1115247763">
      <w:bodyDiv w:val="1"/>
      <w:marLeft w:val="0"/>
      <w:marRight w:val="0"/>
      <w:marTop w:val="0"/>
      <w:marBottom w:val="0"/>
      <w:divBdr>
        <w:top w:val="none" w:sz="0" w:space="0" w:color="auto"/>
        <w:left w:val="none" w:sz="0" w:space="0" w:color="auto"/>
        <w:bottom w:val="none" w:sz="0" w:space="0" w:color="auto"/>
        <w:right w:val="none" w:sz="0" w:space="0" w:color="auto"/>
      </w:divBdr>
    </w:div>
    <w:div w:id="1162694146">
      <w:bodyDiv w:val="1"/>
      <w:marLeft w:val="0"/>
      <w:marRight w:val="0"/>
      <w:marTop w:val="0"/>
      <w:marBottom w:val="0"/>
      <w:divBdr>
        <w:top w:val="none" w:sz="0" w:space="0" w:color="auto"/>
        <w:left w:val="none" w:sz="0" w:space="0" w:color="auto"/>
        <w:bottom w:val="none" w:sz="0" w:space="0" w:color="auto"/>
        <w:right w:val="none" w:sz="0" w:space="0" w:color="auto"/>
      </w:divBdr>
    </w:div>
    <w:div w:id="1170213593">
      <w:bodyDiv w:val="1"/>
      <w:marLeft w:val="0"/>
      <w:marRight w:val="0"/>
      <w:marTop w:val="0"/>
      <w:marBottom w:val="0"/>
      <w:divBdr>
        <w:top w:val="none" w:sz="0" w:space="0" w:color="auto"/>
        <w:left w:val="none" w:sz="0" w:space="0" w:color="auto"/>
        <w:bottom w:val="none" w:sz="0" w:space="0" w:color="auto"/>
        <w:right w:val="none" w:sz="0" w:space="0" w:color="auto"/>
      </w:divBdr>
    </w:div>
    <w:div w:id="1208834232">
      <w:bodyDiv w:val="1"/>
      <w:marLeft w:val="0"/>
      <w:marRight w:val="0"/>
      <w:marTop w:val="0"/>
      <w:marBottom w:val="0"/>
      <w:divBdr>
        <w:top w:val="none" w:sz="0" w:space="0" w:color="auto"/>
        <w:left w:val="none" w:sz="0" w:space="0" w:color="auto"/>
        <w:bottom w:val="none" w:sz="0" w:space="0" w:color="auto"/>
        <w:right w:val="none" w:sz="0" w:space="0" w:color="auto"/>
      </w:divBdr>
    </w:div>
    <w:div w:id="1258296429">
      <w:bodyDiv w:val="1"/>
      <w:marLeft w:val="0"/>
      <w:marRight w:val="0"/>
      <w:marTop w:val="0"/>
      <w:marBottom w:val="0"/>
      <w:divBdr>
        <w:top w:val="none" w:sz="0" w:space="0" w:color="auto"/>
        <w:left w:val="none" w:sz="0" w:space="0" w:color="auto"/>
        <w:bottom w:val="none" w:sz="0" w:space="0" w:color="auto"/>
        <w:right w:val="none" w:sz="0" w:space="0" w:color="auto"/>
      </w:divBdr>
    </w:div>
    <w:div w:id="1260606283">
      <w:bodyDiv w:val="1"/>
      <w:marLeft w:val="0"/>
      <w:marRight w:val="0"/>
      <w:marTop w:val="0"/>
      <w:marBottom w:val="0"/>
      <w:divBdr>
        <w:top w:val="none" w:sz="0" w:space="0" w:color="auto"/>
        <w:left w:val="none" w:sz="0" w:space="0" w:color="auto"/>
        <w:bottom w:val="none" w:sz="0" w:space="0" w:color="auto"/>
        <w:right w:val="none" w:sz="0" w:space="0" w:color="auto"/>
      </w:divBdr>
    </w:div>
    <w:div w:id="1329401535">
      <w:bodyDiv w:val="1"/>
      <w:marLeft w:val="0"/>
      <w:marRight w:val="0"/>
      <w:marTop w:val="0"/>
      <w:marBottom w:val="0"/>
      <w:divBdr>
        <w:top w:val="none" w:sz="0" w:space="0" w:color="auto"/>
        <w:left w:val="none" w:sz="0" w:space="0" w:color="auto"/>
        <w:bottom w:val="none" w:sz="0" w:space="0" w:color="auto"/>
        <w:right w:val="none" w:sz="0" w:space="0" w:color="auto"/>
      </w:divBdr>
    </w:div>
    <w:div w:id="1346518069">
      <w:bodyDiv w:val="1"/>
      <w:marLeft w:val="0"/>
      <w:marRight w:val="0"/>
      <w:marTop w:val="0"/>
      <w:marBottom w:val="0"/>
      <w:divBdr>
        <w:top w:val="none" w:sz="0" w:space="0" w:color="auto"/>
        <w:left w:val="none" w:sz="0" w:space="0" w:color="auto"/>
        <w:bottom w:val="none" w:sz="0" w:space="0" w:color="auto"/>
        <w:right w:val="none" w:sz="0" w:space="0" w:color="auto"/>
      </w:divBdr>
    </w:div>
    <w:div w:id="1404911523">
      <w:bodyDiv w:val="1"/>
      <w:marLeft w:val="0"/>
      <w:marRight w:val="0"/>
      <w:marTop w:val="0"/>
      <w:marBottom w:val="0"/>
      <w:divBdr>
        <w:top w:val="none" w:sz="0" w:space="0" w:color="auto"/>
        <w:left w:val="none" w:sz="0" w:space="0" w:color="auto"/>
        <w:bottom w:val="none" w:sz="0" w:space="0" w:color="auto"/>
        <w:right w:val="none" w:sz="0" w:space="0" w:color="auto"/>
      </w:divBdr>
    </w:div>
    <w:div w:id="1407533274">
      <w:bodyDiv w:val="1"/>
      <w:marLeft w:val="0"/>
      <w:marRight w:val="0"/>
      <w:marTop w:val="0"/>
      <w:marBottom w:val="0"/>
      <w:divBdr>
        <w:top w:val="none" w:sz="0" w:space="0" w:color="auto"/>
        <w:left w:val="none" w:sz="0" w:space="0" w:color="auto"/>
        <w:bottom w:val="none" w:sz="0" w:space="0" w:color="auto"/>
        <w:right w:val="none" w:sz="0" w:space="0" w:color="auto"/>
      </w:divBdr>
    </w:div>
    <w:div w:id="1473215063">
      <w:bodyDiv w:val="1"/>
      <w:marLeft w:val="0"/>
      <w:marRight w:val="0"/>
      <w:marTop w:val="0"/>
      <w:marBottom w:val="0"/>
      <w:divBdr>
        <w:top w:val="none" w:sz="0" w:space="0" w:color="auto"/>
        <w:left w:val="none" w:sz="0" w:space="0" w:color="auto"/>
        <w:bottom w:val="none" w:sz="0" w:space="0" w:color="auto"/>
        <w:right w:val="none" w:sz="0" w:space="0" w:color="auto"/>
      </w:divBdr>
    </w:div>
    <w:div w:id="1480733880">
      <w:bodyDiv w:val="1"/>
      <w:marLeft w:val="0"/>
      <w:marRight w:val="0"/>
      <w:marTop w:val="0"/>
      <w:marBottom w:val="0"/>
      <w:divBdr>
        <w:top w:val="none" w:sz="0" w:space="0" w:color="auto"/>
        <w:left w:val="none" w:sz="0" w:space="0" w:color="auto"/>
        <w:bottom w:val="none" w:sz="0" w:space="0" w:color="auto"/>
        <w:right w:val="none" w:sz="0" w:space="0" w:color="auto"/>
      </w:divBdr>
    </w:div>
    <w:div w:id="1492939800">
      <w:bodyDiv w:val="1"/>
      <w:marLeft w:val="0"/>
      <w:marRight w:val="0"/>
      <w:marTop w:val="0"/>
      <w:marBottom w:val="0"/>
      <w:divBdr>
        <w:top w:val="none" w:sz="0" w:space="0" w:color="auto"/>
        <w:left w:val="none" w:sz="0" w:space="0" w:color="auto"/>
        <w:bottom w:val="none" w:sz="0" w:space="0" w:color="auto"/>
        <w:right w:val="none" w:sz="0" w:space="0" w:color="auto"/>
      </w:divBdr>
    </w:div>
    <w:div w:id="1508901923">
      <w:bodyDiv w:val="1"/>
      <w:marLeft w:val="0"/>
      <w:marRight w:val="0"/>
      <w:marTop w:val="0"/>
      <w:marBottom w:val="0"/>
      <w:divBdr>
        <w:top w:val="none" w:sz="0" w:space="0" w:color="auto"/>
        <w:left w:val="none" w:sz="0" w:space="0" w:color="auto"/>
        <w:bottom w:val="none" w:sz="0" w:space="0" w:color="auto"/>
        <w:right w:val="none" w:sz="0" w:space="0" w:color="auto"/>
      </w:divBdr>
    </w:div>
    <w:div w:id="1545024590">
      <w:bodyDiv w:val="1"/>
      <w:marLeft w:val="0"/>
      <w:marRight w:val="0"/>
      <w:marTop w:val="0"/>
      <w:marBottom w:val="0"/>
      <w:divBdr>
        <w:top w:val="none" w:sz="0" w:space="0" w:color="auto"/>
        <w:left w:val="none" w:sz="0" w:space="0" w:color="auto"/>
        <w:bottom w:val="none" w:sz="0" w:space="0" w:color="auto"/>
        <w:right w:val="none" w:sz="0" w:space="0" w:color="auto"/>
      </w:divBdr>
    </w:div>
    <w:div w:id="1588461839">
      <w:bodyDiv w:val="1"/>
      <w:marLeft w:val="0"/>
      <w:marRight w:val="0"/>
      <w:marTop w:val="0"/>
      <w:marBottom w:val="0"/>
      <w:divBdr>
        <w:top w:val="none" w:sz="0" w:space="0" w:color="auto"/>
        <w:left w:val="none" w:sz="0" w:space="0" w:color="auto"/>
        <w:bottom w:val="none" w:sz="0" w:space="0" w:color="auto"/>
        <w:right w:val="none" w:sz="0" w:space="0" w:color="auto"/>
      </w:divBdr>
    </w:div>
    <w:div w:id="1678850997">
      <w:bodyDiv w:val="1"/>
      <w:marLeft w:val="0"/>
      <w:marRight w:val="0"/>
      <w:marTop w:val="0"/>
      <w:marBottom w:val="0"/>
      <w:divBdr>
        <w:top w:val="none" w:sz="0" w:space="0" w:color="auto"/>
        <w:left w:val="none" w:sz="0" w:space="0" w:color="auto"/>
        <w:bottom w:val="none" w:sz="0" w:space="0" w:color="auto"/>
        <w:right w:val="none" w:sz="0" w:space="0" w:color="auto"/>
      </w:divBdr>
    </w:div>
    <w:div w:id="1696881194">
      <w:bodyDiv w:val="1"/>
      <w:marLeft w:val="0"/>
      <w:marRight w:val="0"/>
      <w:marTop w:val="0"/>
      <w:marBottom w:val="0"/>
      <w:divBdr>
        <w:top w:val="none" w:sz="0" w:space="0" w:color="auto"/>
        <w:left w:val="none" w:sz="0" w:space="0" w:color="auto"/>
        <w:bottom w:val="none" w:sz="0" w:space="0" w:color="auto"/>
        <w:right w:val="none" w:sz="0" w:space="0" w:color="auto"/>
      </w:divBdr>
    </w:div>
    <w:div w:id="1698920168">
      <w:bodyDiv w:val="1"/>
      <w:marLeft w:val="0"/>
      <w:marRight w:val="0"/>
      <w:marTop w:val="0"/>
      <w:marBottom w:val="0"/>
      <w:divBdr>
        <w:top w:val="none" w:sz="0" w:space="0" w:color="auto"/>
        <w:left w:val="none" w:sz="0" w:space="0" w:color="auto"/>
        <w:bottom w:val="none" w:sz="0" w:space="0" w:color="auto"/>
        <w:right w:val="none" w:sz="0" w:space="0" w:color="auto"/>
      </w:divBdr>
    </w:div>
    <w:div w:id="1699967662">
      <w:bodyDiv w:val="1"/>
      <w:marLeft w:val="0"/>
      <w:marRight w:val="0"/>
      <w:marTop w:val="0"/>
      <w:marBottom w:val="0"/>
      <w:divBdr>
        <w:top w:val="none" w:sz="0" w:space="0" w:color="auto"/>
        <w:left w:val="none" w:sz="0" w:space="0" w:color="auto"/>
        <w:bottom w:val="none" w:sz="0" w:space="0" w:color="auto"/>
        <w:right w:val="none" w:sz="0" w:space="0" w:color="auto"/>
      </w:divBdr>
    </w:div>
    <w:div w:id="1704011751">
      <w:bodyDiv w:val="1"/>
      <w:marLeft w:val="0"/>
      <w:marRight w:val="0"/>
      <w:marTop w:val="0"/>
      <w:marBottom w:val="0"/>
      <w:divBdr>
        <w:top w:val="none" w:sz="0" w:space="0" w:color="auto"/>
        <w:left w:val="none" w:sz="0" w:space="0" w:color="auto"/>
        <w:bottom w:val="none" w:sz="0" w:space="0" w:color="auto"/>
        <w:right w:val="none" w:sz="0" w:space="0" w:color="auto"/>
      </w:divBdr>
    </w:div>
    <w:div w:id="1848058283">
      <w:bodyDiv w:val="1"/>
      <w:marLeft w:val="0"/>
      <w:marRight w:val="0"/>
      <w:marTop w:val="0"/>
      <w:marBottom w:val="0"/>
      <w:divBdr>
        <w:top w:val="none" w:sz="0" w:space="0" w:color="auto"/>
        <w:left w:val="none" w:sz="0" w:space="0" w:color="auto"/>
        <w:bottom w:val="none" w:sz="0" w:space="0" w:color="auto"/>
        <w:right w:val="none" w:sz="0" w:space="0" w:color="auto"/>
      </w:divBdr>
    </w:div>
    <w:div w:id="1877110280">
      <w:bodyDiv w:val="1"/>
      <w:marLeft w:val="0"/>
      <w:marRight w:val="0"/>
      <w:marTop w:val="0"/>
      <w:marBottom w:val="0"/>
      <w:divBdr>
        <w:top w:val="none" w:sz="0" w:space="0" w:color="auto"/>
        <w:left w:val="none" w:sz="0" w:space="0" w:color="auto"/>
        <w:bottom w:val="none" w:sz="0" w:space="0" w:color="auto"/>
        <w:right w:val="none" w:sz="0" w:space="0" w:color="auto"/>
      </w:divBdr>
    </w:div>
    <w:div w:id="1893881010">
      <w:bodyDiv w:val="1"/>
      <w:marLeft w:val="0"/>
      <w:marRight w:val="0"/>
      <w:marTop w:val="0"/>
      <w:marBottom w:val="0"/>
      <w:divBdr>
        <w:top w:val="none" w:sz="0" w:space="0" w:color="auto"/>
        <w:left w:val="none" w:sz="0" w:space="0" w:color="auto"/>
        <w:bottom w:val="none" w:sz="0" w:space="0" w:color="auto"/>
        <w:right w:val="none" w:sz="0" w:space="0" w:color="auto"/>
      </w:divBdr>
    </w:div>
    <w:div w:id="1916552785">
      <w:bodyDiv w:val="1"/>
      <w:marLeft w:val="0"/>
      <w:marRight w:val="0"/>
      <w:marTop w:val="0"/>
      <w:marBottom w:val="0"/>
      <w:divBdr>
        <w:top w:val="none" w:sz="0" w:space="0" w:color="auto"/>
        <w:left w:val="none" w:sz="0" w:space="0" w:color="auto"/>
        <w:bottom w:val="none" w:sz="0" w:space="0" w:color="auto"/>
        <w:right w:val="none" w:sz="0" w:space="0" w:color="auto"/>
      </w:divBdr>
    </w:div>
    <w:div w:id="2000038475">
      <w:bodyDiv w:val="1"/>
      <w:marLeft w:val="0"/>
      <w:marRight w:val="0"/>
      <w:marTop w:val="0"/>
      <w:marBottom w:val="0"/>
      <w:divBdr>
        <w:top w:val="none" w:sz="0" w:space="0" w:color="auto"/>
        <w:left w:val="none" w:sz="0" w:space="0" w:color="auto"/>
        <w:bottom w:val="none" w:sz="0" w:space="0" w:color="auto"/>
        <w:right w:val="none" w:sz="0" w:space="0" w:color="auto"/>
      </w:divBdr>
    </w:div>
    <w:div w:id="2020110406">
      <w:bodyDiv w:val="1"/>
      <w:marLeft w:val="0"/>
      <w:marRight w:val="0"/>
      <w:marTop w:val="0"/>
      <w:marBottom w:val="0"/>
      <w:divBdr>
        <w:top w:val="none" w:sz="0" w:space="0" w:color="auto"/>
        <w:left w:val="none" w:sz="0" w:space="0" w:color="auto"/>
        <w:bottom w:val="none" w:sz="0" w:space="0" w:color="auto"/>
        <w:right w:val="none" w:sz="0" w:space="0" w:color="auto"/>
      </w:divBdr>
    </w:div>
    <w:div w:id="2057928477">
      <w:bodyDiv w:val="1"/>
      <w:marLeft w:val="0"/>
      <w:marRight w:val="0"/>
      <w:marTop w:val="0"/>
      <w:marBottom w:val="0"/>
      <w:divBdr>
        <w:top w:val="none" w:sz="0" w:space="0" w:color="auto"/>
        <w:left w:val="none" w:sz="0" w:space="0" w:color="auto"/>
        <w:bottom w:val="none" w:sz="0" w:space="0" w:color="auto"/>
        <w:right w:val="none" w:sz="0" w:space="0" w:color="auto"/>
      </w:divBdr>
    </w:div>
    <w:div w:id="2063823599">
      <w:bodyDiv w:val="1"/>
      <w:marLeft w:val="0"/>
      <w:marRight w:val="0"/>
      <w:marTop w:val="0"/>
      <w:marBottom w:val="0"/>
      <w:divBdr>
        <w:top w:val="none" w:sz="0" w:space="0" w:color="auto"/>
        <w:left w:val="none" w:sz="0" w:space="0" w:color="auto"/>
        <w:bottom w:val="none" w:sz="0" w:space="0" w:color="auto"/>
        <w:right w:val="none" w:sz="0" w:space="0" w:color="auto"/>
      </w:divBdr>
    </w:div>
    <w:div w:id="20860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gsc.wa.gov.au/lgareview" TargetMode="External"/><Relationship Id="rId18" Type="http://schemas.openxmlformats.org/officeDocument/2006/relationships/image" Target="media/image2.png"/><Relationship Id="rId26" Type="http://schemas.openxmlformats.org/officeDocument/2006/relationships/hyperlink" Target="https://rbm.treasury.wa.gov.au/" TargetMode="Externa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www.dlgsc.wa.gov.au" TargetMode="External"/><Relationship Id="rId17" Type="http://schemas.openxmlformats.org/officeDocument/2006/relationships/chart" Target="charts/chart1.xml"/><Relationship Id="rId25" Type="http://schemas.openxmlformats.org/officeDocument/2006/relationships/hyperlink" Target="http://www.treasury.wa.gov.au/Economic-Reform/Reducing-Red-Tape/Red-Tape-Tools/"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diagramData" Target="diagrams/data1.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islation@dlgsc.wa.gov.au" TargetMode="External"/><Relationship Id="rId24" Type="http://schemas.microsoft.com/office/2007/relationships/diagramDrawing" Target="diagrams/drawing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dlgc.wa.gov.au/lgareview" TargetMode="External"/><Relationship Id="rId23" Type="http://schemas.openxmlformats.org/officeDocument/2006/relationships/diagramColors" Target="diagrams/colors1.xml"/><Relationship Id="rId28" Type="http://schemas.openxmlformats.org/officeDocument/2006/relationships/hyperlink" Target="http://www.dlgc.wa.gov.au" TargetMode="External"/><Relationship Id="rId10" Type="http://schemas.openxmlformats.org/officeDocument/2006/relationships/endnotes" Target="endnotes.xml"/><Relationship Id="rId19" Type="http://schemas.openxmlformats.org/officeDocument/2006/relationships/image" Target="cid:image003.png@01D33136.717B090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gislation@dlgsc.wa.gov.au\" TargetMode="External"/><Relationship Id="rId22" Type="http://schemas.openxmlformats.org/officeDocument/2006/relationships/diagramQuickStyle" Target="diagrams/quickStyle1.xml"/><Relationship Id="rId27" Type="http://schemas.openxmlformats.org/officeDocument/2006/relationships/hyperlink" Target="mailto:legislation@dlgsc.wa.gov.au"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lg.nsw.gov.au/sites/default/files/Procedures-for-Administration-of-Model-Code-of-Conduct.pdf" TargetMode="External"/><Relationship Id="rId2" Type="http://schemas.openxmlformats.org/officeDocument/2006/relationships/hyperlink" Target="http://www.parliament.wa.gov.au/publications/tabledpapers.nsf/displaypaper/4010618aa75348cc3a9c03324825819a0019a8c7/$file/618.pdf" TargetMode="External"/><Relationship Id="rId1" Type="http://schemas.openxmlformats.org/officeDocument/2006/relationships/hyperlink" Target="https://www.dlgc.wa.gov.au/publications/documents/inquiry_City_Canning_report.pdf" TargetMode="External"/><Relationship Id="rId5" Type="http://schemas.openxmlformats.org/officeDocument/2006/relationships/hyperlink" Target="https://www.dilgp.qld.gov.au/resources/publication/local-government/councillor-complaints-review-report.pdf" TargetMode="External"/><Relationship Id="rId4" Type="http://schemas.openxmlformats.org/officeDocument/2006/relationships/hyperlink" Target="https://www.dilgp.qld.gov.au/resources/publication/local-government/councillor-complaints-review-report-government-respons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AU" sz="1400" b="1">
                <a:effectLst/>
              </a:rPr>
              <a:t>Average time taken after an incident for a complaint of minor breach to be lodged</a:t>
            </a:r>
            <a:r>
              <a:rPr lang="en-AU" sz="1400">
                <a:effectLst/>
              </a:rPr>
              <a:t>.  </a:t>
            </a:r>
          </a:p>
        </c:rich>
      </c:tx>
      <c:layout>
        <c:manualLayout>
          <c:xMode val="edge"/>
          <c:yMode val="edge"/>
          <c:x val="0.21049734219953997"/>
          <c:y val="3.658958445914992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'A2-timing'!$A$56</c:f>
              <c:strCache>
                <c:ptCount val="1"/>
                <c:pt idx="0">
                  <c:v>Target behaviour</c:v>
                </c:pt>
              </c:strCache>
            </c:strRef>
          </c:tx>
          <c:spPr>
            <a:solidFill>
              <a:schemeClr val="accent1"/>
            </a:solidFill>
            <a:ln>
              <a:noFill/>
            </a:ln>
            <a:effectLst/>
          </c:spPr>
          <c:invertIfNegative val="0"/>
          <c:cat>
            <c:strRef>
              <c:f>'A2-timing'!$B$55:$I$55</c:f>
              <c:strCache>
                <c:ptCount val="8"/>
                <c:pt idx="0">
                  <c:v>&lt;7days</c:v>
                </c:pt>
                <c:pt idx="1">
                  <c:v>8-30 days</c:v>
                </c:pt>
                <c:pt idx="2">
                  <c:v>31-90 days</c:v>
                </c:pt>
                <c:pt idx="3">
                  <c:v>91-180 days</c:v>
                </c:pt>
                <c:pt idx="4">
                  <c:v>181-272 days</c:v>
                </c:pt>
                <c:pt idx="5">
                  <c:v>273-365 days</c:v>
                </c:pt>
                <c:pt idx="6">
                  <c:v>366-548 days</c:v>
                </c:pt>
                <c:pt idx="7">
                  <c:v>549-730 days</c:v>
                </c:pt>
              </c:strCache>
            </c:strRef>
          </c:cat>
          <c:val>
            <c:numRef>
              <c:f>'A2-timing'!$B$56:$I$56</c:f>
              <c:numCache>
                <c:formatCode>General</c:formatCode>
                <c:ptCount val="8"/>
                <c:pt idx="0">
                  <c:v>34</c:v>
                </c:pt>
                <c:pt idx="1">
                  <c:v>61</c:v>
                </c:pt>
                <c:pt idx="2">
                  <c:v>56</c:v>
                </c:pt>
                <c:pt idx="3">
                  <c:v>25</c:v>
                </c:pt>
                <c:pt idx="4">
                  <c:v>9</c:v>
                </c:pt>
                <c:pt idx="5">
                  <c:v>2</c:v>
                </c:pt>
                <c:pt idx="6">
                  <c:v>3</c:v>
                </c:pt>
                <c:pt idx="7">
                  <c:v>2</c:v>
                </c:pt>
              </c:numCache>
            </c:numRef>
          </c:val>
          <c:extLst xmlns:c16r2="http://schemas.microsoft.com/office/drawing/2015/06/chart">
            <c:ext xmlns:c16="http://schemas.microsoft.com/office/drawing/2014/chart" uri="{C3380CC4-5D6E-409C-BE32-E72D297353CC}">
              <c16:uniqueId val="{00000000-5A6D-40A3-BE0C-59AE1F577F01}"/>
            </c:ext>
          </c:extLst>
        </c:ser>
        <c:ser>
          <c:idx val="1"/>
          <c:order val="1"/>
          <c:tx>
            <c:strRef>
              <c:f>'A2-timing'!$A$57</c:f>
              <c:strCache>
                <c:ptCount val="1"/>
                <c:pt idx="0">
                  <c:v>Non-Target behaviour</c:v>
                </c:pt>
              </c:strCache>
            </c:strRef>
          </c:tx>
          <c:spPr>
            <a:solidFill>
              <a:schemeClr val="accent3"/>
            </a:solidFill>
            <a:ln>
              <a:noFill/>
            </a:ln>
            <a:effectLst/>
          </c:spPr>
          <c:invertIfNegative val="0"/>
          <c:cat>
            <c:strRef>
              <c:f>'A2-timing'!$B$55:$I$55</c:f>
              <c:strCache>
                <c:ptCount val="8"/>
                <c:pt idx="0">
                  <c:v>&lt;7days</c:v>
                </c:pt>
                <c:pt idx="1">
                  <c:v>8-30 days</c:v>
                </c:pt>
                <c:pt idx="2">
                  <c:v>31-90 days</c:v>
                </c:pt>
                <c:pt idx="3">
                  <c:v>91-180 days</c:v>
                </c:pt>
                <c:pt idx="4">
                  <c:v>181-272 days</c:v>
                </c:pt>
                <c:pt idx="5">
                  <c:v>273-365 days</c:v>
                </c:pt>
                <c:pt idx="6">
                  <c:v>366-548 days</c:v>
                </c:pt>
                <c:pt idx="7">
                  <c:v>549-730 days</c:v>
                </c:pt>
              </c:strCache>
            </c:strRef>
          </c:cat>
          <c:val>
            <c:numRef>
              <c:f>'A2-timing'!$B$57:$I$57</c:f>
              <c:numCache>
                <c:formatCode>General</c:formatCode>
                <c:ptCount val="8"/>
                <c:pt idx="0">
                  <c:v>54</c:v>
                </c:pt>
                <c:pt idx="1">
                  <c:v>112</c:v>
                </c:pt>
                <c:pt idx="2">
                  <c:v>76</c:v>
                </c:pt>
                <c:pt idx="3">
                  <c:v>38</c:v>
                </c:pt>
                <c:pt idx="4">
                  <c:v>10</c:v>
                </c:pt>
                <c:pt idx="5">
                  <c:v>7</c:v>
                </c:pt>
                <c:pt idx="6">
                  <c:v>6</c:v>
                </c:pt>
                <c:pt idx="7">
                  <c:v>11</c:v>
                </c:pt>
              </c:numCache>
            </c:numRef>
          </c:val>
          <c:extLst xmlns:c16r2="http://schemas.microsoft.com/office/drawing/2015/06/chart">
            <c:ext xmlns:c16="http://schemas.microsoft.com/office/drawing/2014/chart" uri="{C3380CC4-5D6E-409C-BE32-E72D297353CC}">
              <c16:uniqueId val="{00000001-5A6D-40A3-BE0C-59AE1F577F01}"/>
            </c:ext>
          </c:extLst>
        </c:ser>
        <c:dLbls>
          <c:showLegendKey val="0"/>
          <c:showVal val="0"/>
          <c:showCatName val="0"/>
          <c:showSerName val="0"/>
          <c:showPercent val="0"/>
          <c:showBubbleSize val="0"/>
        </c:dLbls>
        <c:gapWidth val="55"/>
        <c:axId val="533321024"/>
        <c:axId val="533321416"/>
      </c:barChart>
      <c:catAx>
        <c:axId val="533321024"/>
        <c:scaling>
          <c:orientation val="minMax"/>
        </c:scaling>
        <c:delete val="0"/>
        <c:axPos val="b"/>
        <c:numFmt formatCode="General"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3321416"/>
        <c:crosses val="autoZero"/>
        <c:auto val="1"/>
        <c:lblAlgn val="ctr"/>
        <c:lblOffset val="100"/>
        <c:noMultiLvlLbl val="0"/>
      </c:catAx>
      <c:valAx>
        <c:axId val="533321416"/>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533321024"/>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en-US"/>
    </a:p>
  </c:txPr>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F73C91-1C83-4509-9D70-7E89DDB1285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C98E7F3B-AFD5-4298-B053-0530D6C0E2A5}">
      <dgm:prSet phldrT="[Text]" custT="1"/>
      <dgm:spPr/>
      <dgm:t>
        <a:bodyPr/>
        <a:lstStyle/>
        <a:p>
          <a:r>
            <a:rPr lang="en-AU" sz="900"/>
            <a:t>Complaint</a:t>
          </a:r>
        </a:p>
      </dgm:t>
    </dgm:pt>
    <dgm:pt modelId="{8B7238FA-A0FE-4C20-98B2-DED6EE95C413}" type="parTrans" cxnId="{F1498ACA-0451-468F-BE10-00DAC048AED4}">
      <dgm:prSet/>
      <dgm:spPr/>
      <dgm:t>
        <a:bodyPr/>
        <a:lstStyle/>
        <a:p>
          <a:endParaRPr lang="en-AU"/>
        </a:p>
      </dgm:t>
    </dgm:pt>
    <dgm:pt modelId="{04C00555-7572-4146-B013-FB5C4A26F946}" type="sibTrans" cxnId="{F1498ACA-0451-468F-BE10-00DAC048AED4}">
      <dgm:prSet/>
      <dgm:spPr/>
      <dgm:t>
        <a:bodyPr/>
        <a:lstStyle/>
        <a:p>
          <a:endParaRPr lang="en-AU"/>
        </a:p>
      </dgm:t>
    </dgm:pt>
    <dgm:pt modelId="{796BA2DD-F679-4629-A90E-5FF9BFA1096C}">
      <dgm:prSet phldrT="[Text]" custT="1"/>
      <dgm:spPr/>
      <dgm:t>
        <a:bodyPr/>
        <a:lstStyle/>
        <a:p>
          <a:r>
            <a:rPr lang="en-AU" sz="800">
              <a:latin typeface="Arial" panose="020B0604020202020204" pitchFamily="34" charset="0"/>
              <a:cs typeface="Arial" panose="020B0604020202020204" pitchFamily="34" charset="0"/>
            </a:rPr>
            <a:t>Sent to </a:t>
          </a:r>
          <a:r>
            <a:rPr lang="en-AU" sz="800">
              <a:solidFill>
                <a:sysClr val="windowText" lastClr="000000"/>
              </a:solidFill>
              <a:latin typeface="Arial" panose="020B0604020202020204" pitchFamily="34" charset="0"/>
              <a:cs typeface="Arial" panose="020B0604020202020204" pitchFamily="34" charset="0"/>
            </a:rPr>
            <a:t>the local </a:t>
          </a:r>
          <a:r>
            <a:rPr lang="en-AU" sz="800">
              <a:latin typeface="Arial" panose="020B0604020202020204" pitchFamily="34" charset="0"/>
              <a:cs typeface="Arial" panose="020B0604020202020204" pitchFamily="34" charset="0"/>
            </a:rPr>
            <a:t>government complaints officer</a:t>
          </a:r>
        </a:p>
      </dgm:t>
    </dgm:pt>
    <dgm:pt modelId="{76CF93DF-F055-4957-9C90-DEBFCAC6BE29}" type="parTrans" cxnId="{5914EFDD-BCEE-4CA7-B26B-119EEF52C84D}">
      <dgm:prSet/>
      <dgm:spPr/>
      <dgm:t>
        <a:bodyPr/>
        <a:lstStyle/>
        <a:p>
          <a:endParaRPr lang="en-AU"/>
        </a:p>
      </dgm:t>
    </dgm:pt>
    <dgm:pt modelId="{E6273BD8-6D9D-4EDC-B624-7EE46C33065A}" type="sibTrans" cxnId="{5914EFDD-BCEE-4CA7-B26B-119EEF52C84D}">
      <dgm:prSet/>
      <dgm:spPr/>
      <dgm:t>
        <a:bodyPr/>
        <a:lstStyle/>
        <a:p>
          <a:endParaRPr lang="en-AU"/>
        </a:p>
      </dgm:t>
    </dgm:pt>
    <dgm:pt modelId="{98B8DBBA-8628-474D-B803-4F3D71C1EC4B}">
      <dgm:prSet phldrT="[Text]" custT="1"/>
      <dgm:spPr/>
      <dgm:t>
        <a:bodyPr/>
        <a:lstStyle/>
        <a:p>
          <a:r>
            <a:rPr lang="en-AU" sz="900"/>
            <a:t>Conduct Review Committee</a:t>
          </a:r>
        </a:p>
      </dgm:t>
    </dgm:pt>
    <dgm:pt modelId="{5065F7A5-7509-4F44-B8BA-50939E59EC79}" type="parTrans" cxnId="{B3889CF7-8DAC-4FBC-91BD-D38A76A7D006}">
      <dgm:prSet/>
      <dgm:spPr/>
      <dgm:t>
        <a:bodyPr/>
        <a:lstStyle/>
        <a:p>
          <a:endParaRPr lang="en-AU"/>
        </a:p>
      </dgm:t>
    </dgm:pt>
    <dgm:pt modelId="{3DE7DBB8-3F07-4FB1-A626-08D462DB63BD}" type="sibTrans" cxnId="{B3889CF7-8DAC-4FBC-91BD-D38A76A7D006}">
      <dgm:prSet/>
      <dgm:spPr/>
      <dgm:t>
        <a:bodyPr/>
        <a:lstStyle/>
        <a:p>
          <a:endParaRPr lang="en-AU"/>
        </a:p>
      </dgm:t>
    </dgm:pt>
    <dgm:pt modelId="{DDFA84E5-11B5-4C8E-90CE-C8424690AF71}">
      <dgm:prSet phldrT="[Text]" custT="1"/>
      <dgm:spPr/>
      <dgm:t>
        <a:bodyPr/>
        <a:lstStyle/>
        <a:p>
          <a:r>
            <a:rPr lang="en-AU" sz="800">
              <a:latin typeface="Arial" panose="020B0604020202020204" pitchFamily="34" charset="0"/>
              <a:cs typeface="Arial" panose="020B0604020202020204" pitchFamily="34" charset="0"/>
            </a:rPr>
            <a:t>The complaint is reviewed by a Conduct Review Committee which is made up of members from surrounding local governments.</a:t>
          </a:r>
          <a:endParaRPr lang="en-AU" sz="800"/>
        </a:p>
      </dgm:t>
    </dgm:pt>
    <dgm:pt modelId="{EEC7B5AA-2507-468C-9673-981702EFC88B}" type="parTrans" cxnId="{D60C1237-8D42-49FE-A79A-7D05E7BF14DA}">
      <dgm:prSet/>
      <dgm:spPr/>
      <dgm:t>
        <a:bodyPr/>
        <a:lstStyle/>
        <a:p>
          <a:endParaRPr lang="en-AU"/>
        </a:p>
      </dgm:t>
    </dgm:pt>
    <dgm:pt modelId="{6554780E-4E3B-4D08-979F-59B4C7CDB7FB}" type="sibTrans" cxnId="{D60C1237-8D42-49FE-A79A-7D05E7BF14DA}">
      <dgm:prSet/>
      <dgm:spPr/>
      <dgm:t>
        <a:bodyPr/>
        <a:lstStyle/>
        <a:p>
          <a:endParaRPr lang="en-AU"/>
        </a:p>
      </dgm:t>
    </dgm:pt>
    <dgm:pt modelId="{F7C60A83-0075-498B-840A-8B869BA650C2}">
      <dgm:prSet phldrT="[Text]" custT="1"/>
      <dgm:spPr/>
      <dgm:t>
        <a:bodyPr/>
        <a:lstStyle/>
        <a:p>
          <a:r>
            <a:rPr lang="en-AU" sz="900">
              <a:latin typeface="Arial" panose="020B0604020202020204" pitchFamily="34" charset="0"/>
              <a:cs typeface="Arial" panose="020B0604020202020204" pitchFamily="34" charset="0"/>
            </a:rPr>
            <a:t>Standards Panel</a:t>
          </a:r>
          <a:endParaRPr lang="en-AU" sz="900"/>
        </a:p>
      </dgm:t>
    </dgm:pt>
    <dgm:pt modelId="{4ACEB3FB-38A6-45B1-8229-92E26283A209}" type="parTrans" cxnId="{A04C9600-51F7-4BB5-90E8-AB0C87E945C3}">
      <dgm:prSet/>
      <dgm:spPr/>
      <dgm:t>
        <a:bodyPr/>
        <a:lstStyle/>
        <a:p>
          <a:endParaRPr lang="en-AU"/>
        </a:p>
      </dgm:t>
    </dgm:pt>
    <dgm:pt modelId="{F5426B03-E086-4EF0-A924-4F491E9C6874}" type="sibTrans" cxnId="{A04C9600-51F7-4BB5-90E8-AB0C87E945C3}">
      <dgm:prSet/>
      <dgm:spPr/>
      <dgm:t>
        <a:bodyPr/>
        <a:lstStyle/>
        <a:p>
          <a:endParaRPr lang="en-AU"/>
        </a:p>
      </dgm:t>
    </dgm:pt>
    <dgm:pt modelId="{B5916128-EA24-4BB6-9888-128E164C337F}">
      <dgm:prSet phldrT="[Text]" custT="1"/>
      <dgm:spPr/>
      <dgm:t>
        <a:bodyPr/>
        <a:lstStyle/>
        <a:p>
          <a:r>
            <a:rPr lang="en-AU" sz="800">
              <a:latin typeface="Arial" panose="020B0604020202020204" pitchFamily="34" charset="0"/>
              <a:cs typeface="Arial" panose="020B0604020202020204" pitchFamily="34" charset="0"/>
            </a:rPr>
            <a:t>The Conduct Review Committee can refer matters to the Standards Panel if it cannot be resolved at a peer level.</a:t>
          </a:r>
          <a:endParaRPr lang="en-AU" sz="800"/>
        </a:p>
      </dgm:t>
    </dgm:pt>
    <dgm:pt modelId="{ED3768C5-5733-4CD4-8E49-01042C751C21}" type="parTrans" cxnId="{631EC3D5-311F-4380-9D80-FDBF9E75D83A}">
      <dgm:prSet/>
      <dgm:spPr/>
      <dgm:t>
        <a:bodyPr/>
        <a:lstStyle/>
        <a:p>
          <a:endParaRPr lang="en-AU"/>
        </a:p>
      </dgm:t>
    </dgm:pt>
    <dgm:pt modelId="{29AF6FAD-34B6-45BE-BC30-27ED64ED5264}" type="sibTrans" cxnId="{631EC3D5-311F-4380-9D80-FDBF9E75D83A}">
      <dgm:prSet/>
      <dgm:spPr/>
      <dgm:t>
        <a:bodyPr/>
        <a:lstStyle/>
        <a:p>
          <a:endParaRPr lang="en-AU"/>
        </a:p>
      </dgm:t>
    </dgm:pt>
    <dgm:pt modelId="{8F42F7B1-C1BE-4EEB-A6B4-7629556861C8}">
      <dgm:prSet custT="1"/>
      <dgm:spPr/>
      <dgm:t>
        <a:bodyPr/>
        <a:lstStyle/>
        <a:p>
          <a:r>
            <a:rPr lang="en-AU" sz="800">
              <a:latin typeface="Arial" panose="020B0604020202020204" pitchFamily="34" charset="0"/>
              <a:cs typeface="Arial" panose="020B0604020202020204" pitchFamily="34" charset="0"/>
            </a:rPr>
            <a:t>The complainant and the respondent may also appeal a decision t the Panel after a decision is made by the Review Committee.</a:t>
          </a:r>
        </a:p>
      </dgm:t>
    </dgm:pt>
    <dgm:pt modelId="{32C60AFF-BAEB-44A5-83F3-FB5ADFDEA1F3}" type="parTrans" cxnId="{A17DAFA8-A0C8-49FA-98A2-226703AB8138}">
      <dgm:prSet/>
      <dgm:spPr/>
      <dgm:t>
        <a:bodyPr/>
        <a:lstStyle/>
        <a:p>
          <a:endParaRPr lang="en-AU"/>
        </a:p>
      </dgm:t>
    </dgm:pt>
    <dgm:pt modelId="{CE2D044D-3274-4BC2-8690-DC17D37092CF}" type="sibTrans" cxnId="{A17DAFA8-A0C8-49FA-98A2-226703AB8138}">
      <dgm:prSet/>
      <dgm:spPr/>
      <dgm:t>
        <a:bodyPr/>
        <a:lstStyle/>
        <a:p>
          <a:endParaRPr lang="en-AU"/>
        </a:p>
      </dgm:t>
    </dgm:pt>
    <dgm:pt modelId="{5A1A5A51-B8D1-4B7C-904F-521FD6682823}">
      <dgm:prSet custT="1"/>
      <dgm:spPr/>
      <dgm:t>
        <a:bodyPr/>
        <a:lstStyle/>
        <a:p>
          <a:r>
            <a:rPr lang="en-AU" sz="800">
              <a:latin typeface="Arial" panose="020B0604020202020204" pitchFamily="34" charset="0"/>
              <a:cs typeface="Arial" panose="020B0604020202020204" pitchFamily="34" charset="0"/>
            </a:rPr>
            <a:t>In matters referred, the Panel can only uphold the breach or refer it back to the Committee for review. </a:t>
          </a:r>
        </a:p>
      </dgm:t>
    </dgm:pt>
    <dgm:pt modelId="{AD8A7075-4DE8-402D-BFFF-13F49B2045EE}" type="parTrans" cxnId="{D12F6395-9959-4F22-9535-3CE6975630DE}">
      <dgm:prSet/>
      <dgm:spPr/>
      <dgm:t>
        <a:bodyPr/>
        <a:lstStyle/>
        <a:p>
          <a:endParaRPr lang="en-AU"/>
        </a:p>
      </dgm:t>
    </dgm:pt>
    <dgm:pt modelId="{46E56FCD-2D8E-4AC5-80EE-2AD371567FE1}" type="sibTrans" cxnId="{D12F6395-9959-4F22-9535-3CE6975630DE}">
      <dgm:prSet/>
      <dgm:spPr/>
      <dgm:t>
        <a:bodyPr/>
        <a:lstStyle/>
        <a:p>
          <a:endParaRPr lang="en-AU"/>
        </a:p>
      </dgm:t>
    </dgm:pt>
    <dgm:pt modelId="{CA4E8EEA-4B0C-4F50-B088-1C59D4453224}">
      <dgm:prSet custT="1"/>
      <dgm:spPr/>
      <dgm:t>
        <a:bodyPr/>
        <a:lstStyle/>
        <a:p>
          <a:r>
            <a:rPr lang="en-AU" sz="900">
              <a:latin typeface="Arial" panose="020B0604020202020204" pitchFamily="34" charset="0"/>
              <a:cs typeface="Arial" panose="020B0604020202020204" pitchFamily="34" charset="0"/>
            </a:rPr>
            <a:t>State Administrative Tribunal</a:t>
          </a:r>
        </a:p>
      </dgm:t>
    </dgm:pt>
    <dgm:pt modelId="{73426D3C-36E9-449B-9565-372B77DA6747}" type="parTrans" cxnId="{35A36497-74A1-4170-B95C-637273020F31}">
      <dgm:prSet/>
      <dgm:spPr/>
      <dgm:t>
        <a:bodyPr/>
        <a:lstStyle/>
        <a:p>
          <a:endParaRPr lang="en-AU"/>
        </a:p>
      </dgm:t>
    </dgm:pt>
    <dgm:pt modelId="{59F3FCD6-31D9-46E3-A9E0-3A3D9BBB89F7}" type="sibTrans" cxnId="{35A36497-74A1-4170-B95C-637273020F31}">
      <dgm:prSet/>
      <dgm:spPr/>
      <dgm:t>
        <a:bodyPr/>
        <a:lstStyle/>
        <a:p>
          <a:endParaRPr lang="en-AU"/>
        </a:p>
      </dgm:t>
    </dgm:pt>
    <dgm:pt modelId="{B4AA1ACE-4019-481B-9000-9DD1C98A3178}">
      <dgm:prSet custT="1"/>
      <dgm:spPr/>
      <dgm:t>
        <a:bodyPr/>
        <a:lstStyle/>
        <a:p>
          <a:r>
            <a:rPr lang="en-AU" sz="800">
              <a:latin typeface="Arial" panose="020B0604020202020204" pitchFamily="34" charset="0"/>
              <a:cs typeface="Arial" panose="020B0604020202020204" pitchFamily="34" charset="0"/>
            </a:rPr>
            <a:t>A complaint can be heard by the SAT if an appeal is made after it has been heard by the Standards Panel.</a:t>
          </a:r>
        </a:p>
      </dgm:t>
    </dgm:pt>
    <dgm:pt modelId="{490C3451-D0B4-4CF1-ADF2-350F978CF266}" type="parTrans" cxnId="{F9937481-1CA9-4EF1-B38C-8F539851527E}">
      <dgm:prSet/>
      <dgm:spPr/>
      <dgm:t>
        <a:bodyPr/>
        <a:lstStyle/>
        <a:p>
          <a:endParaRPr lang="en-AU"/>
        </a:p>
      </dgm:t>
    </dgm:pt>
    <dgm:pt modelId="{6A227152-4826-42CE-BBAD-0E20EAC56F63}" type="sibTrans" cxnId="{F9937481-1CA9-4EF1-B38C-8F539851527E}">
      <dgm:prSet/>
      <dgm:spPr/>
      <dgm:t>
        <a:bodyPr/>
        <a:lstStyle/>
        <a:p>
          <a:endParaRPr lang="en-AU"/>
        </a:p>
      </dgm:t>
    </dgm:pt>
    <dgm:pt modelId="{A02BBA64-580D-465B-8760-049D8803E924}" type="pres">
      <dgm:prSet presAssocID="{7DF73C91-1C83-4509-9D70-7E89DDB1285C}" presName="linearFlow" presStyleCnt="0">
        <dgm:presLayoutVars>
          <dgm:dir/>
          <dgm:animLvl val="lvl"/>
          <dgm:resizeHandles val="exact"/>
        </dgm:presLayoutVars>
      </dgm:prSet>
      <dgm:spPr/>
      <dgm:t>
        <a:bodyPr/>
        <a:lstStyle/>
        <a:p>
          <a:endParaRPr lang="en-AU"/>
        </a:p>
      </dgm:t>
    </dgm:pt>
    <dgm:pt modelId="{5EC1268C-0298-4934-89A6-5A741FF9BFF9}" type="pres">
      <dgm:prSet presAssocID="{C98E7F3B-AFD5-4298-B053-0530D6C0E2A5}" presName="composite" presStyleCnt="0"/>
      <dgm:spPr/>
    </dgm:pt>
    <dgm:pt modelId="{ABDFE6E7-616E-4887-A7E3-FD5147B038D9}" type="pres">
      <dgm:prSet presAssocID="{C98E7F3B-AFD5-4298-B053-0530D6C0E2A5}" presName="parTx" presStyleLbl="node1" presStyleIdx="0" presStyleCnt="4">
        <dgm:presLayoutVars>
          <dgm:chMax val="0"/>
          <dgm:chPref val="0"/>
          <dgm:bulletEnabled val="1"/>
        </dgm:presLayoutVars>
      </dgm:prSet>
      <dgm:spPr/>
      <dgm:t>
        <a:bodyPr/>
        <a:lstStyle/>
        <a:p>
          <a:endParaRPr lang="en-AU"/>
        </a:p>
      </dgm:t>
    </dgm:pt>
    <dgm:pt modelId="{CD3CC820-CE2F-45BB-B859-76DF812D11D5}" type="pres">
      <dgm:prSet presAssocID="{C98E7F3B-AFD5-4298-B053-0530D6C0E2A5}" presName="parSh" presStyleLbl="node1" presStyleIdx="0" presStyleCnt="4" custLinFactNeighborX="861" custLinFactNeighborY="-55369"/>
      <dgm:spPr/>
      <dgm:t>
        <a:bodyPr/>
        <a:lstStyle/>
        <a:p>
          <a:endParaRPr lang="en-AU"/>
        </a:p>
      </dgm:t>
    </dgm:pt>
    <dgm:pt modelId="{3EB57D2A-AC92-4BFD-8347-A8CB4C48489C}" type="pres">
      <dgm:prSet presAssocID="{C98E7F3B-AFD5-4298-B053-0530D6C0E2A5}" presName="desTx" presStyleLbl="fgAcc1" presStyleIdx="0" presStyleCnt="4">
        <dgm:presLayoutVars>
          <dgm:bulletEnabled val="1"/>
        </dgm:presLayoutVars>
      </dgm:prSet>
      <dgm:spPr/>
      <dgm:t>
        <a:bodyPr/>
        <a:lstStyle/>
        <a:p>
          <a:endParaRPr lang="en-AU"/>
        </a:p>
      </dgm:t>
    </dgm:pt>
    <dgm:pt modelId="{4C9BEE53-7264-4FBC-B14C-6A289589F870}" type="pres">
      <dgm:prSet presAssocID="{04C00555-7572-4146-B013-FB5C4A26F946}" presName="sibTrans" presStyleLbl="sibTrans2D1" presStyleIdx="0" presStyleCnt="3"/>
      <dgm:spPr/>
      <dgm:t>
        <a:bodyPr/>
        <a:lstStyle/>
        <a:p>
          <a:endParaRPr lang="en-AU"/>
        </a:p>
      </dgm:t>
    </dgm:pt>
    <dgm:pt modelId="{5612EB39-8EA8-44C3-8FA2-2EE2D205FEB1}" type="pres">
      <dgm:prSet presAssocID="{04C00555-7572-4146-B013-FB5C4A26F946}" presName="connTx" presStyleLbl="sibTrans2D1" presStyleIdx="0" presStyleCnt="3"/>
      <dgm:spPr/>
      <dgm:t>
        <a:bodyPr/>
        <a:lstStyle/>
        <a:p>
          <a:endParaRPr lang="en-AU"/>
        </a:p>
      </dgm:t>
    </dgm:pt>
    <dgm:pt modelId="{1996CD85-7880-4496-8D57-A14AD04E078D}" type="pres">
      <dgm:prSet presAssocID="{98B8DBBA-8628-474D-B803-4F3D71C1EC4B}" presName="composite" presStyleCnt="0"/>
      <dgm:spPr/>
    </dgm:pt>
    <dgm:pt modelId="{F497DC3A-CFAE-4F97-98C4-4E344A84C36B}" type="pres">
      <dgm:prSet presAssocID="{98B8DBBA-8628-474D-B803-4F3D71C1EC4B}" presName="parTx" presStyleLbl="node1" presStyleIdx="0" presStyleCnt="4">
        <dgm:presLayoutVars>
          <dgm:chMax val="0"/>
          <dgm:chPref val="0"/>
          <dgm:bulletEnabled val="1"/>
        </dgm:presLayoutVars>
      </dgm:prSet>
      <dgm:spPr/>
      <dgm:t>
        <a:bodyPr/>
        <a:lstStyle/>
        <a:p>
          <a:endParaRPr lang="en-AU"/>
        </a:p>
      </dgm:t>
    </dgm:pt>
    <dgm:pt modelId="{EEA0D369-7ADB-4291-AECB-965758B50D49}" type="pres">
      <dgm:prSet presAssocID="{98B8DBBA-8628-474D-B803-4F3D71C1EC4B}" presName="parSh" presStyleLbl="node1" presStyleIdx="1" presStyleCnt="4" custLinFactNeighborX="-940" custLinFactNeighborY="-50264"/>
      <dgm:spPr/>
      <dgm:t>
        <a:bodyPr/>
        <a:lstStyle/>
        <a:p>
          <a:endParaRPr lang="en-AU"/>
        </a:p>
      </dgm:t>
    </dgm:pt>
    <dgm:pt modelId="{AAD825A7-BB43-4479-9D4C-2B8B3A83DD17}" type="pres">
      <dgm:prSet presAssocID="{98B8DBBA-8628-474D-B803-4F3D71C1EC4B}" presName="desTx" presStyleLbl="fgAcc1" presStyleIdx="1" presStyleCnt="4">
        <dgm:presLayoutVars>
          <dgm:bulletEnabled val="1"/>
        </dgm:presLayoutVars>
      </dgm:prSet>
      <dgm:spPr/>
      <dgm:t>
        <a:bodyPr/>
        <a:lstStyle/>
        <a:p>
          <a:endParaRPr lang="en-AU"/>
        </a:p>
      </dgm:t>
    </dgm:pt>
    <dgm:pt modelId="{E588FEB0-4F8C-4F54-81BE-8856EFCD388D}" type="pres">
      <dgm:prSet presAssocID="{3DE7DBB8-3F07-4FB1-A626-08D462DB63BD}" presName="sibTrans" presStyleLbl="sibTrans2D1" presStyleIdx="1" presStyleCnt="3"/>
      <dgm:spPr/>
      <dgm:t>
        <a:bodyPr/>
        <a:lstStyle/>
        <a:p>
          <a:endParaRPr lang="en-AU"/>
        </a:p>
      </dgm:t>
    </dgm:pt>
    <dgm:pt modelId="{23715297-F444-4181-B4E0-4A541A9B5C02}" type="pres">
      <dgm:prSet presAssocID="{3DE7DBB8-3F07-4FB1-A626-08D462DB63BD}" presName="connTx" presStyleLbl="sibTrans2D1" presStyleIdx="1" presStyleCnt="3"/>
      <dgm:spPr/>
      <dgm:t>
        <a:bodyPr/>
        <a:lstStyle/>
        <a:p>
          <a:endParaRPr lang="en-AU"/>
        </a:p>
      </dgm:t>
    </dgm:pt>
    <dgm:pt modelId="{D60F30AF-DBE8-40EB-B227-7F9BC3B8F4EA}" type="pres">
      <dgm:prSet presAssocID="{F7C60A83-0075-498B-840A-8B869BA650C2}" presName="composite" presStyleCnt="0"/>
      <dgm:spPr/>
    </dgm:pt>
    <dgm:pt modelId="{E85B3328-0301-4F49-8A95-E2A9DC55996D}" type="pres">
      <dgm:prSet presAssocID="{F7C60A83-0075-498B-840A-8B869BA650C2}" presName="parTx" presStyleLbl="node1" presStyleIdx="1" presStyleCnt="4">
        <dgm:presLayoutVars>
          <dgm:chMax val="0"/>
          <dgm:chPref val="0"/>
          <dgm:bulletEnabled val="1"/>
        </dgm:presLayoutVars>
      </dgm:prSet>
      <dgm:spPr/>
      <dgm:t>
        <a:bodyPr/>
        <a:lstStyle/>
        <a:p>
          <a:endParaRPr lang="en-AU"/>
        </a:p>
      </dgm:t>
    </dgm:pt>
    <dgm:pt modelId="{3946EBC1-B9D3-4839-BB09-9662391C968F}" type="pres">
      <dgm:prSet presAssocID="{F7C60A83-0075-498B-840A-8B869BA650C2}" presName="parSh" presStyleLbl="node1" presStyleIdx="2" presStyleCnt="4" custLinFactNeighborX="-1881" custLinFactNeighborY="-43410"/>
      <dgm:spPr/>
      <dgm:t>
        <a:bodyPr/>
        <a:lstStyle/>
        <a:p>
          <a:endParaRPr lang="en-AU"/>
        </a:p>
      </dgm:t>
    </dgm:pt>
    <dgm:pt modelId="{4A2A917F-9EDE-4A15-A986-BB2780080B33}" type="pres">
      <dgm:prSet presAssocID="{F7C60A83-0075-498B-840A-8B869BA650C2}" presName="desTx" presStyleLbl="fgAcc1" presStyleIdx="2" presStyleCnt="4">
        <dgm:presLayoutVars>
          <dgm:bulletEnabled val="1"/>
        </dgm:presLayoutVars>
      </dgm:prSet>
      <dgm:spPr/>
      <dgm:t>
        <a:bodyPr/>
        <a:lstStyle/>
        <a:p>
          <a:endParaRPr lang="en-AU"/>
        </a:p>
      </dgm:t>
    </dgm:pt>
    <dgm:pt modelId="{4590CDC6-FF30-49C3-A71B-A219F142ADAA}" type="pres">
      <dgm:prSet presAssocID="{F5426B03-E086-4EF0-A924-4F491E9C6874}" presName="sibTrans" presStyleLbl="sibTrans2D1" presStyleIdx="2" presStyleCnt="3"/>
      <dgm:spPr/>
      <dgm:t>
        <a:bodyPr/>
        <a:lstStyle/>
        <a:p>
          <a:endParaRPr lang="en-AU"/>
        </a:p>
      </dgm:t>
    </dgm:pt>
    <dgm:pt modelId="{76319194-56E2-473C-BBC3-F8715C671AB9}" type="pres">
      <dgm:prSet presAssocID="{F5426B03-E086-4EF0-A924-4F491E9C6874}" presName="connTx" presStyleLbl="sibTrans2D1" presStyleIdx="2" presStyleCnt="3"/>
      <dgm:spPr/>
      <dgm:t>
        <a:bodyPr/>
        <a:lstStyle/>
        <a:p>
          <a:endParaRPr lang="en-AU"/>
        </a:p>
      </dgm:t>
    </dgm:pt>
    <dgm:pt modelId="{33669820-872E-4F10-8636-B83E96F45821}" type="pres">
      <dgm:prSet presAssocID="{CA4E8EEA-4B0C-4F50-B088-1C59D4453224}" presName="composite" presStyleCnt="0"/>
      <dgm:spPr/>
    </dgm:pt>
    <dgm:pt modelId="{5C19D5AC-2CE6-48B6-AE2E-CD21B2D04CE1}" type="pres">
      <dgm:prSet presAssocID="{CA4E8EEA-4B0C-4F50-B088-1C59D4453224}" presName="parTx" presStyleLbl="node1" presStyleIdx="2" presStyleCnt="4">
        <dgm:presLayoutVars>
          <dgm:chMax val="0"/>
          <dgm:chPref val="0"/>
          <dgm:bulletEnabled val="1"/>
        </dgm:presLayoutVars>
      </dgm:prSet>
      <dgm:spPr/>
      <dgm:t>
        <a:bodyPr/>
        <a:lstStyle/>
        <a:p>
          <a:endParaRPr lang="en-AU"/>
        </a:p>
      </dgm:t>
    </dgm:pt>
    <dgm:pt modelId="{1C0A7EB3-DD67-4813-9F35-B41D46C2C389}" type="pres">
      <dgm:prSet presAssocID="{CA4E8EEA-4B0C-4F50-B088-1C59D4453224}" presName="parSh" presStyleLbl="node1" presStyleIdx="3" presStyleCnt="4" custLinFactNeighborX="-940" custLinFactNeighborY="-43410"/>
      <dgm:spPr/>
      <dgm:t>
        <a:bodyPr/>
        <a:lstStyle/>
        <a:p>
          <a:endParaRPr lang="en-AU"/>
        </a:p>
      </dgm:t>
    </dgm:pt>
    <dgm:pt modelId="{AF49C4CE-9779-45C2-B566-219E87E771E6}" type="pres">
      <dgm:prSet presAssocID="{CA4E8EEA-4B0C-4F50-B088-1C59D4453224}" presName="desTx" presStyleLbl="fgAcc1" presStyleIdx="3" presStyleCnt="4">
        <dgm:presLayoutVars>
          <dgm:bulletEnabled val="1"/>
        </dgm:presLayoutVars>
      </dgm:prSet>
      <dgm:spPr/>
      <dgm:t>
        <a:bodyPr/>
        <a:lstStyle/>
        <a:p>
          <a:endParaRPr lang="en-AU"/>
        </a:p>
      </dgm:t>
    </dgm:pt>
  </dgm:ptLst>
  <dgm:cxnLst>
    <dgm:cxn modelId="{D60C1237-8D42-49FE-A79A-7D05E7BF14DA}" srcId="{98B8DBBA-8628-474D-B803-4F3D71C1EC4B}" destId="{DDFA84E5-11B5-4C8E-90CE-C8424690AF71}" srcOrd="0" destOrd="0" parTransId="{EEC7B5AA-2507-468C-9673-981702EFC88B}" sibTransId="{6554780E-4E3B-4D08-979F-59B4C7CDB7FB}"/>
    <dgm:cxn modelId="{645A8E2A-E59C-4A10-86C0-AB0A5E061E37}" type="presOf" srcId="{98B8DBBA-8628-474D-B803-4F3D71C1EC4B}" destId="{EEA0D369-7ADB-4291-AECB-965758B50D49}" srcOrd="1" destOrd="0" presId="urn:microsoft.com/office/officeart/2005/8/layout/process3"/>
    <dgm:cxn modelId="{C5F0D591-2DA4-4400-A196-5DAC3EE9CF36}" type="presOf" srcId="{F5426B03-E086-4EF0-A924-4F491E9C6874}" destId="{76319194-56E2-473C-BBC3-F8715C671AB9}" srcOrd="1" destOrd="0" presId="urn:microsoft.com/office/officeart/2005/8/layout/process3"/>
    <dgm:cxn modelId="{A17DAFA8-A0C8-49FA-98A2-226703AB8138}" srcId="{F7C60A83-0075-498B-840A-8B869BA650C2}" destId="{8F42F7B1-C1BE-4EEB-A6B4-7629556861C8}" srcOrd="1" destOrd="0" parTransId="{32C60AFF-BAEB-44A5-83F3-FB5ADFDEA1F3}" sibTransId="{CE2D044D-3274-4BC2-8690-DC17D37092CF}"/>
    <dgm:cxn modelId="{4C32268F-7ED6-424F-8809-ECBB989336EC}" type="presOf" srcId="{F5426B03-E086-4EF0-A924-4F491E9C6874}" destId="{4590CDC6-FF30-49C3-A71B-A219F142ADAA}" srcOrd="0" destOrd="0" presId="urn:microsoft.com/office/officeart/2005/8/layout/process3"/>
    <dgm:cxn modelId="{631EC3D5-311F-4380-9D80-FDBF9E75D83A}" srcId="{F7C60A83-0075-498B-840A-8B869BA650C2}" destId="{B5916128-EA24-4BB6-9888-128E164C337F}" srcOrd="0" destOrd="0" parTransId="{ED3768C5-5733-4CD4-8E49-01042C751C21}" sibTransId="{29AF6FAD-34B6-45BE-BC30-27ED64ED5264}"/>
    <dgm:cxn modelId="{43A237AD-D7D5-4EBD-8541-6BA6ECF8FA62}" type="presOf" srcId="{796BA2DD-F679-4629-A90E-5FF9BFA1096C}" destId="{3EB57D2A-AC92-4BFD-8347-A8CB4C48489C}" srcOrd="0" destOrd="0" presId="urn:microsoft.com/office/officeart/2005/8/layout/process3"/>
    <dgm:cxn modelId="{A8C55869-797B-4094-BC53-8102560FD4F7}" type="presOf" srcId="{CA4E8EEA-4B0C-4F50-B088-1C59D4453224}" destId="{1C0A7EB3-DD67-4813-9F35-B41D46C2C389}" srcOrd="1" destOrd="0" presId="urn:microsoft.com/office/officeart/2005/8/layout/process3"/>
    <dgm:cxn modelId="{9C0ACB6F-0DFB-4AEC-9D27-30B54396B60B}" type="presOf" srcId="{04C00555-7572-4146-B013-FB5C4A26F946}" destId="{4C9BEE53-7264-4FBC-B14C-6A289589F870}" srcOrd="0" destOrd="0" presId="urn:microsoft.com/office/officeart/2005/8/layout/process3"/>
    <dgm:cxn modelId="{F1498ACA-0451-468F-BE10-00DAC048AED4}" srcId="{7DF73C91-1C83-4509-9D70-7E89DDB1285C}" destId="{C98E7F3B-AFD5-4298-B053-0530D6C0E2A5}" srcOrd="0" destOrd="0" parTransId="{8B7238FA-A0FE-4C20-98B2-DED6EE95C413}" sibTransId="{04C00555-7572-4146-B013-FB5C4A26F946}"/>
    <dgm:cxn modelId="{B943E229-3B91-4A7C-84FC-73400F376479}" type="presOf" srcId="{3DE7DBB8-3F07-4FB1-A626-08D462DB63BD}" destId="{23715297-F444-4181-B4E0-4A541A9B5C02}" srcOrd="1" destOrd="0" presId="urn:microsoft.com/office/officeart/2005/8/layout/process3"/>
    <dgm:cxn modelId="{5914EFDD-BCEE-4CA7-B26B-119EEF52C84D}" srcId="{C98E7F3B-AFD5-4298-B053-0530D6C0E2A5}" destId="{796BA2DD-F679-4629-A90E-5FF9BFA1096C}" srcOrd="0" destOrd="0" parTransId="{76CF93DF-F055-4957-9C90-DEBFCAC6BE29}" sibTransId="{E6273BD8-6D9D-4EDC-B624-7EE46C33065A}"/>
    <dgm:cxn modelId="{78552E46-03B4-4442-91F3-3A9FEFC49AF0}" type="presOf" srcId="{5A1A5A51-B8D1-4B7C-904F-521FD6682823}" destId="{4A2A917F-9EDE-4A15-A986-BB2780080B33}" srcOrd="0" destOrd="2" presId="urn:microsoft.com/office/officeart/2005/8/layout/process3"/>
    <dgm:cxn modelId="{9FD9A49A-39DA-4A6C-A765-0E682C2551BF}" type="presOf" srcId="{CA4E8EEA-4B0C-4F50-B088-1C59D4453224}" destId="{5C19D5AC-2CE6-48B6-AE2E-CD21B2D04CE1}" srcOrd="0" destOrd="0" presId="urn:microsoft.com/office/officeart/2005/8/layout/process3"/>
    <dgm:cxn modelId="{3A938C0E-08C9-4791-A234-A3585EE4D053}" type="presOf" srcId="{3DE7DBB8-3F07-4FB1-A626-08D462DB63BD}" destId="{E588FEB0-4F8C-4F54-81BE-8856EFCD388D}" srcOrd="0" destOrd="0" presId="urn:microsoft.com/office/officeart/2005/8/layout/process3"/>
    <dgm:cxn modelId="{C372AB40-65DF-42F2-9AAD-B4C087558649}" type="presOf" srcId="{DDFA84E5-11B5-4C8E-90CE-C8424690AF71}" destId="{AAD825A7-BB43-4479-9D4C-2B8B3A83DD17}" srcOrd="0" destOrd="0" presId="urn:microsoft.com/office/officeart/2005/8/layout/process3"/>
    <dgm:cxn modelId="{323DB2F0-14D7-4622-9913-6D2354B078E7}" type="presOf" srcId="{C98E7F3B-AFD5-4298-B053-0530D6C0E2A5}" destId="{ABDFE6E7-616E-4887-A7E3-FD5147B038D9}" srcOrd="0" destOrd="0" presId="urn:microsoft.com/office/officeart/2005/8/layout/process3"/>
    <dgm:cxn modelId="{5C4C09CB-A218-443E-9ED9-B94971943F76}" type="presOf" srcId="{04C00555-7572-4146-B013-FB5C4A26F946}" destId="{5612EB39-8EA8-44C3-8FA2-2EE2D205FEB1}" srcOrd="1" destOrd="0" presId="urn:microsoft.com/office/officeart/2005/8/layout/process3"/>
    <dgm:cxn modelId="{C95F1EEB-636A-4A85-B07A-E066416AD96D}" type="presOf" srcId="{7DF73C91-1C83-4509-9D70-7E89DDB1285C}" destId="{A02BBA64-580D-465B-8760-049D8803E924}" srcOrd="0" destOrd="0" presId="urn:microsoft.com/office/officeart/2005/8/layout/process3"/>
    <dgm:cxn modelId="{F9937481-1CA9-4EF1-B38C-8F539851527E}" srcId="{CA4E8EEA-4B0C-4F50-B088-1C59D4453224}" destId="{B4AA1ACE-4019-481B-9000-9DD1C98A3178}" srcOrd="0" destOrd="0" parTransId="{490C3451-D0B4-4CF1-ADF2-350F978CF266}" sibTransId="{6A227152-4826-42CE-BBAD-0E20EAC56F63}"/>
    <dgm:cxn modelId="{A04C9600-51F7-4BB5-90E8-AB0C87E945C3}" srcId="{7DF73C91-1C83-4509-9D70-7E89DDB1285C}" destId="{F7C60A83-0075-498B-840A-8B869BA650C2}" srcOrd="2" destOrd="0" parTransId="{4ACEB3FB-38A6-45B1-8229-92E26283A209}" sibTransId="{F5426B03-E086-4EF0-A924-4F491E9C6874}"/>
    <dgm:cxn modelId="{D12F6395-9959-4F22-9535-3CE6975630DE}" srcId="{F7C60A83-0075-498B-840A-8B869BA650C2}" destId="{5A1A5A51-B8D1-4B7C-904F-521FD6682823}" srcOrd="2" destOrd="0" parTransId="{AD8A7075-4DE8-402D-BFFF-13F49B2045EE}" sibTransId="{46E56FCD-2D8E-4AC5-80EE-2AD371567FE1}"/>
    <dgm:cxn modelId="{F4791A72-E0E9-4A36-AE4A-573A4BE251FF}" type="presOf" srcId="{C98E7F3B-AFD5-4298-B053-0530D6C0E2A5}" destId="{CD3CC820-CE2F-45BB-B859-76DF812D11D5}" srcOrd="1" destOrd="0" presId="urn:microsoft.com/office/officeart/2005/8/layout/process3"/>
    <dgm:cxn modelId="{E5AAE4AF-8F05-46C0-8504-6F4583813AB6}" type="presOf" srcId="{98B8DBBA-8628-474D-B803-4F3D71C1EC4B}" destId="{F497DC3A-CFAE-4F97-98C4-4E344A84C36B}" srcOrd="0" destOrd="0" presId="urn:microsoft.com/office/officeart/2005/8/layout/process3"/>
    <dgm:cxn modelId="{A78765B6-EB6A-4045-AD59-382A5B23AB86}" type="presOf" srcId="{F7C60A83-0075-498B-840A-8B869BA650C2}" destId="{3946EBC1-B9D3-4839-BB09-9662391C968F}" srcOrd="1" destOrd="0" presId="urn:microsoft.com/office/officeart/2005/8/layout/process3"/>
    <dgm:cxn modelId="{8B4C552C-20FE-4C11-ACC4-B099E6B9E4CF}" type="presOf" srcId="{8F42F7B1-C1BE-4EEB-A6B4-7629556861C8}" destId="{4A2A917F-9EDE-4A15-A986-BB2780080B33}" srcOrd="0" destOrd="1" presId="urn:microsoft.com/office/officeart/2005/8/layout/process3"/>
    <dgm:cxn modelId="{35A36497-74A1-4170-B95C-637273020F31}" srcId="{7DF73C91-1C83-4509-9D70-7E89DDB1285C}" destId="{CA4E8EEA-4B0C-4F50-B088-1C59D4453224}" srcOrd="3" destOrd="0" parTransId="{73426D3C-36E9-449B-9565-372B77DA6747}" sibTransId="{59F3FCD6-31D9-46E3-A9E0-3A3D9BBB89F7}"/>
    <dgm:cxn modelId="{6EBF275E-D7A7-4C07-A4E1-C3BC85DBD0A9}" type="presOf" srcId="{F7C60A83-0075-498B-840A-8B869BA650C2}" destId="{E85B3328-0301-4F49-8A95-E2A9DC55996D}" srcOrd="0" destOrd="0" presId="urn:microsoft.com/office/officeart/2005/8/layout/process3"/>
    <dgm:cxn modelId="{B3889CF7-8DAC-4FBC-91BD-D38A76A7D006}" srcId="{7DF73C91-1C83-4509-9D70-7E89DDB1285C}" destId="{98B8DBBA-8628-474D-B803-4F3D71C1EC4B}" srcOrd="1" destOrd="0" parTransId="{5065F7A5-7509-4F44-B8BA-50939E59EC79}" sibTransId="{3DE7DBB8-3F07-4FB1-A626-08D462DB63BD}"/>
    <dgm:cxn modelId="{951E0732-B81D-480F-9297-D7DB4A03B5AE}" type="presOf" srcId="{B4AA1ACE-4019-481B-9000-9DD1C98A3178}" destId="{AF49C4CE-9779-45C2-B566-219E87E771E6}" srcOrd="0" destOrd="0" presId="urn:microsoft.com/office/officeart/2005/8/layout/process3"/>
    <dgm:cxn modelId="{6BE127AD-8D03-4D90-B206-26CCAE363D24}" type="presOf" srcId="{B5916128-EA24-4BB6-9888-128E164C337F}" destId="{4A2A917F-9EDE-4A15-A986-BB2780080B33}" srcOrd="0" destOrd="0" presId="urn:microsoft.com/office/officeart/2005/8/layout/process3"/>
    <dgm:cxn modelId="{9F2DB33B-AF85-4870-9668-095CDB87FD72}" type="presParOf" srcId="{A02BBA64-580D-465B-8760-049D8803E924}" destId="{5EC1268C-0298-4934-89A6-5A741FF9BFF9}" srcOrd="0" destOrd="0" presId="urn:microsoft.com/office/officeart/2005/8/layout/process3"/>
    <dgm:cxn modelId="{9F1CEE84-978C-4365-B066-530146DA4309}" type="presParOf" srcId="{5EC1268C-0298-4934-89A6-5A741FF9BFF9}" destId="{ABDFE6E7-616E-4887-A7E3-FD5147B038D9}" srcOrd="0" destOrd="0" presId="urn:microsoft.com/office/officeart/2005/8/layout/process3"/>
    <dgm:cxn modelId="{43D1A362-BE4E-4EB1-979C-E2C0773C65CA}" type="presParOf" srcId="{5EC1268C-0298-4934-89A6-5A741FF9BFF9}" destId="{CD3CC820-CE2F-45BB-B859-76DF812D11D5}" srcOrd="1" destOrd="0" presId="urn:microsoft.com/office/officeart/2005/8/layout/process3"/>
    <dgm:cxn modelId="{5A3EA59B-C1F4-4CBF-B811-2488927DD12A}" type="presParOf" srcId="{5EC1268C-0298-4934-89A6-5A741FF9BFF9}" destId="{3EB57D2A-AC92-4BFD-8347-A8CB4C48489C}" srcOrd="2" destOrd="0" presId="urn:microsoft.com/office/officeart/2005/8/layout/process3"/>
    <dgm:cxn modelId="{BD5AAE2F-28A7-4B07-8463-99A11669595C}" type="presParOf" srcId="{A02BBA64-580D-465B-8760-049D8803E924}" destId="{4C9BEE53-7264-4FBC-B14C-6A289589F870}" srcOrd="1" destOrd="0" presId="urn:microsoft.com/office/officeart/2005/8/layout/process3"/>
    <dgm:cxn modelId="{13AC14B8-DCCE-4D92-9CD7-8864503974D3}" type="presParOf" srcId="{4C9BEE53-7264-4FBC-B14C-6A289589F870}" destId="{5612EB39-8EA8-44C3-8FA2-2EE2D205FEB1}" srcOrd="0" destOrd="0" presId="urn:microsoft.com/office/officeart/2005/8/layout/process3"/>
    <dgm:cxn modelId="{64462489-0CC3-4F65-A3BB-F640C3D81379}" type="presParOf" srcId="{A02BBA64-580D-465B-8760-049D8803E924}" destId="{1996CD85-7880-4496-8D57-A14AD04E078D}" srcOrd="2" destOrd="0" presId="urn:microsoft.com/office/officeart/2005/8/layout/process3"/>
    <dgm:cxn modelId="{D42E1E68-589B-4769-A3A8-7A370FA2A5DE}" type="presParOf" srcId="{1996CD85-7880-4496-8D57-A14AD04E078D}" destId="{F497DC3A-CFAE-4F97-98C4-4E344A84C36B}" srcOrd="0" destOrd="0" presId="urn:microsoft.com/office/officeart/2005/8/layout/process3"/>
    <dgm:cxn modelId="{41D1AFBE-8072-4F85-B4F8-B3E7982727BA}" type="presParOf" srcId="{1996CD85-7880-4496-8D57-A14AD04E078D}" destId="{EEA0D369-7ADB-4291-AECB-965758B50D49}" srcOrd="1" destOrd="0" presId="urn:microsoft.com/office/officeart/2005/8/layout/process3"/>
    <dgm:cxn modelId="{470FF323-F29E-4B25-BD6B-AFBBDB61E2E6}" type="presParOf" srcId="{1996CD85-7880-4496-8D57-A14AD04E078D}" destId="{AAD825A7-BB43-4479-9D4C-2B8B3A83DD17}" srcOrd="2" destOrd="0" presId="urn:microsoft.com/office/officeart/2005/8/layout/process3"/>
    <dgm:cxn modelId="{11927B9E-08EC-4AC6-B9D1-4D7E39AEFED9}" type="presParOf" srcId="{A02BBA64-580D-465B-8760-049D8803E924}" destId="{E588FEB0-4F8C-4F54-81BE-8856EFCD388D}" srcOrd="3" destOrd="0" presId="urn:microsoft.com/office/officeart/2005/8/layout/process3"/>
    <dgm:cxn modelId="{272045FE-8BC5-421A-A8FC-D32A453D86DE}" type="presParOf" srcId="{E588FEB0-4F8C-4F54-81BE-8856EFCD388D}" destId="{23715297-F444-4181-B4E0-4A541A9B5C02}" srcOrd="0" destOrd="0" presId="urn:microsoft.com/office/officeart/2005/8/layout/process3"/>
    <dgm:cxn modelId="{46D735C8-9C8C-4C4B-9580-AB1B8BCB71AB}" type="presParOf" srcId="{A02BBA64-580D-465B-8760-049D8803E924}" destId="{D60F30AF-DBE8-40EB-B227-7F9BC3B8F4EA}" srcOrd="4" destOrd="0" presId="urn:microsoft.com/office/officeart/2005/8/layout/process3"/>
    <dgm:cxn modelId="{6D240237-D926-47B5-8FE1-AA21B6D5B089}" type="presParOf" srcId="{D60F30AF-DBE8-40EB-B227-7F9BC3B8F4EA}" destId="{E85B3328-0301-4F49-8A95-E2A9DC55996D}" srcOrd="0" destOrd="0" presId="urn:microsoft.com/office/officeart/2005/8/layout/process3"/>
    <dgm:cxn modelId="{18FB27F1-02EB-40B9-95A4-F57F9CB8F684}" type="presParOf" srcId="{D60F30AF-DBE8-40EB-B227-7F9BC3B8F4EA}" destId="{3946EBC1-B9D3-4839-BB09-9662391C968F}" srcOrd="1" destOrd="0" presId="urn:microsoft.com/office/officeart/2005/8/layout/process3"/>
    <dgm:cxn modelId="{F56EE4BE-D665-4C90-A718-7068378898A0}" type="presParOf" srcId="{D60F30AF-DBE8-40EB-B227-7F9BC3B8F4EA}" destId="{4A2A917F-9EDE-4A15-A986-BB2780080B33}" srcOrd="2" destOrd="0" presId="urn:microsoft.com/office/officeart/2005/8/layout/process3"/>
    <dgm:cxn modelId="{166F76A1-233D-4EC4-9253-BFE7454FEFF4}" type="presParOf" srcId="{A02BBA64-580D-465B-8760-049D8803E924}" destId="{4590CDC6-FF30-49C3-A71B-A219F142ADAA}" srcOrd="5" destOrd="0" presId="urn:microsoft.com/office/officeart/2005/8/layout/process3"/>
    <dgm:cxn modelId="{0BA36B85-C254-49FC-AD22-D50DC951549F}" type="presParOf" srcId="{4590CDC6-FF30-49C3-A71B-A219F142ADAA}" destId="{76319194-56E2-473C-BBC3-F8715C671AB9}" srcOrd="0" destOrd="0" presId="urn:microsoft.com/office/officeart/2005/8/layout/process3"/>
    <dgm:cxn modelId="{1B815F1C-A566-4270-9D24-E3D99341B35F}" type="presParOf" srcId="{A02BBA64-580D-465B-8760-049D8803E924}" destId="{33669820-872E-4F10-8636-B83E96F45821}" srcOrd="6" destOrd="0" presId="urn:microsoft.com/office/officeart/2005/8/layout/process3"/>
    <dgm:cxn modelId="{D60FD18F-C943-42C6-BCBE-2C6F76FBBE05}" type="presParOf" srcId="{33669820-872E-4F10-8636-B83E96F45821}" destId="{5C19D5AC-2CE6-48B6-AE2E-CD21B2D04CE1}" srcOrd="0" destOrd="0" presId="urn:microsoft.com/office/officeart/2005/8/layout/process3"/>
    <dgm:cxn modelId="{84EB8F80-E4CD-4560-967F-5C882B37D61D}" type="presParOf" srcId="{33669820-872E-4F10-8636-B83E96F45821}" destId="{1C0A7EB3-DD67-4813-9F35-B41D46C2C389}" srcOrd="1" destOrd="0" presId="urn:microsoft.com/office/officeart/2005/8/layout/process3"/>
    <dgm:cxn modelId="{312D818B-919C-4DDC-BB88-099CB46540CD}" type="presParOf" srcId="{33669820-872E-4F10-8636-B83E96F45821}" destId="{AF49C4CE-9779-45C2-B566-219E87E771E6}" srcOrd="2" destOrd="0" presId="urn:microsoft.com/office/officeart/2005/8/layout/process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CC820-CE2F-45BB-B859-76DF812D11D5}">
      <dsp:nvSpPr>
        <dsp:cNvPr id="0" name=""/>
        <dsp:cNvSpPr/>
      </dsp:nvSpPr>
      <dsp:spPr>
        <a:xfrm>
          <a:off x="9158" y="0"/>
          <a:ext cx="973750" cy="2548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t>Complaint</a:t>
          </a:r>
        </a:p>
      </dsp:txBody>
      <dsp:txXfrm>
        <a:off x="9158" y="0"/>
        <a:ext cx="973750" cy="389500"/>
      </dsp:txXfrm>
    </dsp:sp>
    <dsp:sp modelId="{3EB57D2A-AC92-4BFD-8347-A8CB4C48489C}">
      <dsp:nvSpPr>
        <dsp:cNvPr id="0" name=""/>
        <dsp:cNvSpPr/>
      </dsp:nvSpPr>
      <dsp:spPr>
        <a:xfrm>
          <a:off x="200217" y="410075"/>
          <a:ext cx="973750" cy="3398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Sent to </a:t>
          </a:r>
          <a:r>
            <a:rPr lang="en-AU" sz="800" kern="1200">
              <a:solidFill>
                <a:sysClr val="windowText" lastClr="000000"/>
              </a:solidFill>
              <a:latin typeface="Arial" panose="020B0604020202020204" pitchFamily="34" charset="0"/>
              <a:cs typeface="Arial" panose="020B0604020202020204" pitchFamily="34" charset="0"/>
            </a:rPr>
            <a:t>the local </a:t>
          </a:r>
          <a:r>
            <a:rPr lang="en-AU" sz="800" kern="1200">
              <a:latin typeface="Arial" panose="020B0604020202020204" pitchFamily="34" charset="0"/>
              <a:cs typeface="Arial" panose="020B0604020202020204" pitchFamily="34" charset="0"/>
            </a:rPr>
            <a:t>government complaints officer</a:t>
          </a:r>
        </a:p>
      </dsp:txBody>
      <dsp:txXfrm>
        <a:off x="228737" y="438595"/>
        <a:ext cx="916710" cy="3341360"/>
      </dsp:txXfrm>
    </dsp:sp>
    <dsp:sp modelId="{4C9BEE53-7264-4FBC-B14C-6A289589F870}">
      <dsp:nvSpPr>
        <dsp:cNvPr id="0" name=""/>
        <dsp:cNvSpPr/>
      </dsp:nvSpPr>
      <dsp:spPr>
        <a:xfrm>
          <a:off x="1126142" y="73532"/>
          <a:ext cx="303653" cy="2424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1126142" y="122019"/>
        <a:ext cx="230923" cy="145461"/>
      </dsp:txXfrm>
    </dsp:sp>
    <dsp:sp modelId="{EEA0D369-7ADB-4291-AECB-965758B50D49}">
      <dsp:nvSpPr>
        <dsp:cNvPr id="0" name=""/>
        <dsp:cNvSpPr/>
      </dsp:nvSpPr>
      <dsp:spPr>
        <a:xfrm>
          <a:off x="1555840" y="0"/>
          <a:ext cx="973750" cy="2548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t>Conduct Review Committee</a:t>
          </a:r>
        </a:p>
      </dsp:txBody>
      <dsp:txXfrm>
        <a:off x="1555840" y="0"/>
        <a:ext cx="973750" cy="389500"/>
      </dsp:txXfrm>
    </dsp:sp>
    <dsp:sp modelId="{AAD825A7-BB43-4479-9D4C-2B8B3A83DD17}">
      <dsp:nvSpPr>
        <dsp:cNvPr id="0" name=""/>
        <dsp:cNvSpPr/>
      </dsp:nvSpPr>
      <dsp:spPr>
        <a:xfrm>
          <a:off x="1764436" y="410075"/>
          <a:ext cx="973750" cy="3398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The complaint is reviewed by a Conduct Review Committee which is made up of members from surrounding local governments.</a:t>
          </a:r>
          <a:endParaRPr lang="en-AU" sz="800" kern="1200"/>
        </a:p>
      </dsp:txBody>
      <dsp:txXfrm>
        <a:off x="1792956" y="438595"/>
        <a:ext cx="916710" cy="3341360"/>
      </dsp:txXfrm>
    </dsp:sp>
    <dsp:sp modelId="{E588FEB0-4F8C-4F54-81BE-8856EFCD388D}">
      <dsp:nvSpPr>
        <dsp:cNvPr id="0" name=""/>
        <dsp:cNvSpPr/>
      </dsp:nvSpPr>
      <dsp:spPr>
        <a:xfrm>
          <a:off x="2674917" y="73532"/>
          <a:ext cx="308091" cy="2424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2674917" y="122019"/>
        <a:ext cx="235361" cy="145461"/>
      </dsp:txXfrm>
    </dsp:sp>
    <dsp:sp modelId="{3946EBC1-B9D3-4839-BB09-9662391C968F}">
      <dsp:nvSpPr>
        <dsp:cNvPr id="0" name=""/>
        <dsp:cNvSpPr/>
      </dsp:nvSpPr>
      <dsp:spPr>
        <a:xfrm>
          <a:off x="3110896" y="0"/>
          <a:ext cx="973750" cy="2548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latin typeface="Arial" panose="020B0604020202020204" pitchFamily="34" charset="0"/>
              <a:cs typeface="Arial" panose="020B0604020202020204" pitchFamily="34" charset="0"/>
            </a:rPr>
            <a:t>Standards Panel</a:t>
          </a:r>
          <a:endParaRPr lang="en-AU" sz="900" kern="1200"/>
        </a:p>
      </dsp:txBody>
      <dsp:txXfrm>
        <a:off x="3110896" y="0"/>
        <a:ext cx="973750" cy="389500"/>
      </dsp:txXfrm>
    </dsp:sp>
    <dsp:sp modelId="{4A2A917F-9EDE-4A15-A986-BB2780080B33}">
      <dsp:nvSpPr>
        <dsp:cNvPr id="0" name=""/>
        <dsp:cNvSpPr/>
      </dsp:nvSpPr>
      <dsp:spPr>
        <a:xfrm>
          <a:off x="3328655" y="410075"/>
          <a:ext cx="973750" cy="3398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The Conduct Review Committee can refer matters to the Standards Panel if it cannot be resolved at a peer level.</a:t>
          </a:r>
          <a:endParaRPr lang="en-AU" sz="800" kern="1200"/>
        </a:p>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The complainant and the respondent may also appeal a decision t the Panel after a decision is made by the Review Committee.</a:t>
          </a:r>
        </a:p>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In matters referred, the Panel can only uphold the breach or refer it back to the Committee for review. </a:t>
          </a:r>
        </a:p>
      </dsp:txBody>
      <dsp:txXfrm>
        <a:off x="3357175" y="438595"/>
        <a:ext cx="916710" cy="3341360"/>
      </dsp:txXfrm>
    </dsp:sp>
    <dsp:sp modelId="{4590CDC6-FF30-49C3-A71B-A219F142ADAA}">
      <dsp:nvSpPr>
        <dsp:cNvPr id="0" name=""/>
        <dsp:cNvSpPr/>
      </dsp:nvSpPr>
      <dsp:spPr>
        <a:xfrm>
          <a:off x="4234554" y="73532"/>
          <a:ext cx="317804" cy="24243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4234554" y="122019"/>
        <a:ext cx="245074" cy="145461"/>
      </dsp:txXfrm>
    </dsp:sp>
    <dsp:sp modelId="{1C0A7EB3-DD67-4813-9F35-B41D46C2C389}">
      <dsp:nvSpPr>
        <dsp:cNvPr id="0" name=""/>
        <dsp:cNvSpPr/>
      </dsp:nvSpPr>
      <dsp:spPr>
        <a:xfrm>
          <a:off x="4684278" y="0"/>
          <a:ext cx="973750" cy="25488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kern="1200">
              <a:latin typeface="Arial" panose="020B0604020202020204" pitchFamily="34" charset="0"/>
              <a:cs typeface="Arial" panose="020B0604020202020204" pitchFamily="34" charset="0"/>
            </a:rPr>
            <a:t>State Administrative Tribunal</a:t>
          </a:r>
        </a:p>
      </dsp:txBody>
      <dsp:txXfrm>
        <a:off x="4684278" y="0"/>
        <a:ext cx="973750" cy="389500"/>
      </dsp:txXfrm>
    </dsp:sp>
    <dsp:sp modelId="{AF49C4CE-9779-45C2-B566-219E87E771E6}">
      <dsp:nvSpPr>
        <dsp:cNvPr id="0" name=""/>
        <dsp:cNvSpPr/>
      </dsp:nvSpPr>
      <dsp:spPr>
        <a:xfrm>
          <a:off x="4892874" y="410075"/>
          <a:ext cx="973750" cy="3398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A complaint can be heard by the SAT if an appeal is made after it has been heard by the Standards Panel.</a:t>
          </a:r>
        </a:p>
      </dsp:txBody>
      <dsp:txXfrm>
        <a:off x="4921394" y="438595"/>
        <a:ext cx="916710" cy="33413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2" ma:contentTypeDescription="Create a new document." ma:contentTypeScope="" ma:versionID="ab0f1de31af9964e491a70741115021f">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3b33d12187b349671cbff8e17de7e93a"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DFB97-A009-47A5-BF7E-7FBA1EB4C0EC}"/>
</file>

<file path=customXml/itemProps2.xml><?xml version="1.0" encoding="utf-8"?>
<ds:datastoreItem xmlns:ds="http://schemas.openxmlformats.org/officeDocument/2006/customXml" ds:itemID="{FFD00AAA-7AF2-4B8C-9B3B-B7E2341B3895}"/>
</file>

<file path=customXml/itemProps3.xml><?xml version="1.0" encoding="utf-8"?>
<ds:datastoreItem xmlns:ds="http://schemas.openxmlformats.org/officeDocument/2006/customXml" ds:itemID="{E52B7414-9FF5-4339-AEE9-5FA1F5EACB97}"/>
</file>

<file path=customXml/itemProps4.xml><?xml version="1.0" encoding="utf-8"?>
<ds:datastoreItem xmlns:ds="http://schemas.openxmlformats.org/officeDocument/2006/customXml" ds:itemID="{E24F2B9A-7A8E-447C-9C9D-4ED5BC110760}"/>
</file>

<file path=docProps/app.xml><?xml version="1.0" encoding="utf-8"?>
<Properties xmlns="http://schemas.openxmlformats.org/officeDocument/2006/extended-properties" xmlns:vt="http://schemas.openxmlformats.org/officeDocument/2006/docPropsVTypes">
  <Template>Normal</Template>
  <TotalTime>0</TotalTime>
  <Pages>132</Pages>
  <Words>32991</Words>
  <Characters>188049</Characters>
  <Application>Microsoft Office Word</Application>
  <DocSecurity>4</DocSecurity>
  <Lines>1567</Lines>
  <Paragraphs>441</Paragraphs>
  <ScaleCrop>false</ScaleCrop>
  <HeadingPairs>
    <vt:vector size="2" baseType="variant">
      <vt:variant>
        <vt:lpstr>Title</vt:lpstr>
      </vt:variant>
      <vt:variant>
        <vt:i4>1</vt:i4>
      </vt:variant>
    </vt:vector>
  </HeadingPairs>
  <TitlesOfParts>
    <vt:vector size="1" baseType="lpstr">
      <vt:lpstr>(Publication Title)</vt:lpstr>
    </vt:vector>
  </TitlesOfParts>
  <Company>Department of Local Government and Communities ( DLGC )</Company>
  <LinksUpToDate>false</LinksUpToDate>
  <CharactersWithSpaces>220599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Review Consultation Paper</dc:title>
  <dc:creator>Department of Local Government and Communities ( DLGC )</dc:creator>
  <cp:keywords>(title, key words for online searches)</cp:keywords>
  <cp:lastModifiedBy>Erin Veerhuis</cp:lastModifiedBy>
  <cp:revision>2</cp:revision>
  <cp:lastPrinted>2017-10-17T04:39:00Z</cp:lastPrinted>
  <dcterms:created xsi:type="dcterms:W3CDTF">2018-01-11T07:38:00Z</dcterms:created>
  <dcterms:modified xsi:type="dcterms:W3CDTF">2018-01-11T07:38:00Z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y fmtid="{D5CDD505-2E9C-101B-9397-08002B2CF9AE}" pid="3" name="_AdHocReviewCycleID">
    <vt:i4>1044197123</vt:i4>
  </property>
  <property fmtid="{D5CDD505-2E9C-101B-9397-08002B2CF9AE}" pid="4" name="_NewReviewCycle">
    <vt:lpwstr/>
  </property>
  <property fmtid="{D5CDD505-2E9C-101B-9397-08002B2CF9AE}" pid="5" name="_EmailSubject">
    <vt:lpwstr>LGA Review Consultation Paper</vt:lpwstr>
  </property>
  <property fmtid="{D5CDD505-2E9C-101B-9397-08002B2CF9AE}" pid="6" name="_AuthorEmail">
    <vt:lpwstr>Tarnya.Widdicombe@dpc.wa.gov.au</vt:lpwstr>
  </property>
  <property fmtid="{D5CDD505-2E9C-101B-9397-08002B2CF9AE}" pid="7" name="_AuthorEmailDisplayName">
    <vt:lpwstr>Widdicombe, Tarnya</vt:lpwstr>
  </property>
  <property fmtid="{D5CDD505-2E9C-101B-9397-08002B2CF9AE}" pid="8" name="_ReviewingToolsShownOnce">
    <vt:lpwstr/>
  </property>
</Properties>
</file>