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D7B3" w14:textId="77777777" w:rsidR="00AA348D" w:rsidRPr="00C34E35" w:rsidRDefault="00AA348D" w:rsidP="00AA348D">
      <w:pPr>
        <w:spacing w:line="276" w:lineRule="auto"/>
        <w:jc w:val="center"/>
        <w:rPr>
          <w:rFonts w:ascii="Arial" w:eastAsia="MS Mincho" w:hAnsi="Arial" w:cs="Arial"/>
          <w:lang w:eastAsia="en-AU"/>
        </w:rPr>
      </w:pPr>
      <w:r w:rsidRPr="00C34E35">
        <w:rPr>
          <w:rFonts w:ascii="Arial" w:eastAsia="MS Mincho" w:hAnsi="Arial" w:cs="Arial"/>
          <w:noProof/>
          <w:lang w:val="en-US"/>
        </w:rPr>
        <mc:AlternateContent>
          <mc:Choice Requires="wps">
            <w:drawing>
              <wp:anchor distT="0" distB="0" distL="114300" distR="114300" simplePos="0" relativeHeight="251659264" behindDoc="0" locked="0" layoutInCell="1" allowOverlap="1" wp14:anchorId="3372C8A4" wp14:editId="5587F785">
                <wp:simplePos x="0" y="0"/>
                <wp:positionH relativeFrom="column">
                  <wp:posOffset>4710430</wp:posOffset>
                </wp:positionH>
                <wp:positionV relativeFrom="paragraph">
                  <wp:posOffset>-228600</wp:posOffset>
                </wp:positionV>
                <wp:extent cx="1000125" cy="352425"/>
                <wp:effectExtent l="6350" t="10795"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52425"/>
                        </a:xfrm>
                        <a:prstGeom prst="rect">
                          <a:avLst/>
                        </a:prstGeom>
                        <a:solidFill>
                          <a:srgbClr val="FFFFFF"/>
                        </a:solidFill>
                        <a:ln w="9525">
                          <a:solidFill>
                            <a:srgbClr val="000000"/>
                          </a:solidFill>
                          <a:miter lim="800000"/>
                          <a:headEnd/>
                          <a:tailEnd/>
                        </a:ln>
                      </wps:spPr>
                      <wps:txbx>
                        <w:txbxContent>
                          <w:p w14:paraId="18BC6182" w14:textId="369F3EAD" w:rsidR="00AA348D" w:rsidRDefault="00AA348D" w:rsidP="00AA348D">
                            <w:pPr>
                              <w:spacing w:before="60"/>
                              <w:rPr>
                                <w:rFonts w:ascii="Arial" w:hAnsi="Arial"/>
                                <w:b/>
                              </w:rPr>
                            </w:pPr>
                            <w:r>
                              <w:rPr>
                                <w:rFonts w:ascii="Arial" w:hAnsi="Arial"/>
                                <w:b/>
                              </w:rPr>
                              <w:t xml:space="preserve">LC </w:t>
                            </w:r>
                            <w:r w:rsidR="00122AEE">
                              <w:rPr>
                                <w:rFonts w:ascii="Arial" w:hAnsi="Arial"/>
                                <w:b/>
                              </w:rPr>
                              <w:t>15</w:t>
                            </w:r>
                            <w:r>
                              <w:rPr>
                                <w:rFonts w:ascii="Arial" w:hAnsi="Arial"/>
                                <w:b/>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2C8A4" id="Rectangle 2" o:spid="_x0000_s1026" style="position:absolute;left:0;text-align:left;margin-left:370.9pt;margin-top:-18pt;width:78.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">
                <v:textbox>
                  <w:txbxContent>
                    <w:p w14:paraId="18BC6182" w14:textId="369F3EAD" w:rsidR="00AA348D" w:rsidRDefault="00AA348D" w:rsidP="00AA348D">
                      <w:pPr>
                        <w:spacing w:before="60"/>
                        <w:rPr>
                          <w:rFonts w:ascii="Arial" w:hAnsi="Arial"/>
                          <w:b/>
                        </w:rPr>
                      </w:pPr>
                      <w:r>
                        <w:rPr>
                          <w:rFonts w:ascii="Arial" w:hAnsi="Arial"/>
                          <w:b/>
                        </w:rPr>
                        <w:t xml:space="preserve">LC </w:t>
                      </w:r>
                      <w:r w:rsidR="00122AEE">
                        <w:rPr>
                          <w:rFonts w:ascii="Arial" w:hAnsi="Arial"/>
                          <w:b/>
                        </w:rPr>
                        <w:t>15</w:t>
                      </w:r>
                      <w:r>
                        <w:rPr>
                          <w:rFonts w:ascii="Arial" w:hAnsi="Arial"/>
                          <w:b/>
                        </w:rPr>
                        <w:t>/2019</w:t>
                      </w:r>
                    </w:p>
                  </w:txbxContent>
                </v:textbox>
              </v:rect>
            </w:pict>
          </mc:Fallback>
        </mc:AlternateContent>
      </w:r>
    </w:p>
    <w:p w14:paraId="0664BDAE" w14:textId="77777777" w:rsidR="00AA348D" w:rsidRDefault="00AA348D" w:rsidP="00AA348D">
      <w:pPr>
        <w:spacing w:line="276" w:lineRule="auto"/>
        <w:jc w:val="center"/>
        <w:rPr>
          <w:rFonts w:ascii="Arial" w:eastAsia="MS Mincho" w:hAnsi="Arial" w:cs="Arial"/>
          <w:b/>
          <w:lang w:eastAsia="en-AU"/>
        </w:rPr>
      </w:pPr>
    </w:p>
    <w:p w14:paraId="21BE1F0D" w14:textId="77777777" w:rsidR="00AA348D" w:rsidRPr="00B7494C" w:rsidRDefault="00AA348D" w:rsidP="00AA348D">
      <w:pPr>
        <w:spacing w:line="276" w:lineRule="auto"/>
        <w:jc w:val="center"/>
        <w:rPr>
          <w:rFonts w:ascii="Arial" w:eastAsia="MS Mincho" w:hAnsi="Arial" w:cs="Arial"/>
          <w:b/>
          <w:sz w:val="28"/>
          <w:szCs w:val="28"/>
          <w:lang w:eastAsia="en-AU"/>
        </w:rPr>
      </w:pPr>
      <w:r w:rsidRPr="00B7494C">
        <w:rPr>
          <w:rFonts w:ascii="Arial" w:eastAsia="MS Mincho" w:hAnsi="Arial" w:cs="Arial"/>
          <w:b/>
          <w:sz w:val="28"/>
          <w:szCs w:val="28"/>
          <w:lang w:eastAsia="en-AU"/>
        </w:rPr>
        <w:t>Liquor Commission of Western Australia</w:t>
      </w:r>
    </w:p>
    <w:p w14:paraId="15B9F75D" w14:textId="77777777" w:rsidR="00AA348D" w:rsidRPr="00B7494C" w:rsidRDefault="00AA348D" w:rsidP="00AA348D">
      <w:pPr>
        <w:spacing w:line="276" w:lineRule="auto"/>
        <w:jc w:val="center"/>
        <w:rPr>
          <w:rFonts w:ascii="Arial" w:eastAsia="MS Mincho" w:hAnsi="Arial" w:cs="Arial"/>
          <w:b/>
          <w:sz w:val="28"/>
          <w:szCs w:val="28"/>
          <w:lang w:eastAsia="en-AU"/>
        </w:rPr>
      </w:pPr>
      <w:r w:rsidRPr="00B7494C">
        <w:rPr>
          <w:rFonts w:ascii="Arial" w:eastAsia="MS Mincho" w:hAnsi="Arial" w:cs="Arial"/>
          <w:b/>
          <w:sz w:val="28"/>
          <w:szCs w:val="28"/>
          <w:lang w:eastAsia="en-AU"/>
        </w:rPr>
        <w:t>(</w:t>
      </w:r>
      <w:r w:rsidRPr="00B7494C">
        <w:rPr>
          <w:rFonts w:ascii="Arial" w:eastAsia="MS Mincho" w:hAnsi="Arial" w:cs="Arial"/>
          <w:b/>
          <w:i/>
          <w:sz w:val="28"/>
          <w:szCs w:val="28"/>
          <w:lang w:eastAsia="en-AU"/>
        </w:rPr>
        <w:t>Liquor Control Act 1988</w:t>
      </w:r>
      <w:r w:rsidRPr="00B7494C">
        <w:rPr>
          <w:rFonts w:ascii="Arial" w:eastAsia="MS Mincho" w:hAnsi="Arial" w:cs="Arial"/>
          <w:b/>
          <w:sz w:val="28"/>
          <w:szCs w:val="28"/>
          <w:lang w:eastAsia="en-AU"/>
        </w:rPr>
        <w:t>)</w:t>
      </w:r>
    </w:p>
    <w:p w14:paraId="0C007A41" w14:textId="77777777" w:rsidR="00AA348D" w:rsidRDefault="00AA348D" w:rsidP="00AA348D">
      <w:pPr>
        <w:spacing w:line="276" w:lineRule="auto"/>
        <w:jc w:val="both"/>
        <w:rPr>
          <w:rFonts w:ascii="Arial" w:eastAsia="MS Mincho" w:hAnsi="Arial" w:cs="Arial"/>
          <w:b/>
          <w:lang w:eastAsia="en-AU"/>
        </w:rPr>
      </w:pPr>
    </w:p>
    <w:p w14:paraId="095ED7EC" w14:textId="45526EE1" w:rsidR="00AA348D" w:rsidRPr="00122AEE" w:rsidRDefault="00AA348D" w:rsidP="00122AEE">
      <w:pPr>
        <w:spacing w:after="0" w:line="276" w:lineRule="auto"/>
        <w:jc w:val="both"/>
        <w:rPr>
          <w:rFonts w:ascii="Arial" w:eastAsia="MS Mincho" w:hAnsi="Arial" w:cs="Arial"/>
          <w:sz w:val="24"/>
          <w:szCs w:val="24"/>
          <w:lang w:eastAsia="en-AU"/>
        </w:rPr>
      </w:pPr>
      <w:r w:rsidRPr="00122AEE">
        <w:rPr>
          <w:rFonts w:ascii="Arial" w:eastAsia="MS Mincho" w:hAnsi="Arial" w:cs="Arial"/>
          <w:b/>
          <w:sz w:val="24"/>
          <w:szCs w:val="24"/>
          <w:lang w:eastAsia="en-AU"/>
        </w:rPr>
        <w:t>Applicant:</w:t>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t xml:space="preserve">          </w:t>
      </w:r>
      <w:r w:rsidRPr="00122AEE">
        <w:rPr>
          <w:rFonts w:ascii="Arial" w:eastAsia="MS Mincho" w:hAnsi="Arial" w:cs="Arial"/>
          <w:sz w:val="24"/>
          <w:szCs w:val="24"/>
          <w:lang w:eastAsia="en-AU"/>
        </w:rPr>
        <w:t>The Hollow Beach Bar &amp; Grill Pty Ltd</w:t>
      </w:r>
    </w:p>
    <w:p w14:paraId="168E3714" w14:textId="7D5F2509" w:rsidR="00AA348D" w:rsidRPr="00122AEE" w:rsidRDefault="00AA348D" w:rsidP="00E30BB2">
      <w:pPr>
        <w:spacing w:after="0" w:line="276" w:lineRule="auto"/>
        <w:ind w:left="3544"/>
        <w:jc w:val="both"/>
        <w:rPr>
          <w:rFonts w:ascii="Arial" w:eastAsia="MS Mincho" w:hAnsi="Arial" w:cs="Arial"/>
          <w:i/>
          <w:sz w:val="24"/>
          <w:szCs w:val="24"/>
          <w:lang w:eastAsia="en-AU"/>
        </w:rPr>
      </w:pPr>
      <w:r w:rsidRPr="00122AEE">
        <w:rPr>
          <w:rFonts w:ascii="Arial" w:eastAsia="MS Mincho" w:hAnsi="Arial" w:cs="Arial"/>
          <w:i/>
          <w:sz w:val="24"/>
          <w:szCs w:val="24"/>
          <w:lang w:eastAsia="en-AU"/>
        </w:rPr>
        <w:t xml:space="preserve">(represented by Mr Henry Jackson, instructed by </w:t>
      </w:r>
      <w:r w:rsidR="00122AEE">
        <w:rPr>
          <w:rFonts w:ascii="Arial" w:eastAsia="MS Mincho" w:hAnsi="Arial" w:cs="Arial"/>
          <w:i/>
          <w:sz w:val="24"/>
          <w:szCs w:val="24"/>
          <w:lang w:eastAsia="en-AU"/>
        </w:rPr>
        <w:tab/>
      </w:r>
      <w:r w:rsidR="00E30BB2">
        <w:rPr>
          <w:rFonts w:ascii="Arial" w:eastAsia="MS Mincho" w:hAnsi="Arial" w:cs="Arial"/>
          <w:i/>
          <w:sz w:val="24"/>
          <w:szCs w:val="24"/>
          <w:lang w:eastAsia="en-AU"/>
        </w:rPr>
        <w:t xml:space="preserve">Ms </w:t>
      </w:r>
      <w:r w:rsidRPr="00122AEE">
        <w:rPr>
          <w:rFonts w:ascii="Arial" w:eastAsia="MS Mincho" w:hAnsi="Arial" w:cs="Arial"/>
          <w:i/>
          <w:sz w:val="24"/>
          <w:szCs w:val="24"/>
          <w:lang w:eastAsia="en-AU"/>
        </w:rPr>
        <w:t>Susan</w:t>
      </w:r>
      <w:r w:rsidRPr="00122AEE">
        <w:rPr>
          <w:rFonts w:ascii="Arial" w:eastAsia="MS Mincho" w:hAnsi="Arial" w:cs="Arial"/>
          <w:i/>
          <w:sz w:val="24"/>
          <w:szCs w:val="24"/>
          <w:lang w:eastAsia="en-AU"/>
        </w:rPr>
        <w:tab/>
        <w:t>Nicholson of Cullen Macleod</w:t>
      </w:r>
      <w:r w:rsidR="00CC28CC">
        <w:rPr>
          <w:rFonts w:ascii="Arial" w:eastAsia="MS Mincho" w:hAnsi="Arial" w:cs="Arial"/>
          <w:i/>
          <w:sz w:val="24"/>
          <w:szCs w:val="24"/>
          <w:lang w:eastAsia="en-AU"/>
        </w:rPr>
        <w:t xml:space="preserve"> Lawyers</w:t>
      </w:r>
      <w:r w:rsidRPr="00122AEE">
        <w:rPr>
          <w:rFonts w:ascii="Arial" w:eastAsia="MS Mincho" w:hAnsi="Arial" w:cs="Arial"/>
          <w:i/>
          <w:sz w:val="24"/>
          <w:szCs w:val="24"/>
          <w:lang w:eastAsia="en-AU"/>
        </w:rPr>
        <w:t>)</w:t>
      </w:r>
    </w:p>
    <w:p w14:paraId="02451B6C" w14:textId="77777777" w:rsidR="00AA348D" w:rsidRPr="00122AEE" w:rsidRDefault="00AA348D" w:rsidP="00AA348D">
      <w:pPr>
        <w:spacing w:line="276" w:lineRule="auto"/>
        <w:ind w:left="2835" w:firstLine="567"/>
        <w:jc w:val="both"/>
        <w:rPr>
          <w:rFonts w:ascii="Arial" w:eastAsia="MS Mincho" w:hAnsi="Arial" w:cs="Arial"/>
          <w:sz w:val="24"/>
          <w:szCs w:val="24"/>
          <w:lang w:eastAsia="en-AU"/>
        </w:rPr>
      </w:pPr>
    </w:p>
    <w:p w14:paraId="3039B60F" w14:textId="57415B6B" w:rsidR="00AA348D" w:rsidRPr="00122AEE" w:rsidRDefault="00AA348D" w:rsidP="00122AEE">
      <w:pPr>
        <w:spacing w:after="0" w:line="276" w:lineRule="auto"/>
        <w:jc w:val="both"/>
        <w:rPr>
          <w:rFonts w:ascii="Arial" w:eastAsia="MS Mincho" w:hAnsi="Arial" w:cs="Arial"/>
          <w:sz w:val="24"/>
          <w:szCs w:val="24"/>
          <w:lang w:eastAsia="en-AU"/>
        </w:rPr>
      </w:pPr>
      <w:r w:rsidRPr="00122AEE">
        <w:rPr>
          <w:rFonts w:ascii="Arial" w:eastAsia="MS Mincho" w:hAnsi="Arial" w:cs="Arial"/>
          <w:b/>
          <w:sz w:val="24"/>
          <w:szCs w:val="24"/>
          <w:lang w:eastAsia="en-AU"/>
        </w:rPr>
        <w:t>Respondents:</w:t>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proofErr w:type="spellStart"/>
      <w:r w:rsidRPr="00122AEE">
        <w:rPr>
          <w:rFonts w:ascii="Arial" w:eastAsia="MS Mincho" w:hAnsi="Arial" w:cs="Arial"/>
          <w:sz w:val="24"/>
          <w:szCs w:val="24"/>
          <w:lang w:eastAsia="en-AU"/>
        </w:rPr>
        <w:t>Lavan</w:t>
      </w:r>
      <w:proofErr w:type="spellEnd"/>
      <w:r w:rsidRPr="00122AEE">
        <w:rPr>
          <w:rFonts w:ascii="Arial" w:eastAsia="MS Mincho" w:hAnsi="Arial" w:cs="Arial"/>
          <w:sz w:val="24"/>
          <w:szCs w:val="24"/>
          <w:lang w:eastAsia="en-AU"/>
        </w:rPr>
        <w:t xml:space="preserve"> Lawyers</w:t>
      </w:r>
    </w:p>
    <w:p w14:paraId="310A1D4B" w14:textId="015CFE3A" w:rsidR="00AA348D" w:rsidRPr="00122AEE" w:rsidRDefault="00AA348D" w:rsidP="00122AEE">
      <w:pPr>
        <w:spacing w:after="0" w:line="276" w:lineRule="auto"/>
        <w:jc w:val="both"/>
        <w:rPr>
          <w:rFonts w:ascii="Arial" w:eastAsia="MS Mincho" w:hAnsi="Arial" w:cs="Arial"/>
          <w:sz w:val="24"/>
          <w:szCs w:val="24"/>
          <w:lang w:eastAsia="en-AU"/>
        </w:rPr>
      </w:pP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t>(</w:t>
      </w:r>
      <w:r w:rsidRPr="00122AEE">
        <w:rPr>
          <w:rFonts w:ascii="Arial" w:eastAsia="MS Mincho" w:hAnsi="Arial" w:cs="Arial"/>
          <w:i/>
          <w:sz w:val="24"/>
          <w:szCs w:val="24"/>
          <w:lang w:eastAsia="en-AU"/>
        </w:rPr>
        <w:t>represented by Mr Dan Mossenson</w:t>
      </w:r>
      <w:r w:rsidRPr="00122AEE">
        <w:rPr>
          <w:rFonts w:ascii="Arial" w:eastAsia="MS Mincho" w:hAnsi="Arial" w:cs="Arial"/>
          <w:sz w:val="24"/>
          <w:szCs w:val="24"/>
          <w:lang w:eastAsia="en-AU"/>
        </w:rPr>
        <w:t>)</w:t>
      </w:r>
    </w:p>
    <w:p w14:paraId="5D68AE32" w14:textId="77777777" w:rsidR="00122AEE" w:rsidRPr="00122AEE" w:rsidRDefault="00AA348D" w:rsidP="00AA348D">
      <w:pPr>
        <w:spacing w:line="276" w:lineRule="auto"/>
        <w:jc w:val="both"/>
        <w:rPr>
          <w:rFonts w:ascii="Arial" w:eastAsia="MS Mincho" w:hAnsi="Arial" w:cs="Arial"/>
          <w:sz w:val="4"/>
          <w:szCs w:val="4"/>
          <w:lang w:eastAsia="en-AU"/>
        </w:rPr>
      </w:pP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p>
    <w:p w14:paraId="1DE28837" w14:textId="6699B27C" w:rsidR="00AA348D" w:rsidRPr="00122AEE" w:rsidRDefault="00122AEE" w:rsidP="00122AEE">
      <w:pPr>
        <w:spacing w:after="0" w:line="276" w:lineRule="auto"/>
        <w:jc w:val="both"/>
        <w:rPr>
          <w:rFonts w:ascii="Arial" w:eastAsia="MS Mincho" w:hAnsi="Arial" w:cs="Arial"/>
          <w:sz w:val="24"/>
          <w:szCs w:val="24"/>
          <w:lang w:eastAsia="en-AU"/>
        </w:rPr>
      </w:pPr>
      <w:r>
        <w:rPr>
          <w:rFonts w:ascii="Arial" w:eastAsia="MS Mincho" w:hAnsi="Arial" w:cs="Arial"/>
          <w:sz w:val="24"/>
          <w:szCs w:val="24"/>
          <w:lang w:eastAsia="en-AU"/>
        </w:rPr>
        <w:tab/>
      </w:r>
      <w:r>
        <w:rPr>
          <w:rFonts w:ascii="Arial" w:eastAsia="MS Mincho" w:hAnsi="Arial" w:cs="Arial"/>
          <w:sz w:val="24"/>
          <w:szCs w:val="24"/>
          <w:lang w:eastAsia="en-AU"/>
        </w:rPr>
        <w:tab/>
      </w:r>
      <w:r>
        <w:rPr>
          <w:rFonts w:ascii="Arial" w:eastAsia="MS Mincho" w:hAnsi="Arial" w:cs="Arial"/>
          <w:sz w:val="24"/>
          <w:szCs w:val="24"/>
          <w:lang w:eastAsia="en-AU"/>
        </w:rPr>
        <w:tab/>
      </w:r>
      <w:r>
        <w:rPr>
          <w:rFonts w:ascii="Arial" w:eastAsia="MS Mincho" w:hAnsi="Arial" w:cs="Arial"/>
          <w:sz w:val="24"/>
          <w:szCs w:val="24"/>
          <w:lang w:eastAsia="en-AU"/>
        </w:rPr>
        <w:tab/>
      </w:r>
      <w:r>
        <w:rPr>
          <w:rFonts w:ascii="Arial" w:eastAsia="MS Mincho" w:hAnsi="Arial" w:cs="Arial"/>
          <w:sz w:val="24"/>
          <w:szCs w:val="24"/>
          <w:lang w:eastAsia="en-AU"/>
        </w:rPr>
        <w:tab/>
      </w:r>
      <w:r w:rsidR="00AA348D" w:rsidRPr="00122AEE">
        <w:rPr>
          <w:rFonts w:ascii="Arial" w:eastAsia="MS Mincho" w:hAnsi="Arial" w:cs="Arial"/>
          <w:sz w:val="24"/>
          <w:szCs w:val="24"/>
          <w:lang w:eastAsia="en-AU"/>
        </w:rPr>
        <w:t xml:space="preserve">Mr Chris Garvey </w:t>
      </w:r>
    </w:p>
    <w:p w14:paraId="16906632" w14:textId="461CB7AA" w:rsidR="00AA348D" w:rsidRPr="00122AEE" w:rsidRDefault="00AA348D" w:rsidP="00122AEE">
      <w:pPr>
        <w:spacing w:after="0" w:line="276" w:lineRule="auto"/>
        <w:jc w:val="both"/>
        <w:rPr>
          <w:rFonts w:ascii="Arial" w:eastAsia="MS Mincho" w:hAnsi="Arial" w:cs="Arial"/>
          <w:sz w:val="24"/>
          <w:szCs w:val="24"/>
          <w:lang w:eastAsia="en-AU"/>
        </w:rPr>
      </w:pP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t xml:space="preserve">           (</w:t>
      </w:r>
      <w:r w:rsidRPr="00122AEE">
        <w:rPr>
          <w:rFonts w:ascii="Arial" w:eastAsia="MS Mincho" w:hAnsi="Arial" w:cs="Arial"/>
          <w:i/>
          <w:sz w:val="24"/>
          <w:szCs w:val="24"/>
          <w:lang w:eastAsia="en-AU"/>
        </w:rPr>
        <w:t xml:space="preserve">represented by Mr David </w:t>
      </w:r>
      <w:proofErr w:type="spellStart"/>
      <w:r w:rsidRPr="00122AEE">
        <w:rPr>
          <w:rFonts w:ascii="Arial" w:eastAsia="MS Mincho" w:hAnsi="Arial" w:cs="Arial"/>
          <w:i/>
          <w:sz w:val="24"/>
          <w:szCs w:val="24"/>
          <w:lang w:eastAsia="en-AU"/>
        </w:rPr>
        <w:t>Ga</w:t>
      </w:r>
      <w:r w:rsidR="003071DC" w:rsidRPr="00122AEE">
        <w:rPr>
          <w:rFonts w:ascii="Arial" w:eastAsia="MS Mincho" w:hAnsi="Arial" w:cs="Arial"/>
          <w:i/>
          <w:sz w:val="24"/>
          <w:szCs w:val="24"/>
          <w:lang w:eastAsia="en-AU"/>
        </w:rPr>
        <w:t>r</w:t>
      </w:r>
      <w:r w:rsidRPr="00122AEE">
        <w:rPr>
          <w:rFonts w:ascii="Arial" w:eastAsia="MS Mincho" w:hAnsi="Arial" w:cs="Arial"/>
          <w:i/>
          <w:sz w:val="24"/>
          <w:szCs w:val="24"/>
          <w:lang w:eastAsia="en-AU"/>
        </w:rPr>
        <w:t>nsworthy</w:t>
      </w:r>
      <w:proofErr w:type="spellEnd"/>
      <w:r w:rsidRPr="00122AEE">
        <w:rPr>
          <w:rFonts w:ascii="Arial" w:eastAsia="MS Mincho" w:hAnsi="Arial" w:cs="Arial"/>
          <w:sz w:val="24"/>
          <w:szCs w:val="24"/>
          <w:lang w:eastAsia="en-AU"/>
        </w:rPr>
        <w:t xml:space="preserve">) </w:t>
      </w:r>
    </w:p>
    <w:p w14:paraId="688C2299" w14:textId="77777777" w:rsidR="00122AEE" w:rsidRPr="007655EF" w:rsidRDefault="00AA348D" w:rsidP="00AA348D">
      <w:pPr>
        <w:spacing w:line="276" w:lineRule="auto"/>
        <w:jc w:val="both"/>
        <w:rPr>
          <w:rFonts w:ascii="Arial" w:eastAsia="MS Mincho" w:hAnsi="Arial" w:cs="Arial"/>
          <w:sz w:val="4"/>
          <w:szCs w:val="4"/>
          <w:lang w:eastAsia="en-AU"/>
        </w:rPr>
      </w:pP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p>
    <w:p w14:paraId="61437C26" w14:textId="003271A6" w:rsidR="00AA348D" w:rsidRPr="00122AEE" w:rsidRDefault="00122AEE" w:rsidP="00AA348D">
      <w:pPr>
        <w:spacing w:line="276" w:lineRule="auto"/>
        <w:jc w:val="both"/>
        <w:rPr>
          <w:rFonts w:ascii="Arial" w:eastAsia="MS Mincho" w:hAnsi="Arial" w:cs="Arial"/>
          <w:sz w:val="24"/>
          <w:szCs w:val="24"/>
          <w:lang w:eastAsia="en-AU"/>
        </w:rPr>
      </w:pPr>
      <w:r>
        <w:rPr>
          <w:rFonts w:ascii="Arial" w:eastAsia="MS Mincho" w:hAnsi="Arial" w:cs="Arial"/>
          <w:sz w:val="24"/>
          <w:szCs w:val="24"/>
          <w:lang w:eastAsia="en-AU"/>
        </w:rPr>
        <w:tab/>
      </w:r>
      <w:r>
        <w:rPr>
          <w:rFonts w:ascii="Arial" w:eastAsia="MS Mincho" w:hAnsi="Arial" w:cs="Arial"/>
          <w:sz w:val="24"/>
          <w:szCs w:val="24"/>
          <w:lang w:eastAsia="en-AU"/>
        </w:rPr>
        <w:tab/>
      </w:r>
      <w:r>
        <w:rPr>
          <w:rFonts w:ascii="Arial" w:eastAsia="MS Mincho" w:hAnsi="Arial" w:cs="Arial"/>
          <w:sz w:val="24"/>
          <w:szCs w:val="24"/>
          <w:lang w:eastAsia="en-AU"/>
        </w:rPr>
        <w:tab/>
      </w:r>
      <w:r>
        <w:rPr>
          <w:rFonts w:ascii="Arial" w:eastAsia="MS Mincho" w:hAnsi="Arial" w:cs="Arial"/>
          <w:sz w:val="24"/>
          <w:szCs w:val="24"/>
          <w:lang w:eastAsia="en-AU"/>
        </w:rPr>
        <w:tab/>
      </w:r>
      <w:r>
        <w:rPr>
          <w:rFonts w:ascii="Arial" w:eastAsia="MS Mincho" w:hAnsi="Arial" w:cs="Arial"/>
          <w:sz w:val="24"/>
          <w:szCs w:val="24"/>
          <w:lang w:eastAsia="en-AU"/>
        </w:rPr>
        <w:tab/>
      </w:r>
      <w:r w:rsidR="00AA348D" w:rsidRPr="00122AEE">
        <w:rPr>
          <w:rFonts w:ascii="Arial" w:eastAsia="MS Mincho" w:hAnsi="Arial" w:cs="Arial"/>
          <w:sz w:val="24"/>
          <w:szCs w:val="24"/>
          <w:lang w:eastAsia="en-AU"/>
        </w:rPr>
        <w:t xml:space="preserve">Mr Graham </w:t>
      </w:r>
      <w:proofErr w:type="spellStart"/>
      <w:r w:rsidR="00AA348D" w:rsidRPr="00122AEE">
        <w:rPr>
          <w:rFonts w:ascii="Arial" w:eastAsia="MS Mincho" w:hAnsi="Arial" w:cs="Arial"/>
          <w:sz w:val="24"/>
          <w:szCs w:val="24"/>
          <w:lang w:eastAsia="en-AU"/>
        </w:rPr>
        <w:t>Coatz</w:t>
      </w:r>
      <w:proofErr w:type="spellEnd"/>
    </w:p>
    <w:p w14:paraId="681A6EF2" w14:textId="77777777" w:rsidR="00AA348D" w:rsidRPr="00122AEE" w:rsidRDefault="00AA348D" w:rsidP="00AA348D">
      <w:pPr>
        <w:spacing w:line="276" w:lineRule="auto"/>
        <w:jc w:val="both"/>
        <w:rPr>
          <w:rFonts w:ascii="Arial" w:eastAsia="MS Mincho" w:hAnsi="Arial" w:cs="Arial"/>
          <w:sz w:val="24"/>
          <w:szCs w:val="24"/>
          <w:lang w:eastAsia="en-AU"/>
        </w:rPr>
      </w:pPr>
    </w:p>
    <w:p w14:paraId="7D91DDD1" w14:textId="75B51FE2" w:rsidR="00AA348D" w:rsidRPr="00122AEE" w:rsidRDefault="00AA348D" w:rsidP="00AA348D">
      <w:pPr>
        <w:spacing w:line="276" w:lineRule="auto"/>
        <w:jc w:val="both"/>
        <w:rPr>
          <w:rFonts w:ascii="Arial" w:eastAsia="MS Mincho" w:hAnsi="Arial" w:cs="Arial"/>
          <w:sz w:val="24"/>
          <w:szCs w:val="24"/>
          <w:lang w:eastAsia="en-AU"/>
        </w:rPr>
      </w:pPr>
      <w:r w:rsidRPr="00122AEE">
        <w:rPr>
          <w:rFonts w:ascii="Arial" w:eastAsia="MS Mincho" w:hAnsi="Arial" w:cs="Arial"/>
          <w:b/>
          <w:sz w:val="24"/>
          <w:szCs w:val="24"/>
          <w:lang w:eastAsia="en-AU"/>
        </w:rPr>
        <w:t>Commission:</w:t>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sz w:val="24"/>
          <w:szCs w:val="24"/>
          <w:lang w:eastAsia="en-AU"/>
        </w:rPr>
        <w:t>Mr Alex Zilkens (Member)</w:t>
      </w:r>
    </w:p>
    <w:p w14:paraId="3B151B25" w14:textId="77777777" w:rsidR="00AA348D" w:rsidRPr="00122AEE" w:rsidRDefault="00AA348D" w:rsidP="00AA348D">
      <w:pPr>
        <w:spacing w:line="276" w:lineRule="auto"/>
        <w:ind w:left="2835" w:hanging="2835"/>
        <w:jc w:val="both"/>
        <w:rPr>
          <w:rFonts w:ascii="Arial" w:eastAsia="MS Mincho" w:hAnsi="Arial" w:cs="Arial"/>
          <w:b/>
          <w:sz w:val="24"/>
          <w:szCs w:val="24"/>
          <w:lang w:eastAsia="en-AU"/>
        </w:rPr>
      </w:pPr>
    </w:p>
    <w:p w14:paraId="33BF2885" w14:textId="64260B28" w:rsidR="00AA348D" w:rsidRPr="00122AEE" w:rsidRDefault="00AA348D" w:rsidP="00AA348D">
      <w:pPr>
        <w:spacing w:line="276" w:lineRule="auto"/>
        <w:ind w:left="2835" w:hanging="2835"/>
        <w:jc w:val="both"/>
        <w:rPr>
          <w:rFonts w:ascii="Arial" w:eastAsia="MS Mincho" w:hAnsi="Arial" w:cs="Arial"/>
          <w:sz w:val="24"/>
          <w:szCs w:val="24"/>
          <w:lang w:eastAsia="en-AU"/>
        </w:rPr>
      </w:pPr>
      <w:r w:rsidRPr="00122AEE">
        <w:rPr>
          <w:rFonts w:ascii="Arial" w:eastAsia="MS Mincho" w:hAnsi="Arial" w:cs="Arial"/>
          <w:b/>
          <w:sz w:val="24"/>
          <w:szCs w:val="24"/>
          <w:lang w:eastAsia="en-AU"/>
        </w:rPr>
        <w:t>Matter:</w:t>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sz w:val="24"/>
          <w:szCs w:val="24"/>
          <w:lang w:eastAsia="en-AU"/>
        </w:rPr>
        <w:t xml:space="preserve">Application for costs pursuant to section 21 of the </w:t>
      </w:r>
      <w:r w:rsidR="007655EF">
        <w:rPr>
          <w:rFonts w:ascii="Arial" w:eastAsia="MS Mincho" w:hAnsi="Arial" w:cs="Arial"/>
          <w:sz w:val="24"/>
          <w:szCs w:val="24"/>
          <w:lang w:eastAsia="en-AU"/>
        </w:rPr>
        <w:tab/>
      </w:r>
      <w:r w:rsidR="007655EF">
        <w:rPr>
          <w:rFonts w:ascii="Arial" w:eastAsia="MS Mincho" w:hAnsi="Arial" w:cs="Arial"/>
          <w:sz w:val="24"/>
          <w:szCs w:val="24"/>
          <w:lang w:eastAsia="en-AU"/>
        </w:rPr>
        <w:tab/>
      </w:r>
      <w:r w:rsidRPr="00122AEE">
        <w:rPr>
          <w:rFonts w:ascii="Arial" w:eastAsia="MS Mincho" w:hAnsi="Arial" w:cs="Arial"/>
          <w:i/>
          <w:sz w:val="24"/>
          <w:szCs w:val="24"/>
          <w:lang w:eastAsia="en-AU"/>
        </w:rPr>
        <w:t>Liquor Control Act 1988</w:t>
      </w:r>
    </w:p>
    <w:p w14:paraId="6916D092" w14:textId="77777777" w:rsidR="00AA348D" w:rsidRPr="00122AEE" w:rsidRDefault="00AA348D" w:rsidP="00AA348D">
      <w:pPr>
        <w:spacing w:line="276" w:lineRule="auto"/>
        <w:jc w:val="both"/>
        <w:rPr>
          <w:rFonts w:ascii="Arial" w:eastAsia="MS Mincho" w:hAnsi="Arial" w:cs="Arial"/>
          <w:b/>
          <w:sz w:val="24"/>
          <w:szCs w:val="24"/>
          <w:lang w:eastAsia="en-AU"/>
        </w:rPr>
      </w:pPr>
    </w:p>
    <w:p w14:paraId="2B4C512C" w14:textId="77777777" w:rsidR="00AA348D" w:rsidRPr="00122AEE" w:rsidRDefault="00AA348D" w:rsidP="00AA348D">
      <w:pPr>
        <w:spacing w:line="276" w:lineRule="auto"/>
        <w:jc w:val="both"/>
        <w:rPr>
          <w:rFonts w:ascii="Arial" w:eastAsia="MS Mincho" w:hAnsi="Arial" w:cs="Arial"/>
          <w:sz w:val="24"/>
          <w:szCs w:val="24"/>
          <w:lang w:eastAsia="en-AU"/>
        </w:rPr>
      </w:pPr>
      <w:r w:rsidRPr="00122AEE">
        <w:rPr>
          <w:rFonts w:ascii="Arial" w:eastAsia="MS Mincho" w:hAnsi="Arial" w:cs="Arial"/>
          <w:b/>
          <w:sz w:val="24"/>
          <w:szCs w:val="24"/>
          <w:lang w:eastAsia="en-AU"/>
        </w:rPr>
        <w:t>Premises:</w:t>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sz w:val="24"/>
          <w:szCs w:val="24"/>
          <w:lang w:eastAsia="en-AU"/>
        </w:rPr>
        <w:t>Hungry Hollow Tavern, 135 Ocean Drive, Bunbury</w:t>
      </w:r>
    </w:p>
    <w:p w14:paraId="19FD335A" w14:textId="77777777" w:rsidR="00AA348D" w:rsidRPr="00122AEE" w:rsidRDefault="00AA348D" w:rsidP="00AA348D">
      <w:pPr>
        <w:spacing w:line="276" w:lineRule="auto"/>
        <w:jc w:val="both"/>
        <w:rPr>
          <w:rFonts w:ascii="Arial" w:eastAsia="MS Mincho" w:hAnsi="Arial" w:cs="Arial"/>
          <w:b/>
          <w:sz w:val="24"/>
          <w:szCs w:val="24"/>
          <w:lang w:eastAsia="en-AU"/>
        </w:rPr>
      </w:pPr>
    </w:p>
    <w:p w14:paraId="21A7CB07" w14:textId="7761D5D1" w:rsidR="00AA348D" w:rsidRPr="00122AEE" w:rsidRDefault="00AA348D" w:rsidP="00AA348D">
      <w:pPr>
        <w:spacing w:line="276" w:lineRule="auto"/>
        <w:jc w:val="both"/>
        <w:rPr>
          <w:rFonts w:ascii="Arial" w:eastAsia="MS Mincho" w:hAnsi="Arial" w:cs="Arial"/>
          <w:b/>
          <w:sz w:val="24"/>
          <w:szCs w:val="24"/>
          <w:lang w:eastAsia="en-AU"/>
        </w:rPr>
      </w:pPr>
      <w:r w:rsidRPr="00122AEE">
        <w:rPr>
          <w:rFonts w:ascii="Arial" w:eastAsia="MS Mincho" w:hAnsi="Arial" w:cs="Arial"/>
          <w:b/>
          <w:sz w:val="24"/>
          <w:szCs w:val="24"/>
          <w:lang w:eastAsia="en-AU"/>
        </w:rPr>
        <w:t>Date of Hearing:</w:t>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sz w:val="24"/>
          <w:szCs w:val="24"/>
          <w:lang w:eastAsia="en-AU"/>
        </w:rPr>
        <w:t>6 February 2018 (LC 21/2018)</w:t>
      </w:r>
    </w:p>
    <w:p w14:paraId="41767772" w14:textId="77777777" w:rsidR="00AA348D" w:rsidRPr="00122AEE" w:rsidRDefault="00AA348D" w:rsidP="00AA348D">
      <w:pPr>
        <w:spacing w:line="276" w:lineRule="auto"/>
        <w:jc w:val="both"/>
        <w:rPr>
          <w:rFonts w:ascii="Arial" w:eastAsia="MS Mincho" w:hAnsi="Arial" w:cs="Arial"/>
          <w:b/>
          <w:sz w:val="24"/>
          <w:szCs w:val="24"/>
          <w:lang w:eastAsia="en-AU"/>
        </w:rPr>
      </w:pPr>
    </w:p>
    <w:p w14:paraId="78D13531" w14:textId="0B582C15" w:rsidR="00AA348D" w:rsidRPr="00E30BB2" w:rsidRDefault="00AA348D" w:rsidP="00AA348D">
      <w:pPr>
        <w:spacing w:line="276" w:lineRule="auto"/>
        <w:jc w:val="both"/>
        <w:rPr>
          <w:rFonts w:ascii="Arial" w:eastAsia="MS Mincho" w:hAnsi="Arial" w:cs="Arial"/>
          <w:sz w:val="24"/>
          <w:szCs w:val="24"/>
          <w:lang w:eastAsia="en-AU"/>
        </w:rPr>
      </w:pPr>
      <w:r w:rsidRPr="00122AEE">
        <w:rPr>
          <w:rFonts w:ascii="Arial" w:eastAsia="MS Mincho" w:hAnsi="Arial" w:cs="Arial"/>
          <w:b/>
          <w:sz w:val="24"/>
          <w:szCs w:val="24"/>
          <w:lang w:eastAsia="en-AU"/>
        </w:rPr>
        <w:t>Date of Determination:</w:t>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00E30BB2" w:rsidRPr="00E30BB2">
        <w:rPr>
          <w:rFonts w:ascii="Arial" w:eastAsia="MS Mincho" w:hAnsi="Arial" w:cs="Arial"/>
          <w:sz w:val="24"/>
          <w:szCs w:val="24"/>
          <w:lang w:eastAsia="en-AU"/>
        </w:rPr>
        <w:t>31 May</w:t>
      </w:r>
      <w:r w:rsidRPr="00E30BB2">
        <w:rPr>
          <w:rFonts w:ascii="Arial" w:eastAsia="MS Mincho" w:hAnsi="Arial" w:cs="Arial"/>
          <w:sz w:val="24"/>
          <w:szCs w:val="24"/>
          <w:lang w:eastAsia="en-AU"/>
        </w:rPr>
        <w:t xml:space="preserve"> 2019</w:t>
      </w:r>
    </w:p>
    <w:p w14:paraId="0CF27E68" w14:textId="77777777" w:rsidR="00AA348D" w:rsidRPr="00122AEE" w:rsidRDefault="00AA348D" w:rsidP="00AA348D">
      <w:pPr>
        <w:spacing w:after="240" w:line="360" w:lineRule="auto"/>
        <w:jc w:val="both"/>
        <w:rPr>
          <w:rFonts w:ascii="Arial" w:eastAsia="MS Mincho" w:hAnsi="Arial" w:cs="Arial"/>
          <w:b/>
          <w:sz w:val="24"/>
          <w:szCs w:val="24"/>
          <w:lang w:eastAsia="en-AU"/>
        </w:rPr>
      </w:pPr>
    </w:p>
    <w:p w14:paraId="5C5E9479" w14:textId="3E7FB13F" w:rsidR="00AA348D" w:rsidRPr="00122AEE" w:rsidRDefault="00AA348D" w:rsidP="00AA348D">
      <w:pPr>
        <w:spacing w:after="240" w:line="276" w:lineRule="auto"/>
        <w:ind w:left="567" w:hanging="567"/>
        <w:jc w:val="both"/>
        <w:rPr>
          <w:rFonts w:ascii="Arial" w:eastAsia="MS Mincho" w:hAnsi="Arial" w:cs="Arial"/>
          <w:sz w:val="24"/>
          <w:szCs w:val="24"/>
          <w:lang w:eastAsia="en-AU"/>
        </w:rPr>
      </w:pPr>
      <w:r w:rsidRPr="00122AEE">
        <w:rPr>
          <w:rFonts w:ascii="Arial" w:eastAsia="MS Mincho" w:hAnsi="Arial" w:cs="Arial"/>
          <w:b/>
          <w:sz w:val="24"/>
          <w:szCs w:val="24"/>
          <w:lang w:eastAsia="en-AU"/>
        </w:rPr>
        <w:t>Determination:</w:t>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b/>
          <w:sz w:val="24"/>
          <w:szCs w:val="24"/>
          <w:lang w:eastAsia="en-AU"/>
        </w:rPr>
        <w:tab/>
      </w:r>
      <w:r w:rsidRPr="00122AEE">
        <w:rPr>
          <w:rFonts w:ascii="Arial" w:eastAsia="MS Mincho" w:hAnsi="Arial" w:cs="Arial"/>
          <w:sz w:val="24"/>
          <w:szCs w:val="24"/>
          <w:lang w:eastAsia="en-AU"/>
        </w:rPr>
        <w:t>Applicant be paid costs as outlined in Paragraph 3</w:t>
      </w:r>
      <w:r w:rsidR="00C4580B">
        <w:rPr>
          <w:rFonts w:ascii="Arial" w:eastAsia="MS Mincho" w:hAnsi="Arial" w:cs="Arial"/>
          <w:sz w:val="24"/>
          <w:szCs w:val="24"/>
          <w:lang w:eastAsia="en-AU"/>
        </w:rPr>
        <w:t>5</w:t>
      </w:r>
      <w:r w:rsidRPr="00122AEE">
        <w:rPr>
          <w:rFonts w:ascii="Arial" w:eastAsia="MS Mincho" w:hAnsi="Arial" w:cs="Arial"/>
          <w:sz w:val="24"/>
          <w:szCs w:val="24"/>
          <w:lang w:eastAsia="en-AU"/>
        </w:rPr>
        <w:t xml:space="preserve"> </w:t>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r>
      <w:r w:rsidRPr="00122AEE">
        <w:rPr>
          <w:rFonts w:ascii="Arial" w:eastAsia="MS Mincho" w:hAnsi="Arial" w:cs="Arial"/>
          <w:sz w:val="24"/>
          <w:szCs w:val="24"/>
          <w:lang w:eastAsia="en-AU"/>
        </w:rPr>
        <w:tab/>
        <w:t>of this determination.</w:t>
      </w:r>
    </w:p>
    <w:p w14:paraId="2BA770E4" w14:textId="77777777" w:rsidR="00122AEE" w:rsidRDefault="00AA348D" w:rsidP="00122AEE">
      <w:pPr>
        <w:rPr>
          <w:rFonts w:ascii="Arial" w:hAnsi="Arial" w:cs="Arial"/>
        </w:rPr>
      </w:pPr>
      <w:r>
        <w:rPr>
          <w:rFonts w:ascii="Arial" w:hAnsi="Arial" w:cs="Arial"/>
        </w:rPr>
        <w:br w:type="page"/>
      </w:r>
    </w:p>
    <w:p w14:paraId="51A298CB" w14:textId="77777777" w:rsidR="00122AEE" w:rsidRPr="00086884"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lastRenderedPageBreak/>
        <w:t xml:space="preserve">In </w:t>
      </w:r>
      <w:r w:rsidRPr="00086884">
        <w:rPr>
          <w:rFonts w:ascii="Arial" w:hAnsi="Arial" w:cs="Arial"/>
        </w:rPr>
        <w:t>the Commission</w:t>
      </w:r>
      <w:r>
        <w:rPr>
          <w:rFonts w:ascii="Arial" w:hAnsi="Arial" w:cs="Arial"/>
        </w:rPr>
        <w:t>’s</w:t>
      </w:r>
      <w:r w:rsidRPr="00086884">
        <w:rPr>
          <w:rFonts w:ascii="Arial" w:hAnsi="Arial" w:cs="Arial"/>
        </w:rPr>
        <w:t xml:space="preserve"> </w:t>
      </w:r>
      <w:r>
        <w:rPr>
          <w:rFonts w:ascii="Arial" w:hAnsi="Arial" w:cs="Arial"/>
        </w:rPr>
        <w:t xml:space="preserve">decision LC21/2018 dated 1 August 2018, the Commission determined </w:t>
      </w:r>
      <w:r w:rsidRPr="00086884">
        <w:rPr>
          <w:rFonts w:ascii="Arial" w:hAnsi="Arial" w:cs="Arial"/>
        </w:rPr>
        <w:t>that the applicant’s</w:t>
      </w:r>
      <w:r>
        <w:rPr>
          <w:rFonts w:ascii="Arial" w:hAnsi="Arial" w:cs="Arial"/>
        </w:rPr>
        <w:t>, The Hollow Beach Bar &amp; Grill Pty Ltd,</w:t>
      </w:r>
      <w:r w:rsidRPr="00086884">
        <w:rPr>
          <w:rFonts w:ascii="Arial" w:hAnsi="Arial" w:cs="Arial"/>
        </w:rPr>
        <w:t xml:space="preserve"> costs be paid</w:t>
      </w:r>
      <w:r>
        <w:rPr>
          <w:rFonts w:ascii="Arial" w:hAnsi="Arial" w:cs="Arial"/>
        </w:rPr>
        <w:t xml:space="preserve"> as follows</w:t>
      </w:r>
      <w:r w:rsidRPr="00086884">
        <w:rPr>
          <w:rFonts w:ascii="Arial" w:hAnsi="Arial" w:cs="Arial"/>
        </w:rPr>
        <w:t>:</w:t>
      </w:r>
    </w:p>
    <w:p w14:paraId="65CC85E6" w14:textId="77777777" w:rsidR="00122AEE" w:rsidRDefault="00122AEE" w:rsidP="00122AEE">
      <w:pPr>
        <w:pStyle w:val="ListParagraph"/>
        <w:numPr>
          <w:ilvl w:val="0"/>
          <w:numId w:val="14"/>
        </w:numPr>
        <w:spacing w:after="240" w:line="240" w:lineRule="auto"/>
        <w:ind w:left="1134" w:hanging="567"/>
        <w:contextualSpacing w:val="0"/>
        <w:jc w:val="both"/>
        <w:rPr>
          <w:rFonts w:ascii="Arial" w:hAnsi="Arial" w:cs="Arial"/>
        </w:rPr>
      </w:pPr>
      <w:r w:rsidRPr="00086884">
        <w:rPr>
          <w:rFonts w:ascii="Arial" w:hAnsi="Arial" w:cs="Arial"/>
        </w:rPr>
        <w:t>on a standard party/party basis from 2 December 2016 to 3 February 2017;</w:t>
      </w:r>
    </w:p>
    <w:p w14:paraId="7239C6CE" w14:textId="77777777" w:rsidR="00122AEE" w:rsidRDefault="00122AEE" w:rsidP="00122AEE">
      <w:pPr>
        <w:pStyle w:val="ListParagraph"/>
        <w:numPr>
          <w:ilvl w:val="0"/>
          <w:numId w:val="14"/>
        </w:numPr>
        <w:spacing w:after="240" w:line="240" w:lineRule="auto"/>
        <w:ind w:left="1134" w:hanging="567"/>
        <w:contextualSpacing w:val="0"/>
        <w:jc w:val="both"/>
        <w:rPr>
          <w:rFonts w:ascii="Arial" w:hAnsi="Arial" w:cs="Arial"/>
        </w:rPr>
      </w:pPr>
      <w:r w:rsidRPr="00312E13">
        <w:rPr>
          <w:rFonts w:ascii="Arial" w:hAnsi="Arial" w:cs="Arial"/>
        </w:rPr>
        <w:t>on an indemnity basis, from 3 February 2017 to 12 September 2017;</w:t>
      </w:r>
    </w:p>
    <w:p w14:paraId="2D8CCF83" w14:textId="77777777" w:rsidR="00122AEE" w:rsidRDefault="00122AEE" w:rsidP="00122AEE">
      <w:pPr>
        <w:pStyle w:val="ListParagraph"/>
        <w:numPr>
          <w:ilvl w:val="0"/>
          <w:numId w:val="14"/>
        </w:numPr>
        <w:spacing w:after="240" w:line="240" w:lineRule="auto"/>
        <w:ind w:left="1134" w:hanging="567"/>
        <w:contextualSpacing w:val="0"/>
        <w:jc w:val="both"/>
        <w:rPr>
          <w:rFonts w:ascii="Arial" w:hAnsi="Arial" w:cs="Arial"/>
        </w:rPr>
      </w:pPr>
      <w:r w:rsidRPr="00312E13">
        <w:rPr>
          <w:rFonts w:ascii="Arial" w:hAnsi="Arial" w:cs="Arial"/>
        </w:rPr>
        <w:t xml:space="preserve">on a joint and several </w:t>
      </w:r>
      <w:proofErr w:type="gramStart"/>
      <w:r w:rsidRPr="00312E13">
        <w:rPr>
          <w:rFonts w:ascii="Arial" w:hAnsi="Arial" w:cs="Arial"/>
        </w:rPr>
        <w:t>basis</w:t>
      </w:r>
      <w:proofErr w:type="gramEnd"/>
      <w:r w:rsidRPr="00312E13">
        <w:rPr>
          <w:rFonts w:ascii="Arial" w:hAnsi="Arial" w:cs="Arial"/>
        </w:rPr>
        <w:t xml:space="preserve"> by </w:t>
      </w:r>
      <w:proofErr w:type="spellStart"/>
      <w:r w:rsidRPr="00312E13">
        <w:rPr>
          <w:rFonts w:ascii="Arial" w:hAnsi="Arial" w:cs="Arial"/>
        </w:rPr>
        <w:t>Lavan</w:t>
      </w:r>
      <w:proofErr w:type="spellEnd"/>
      <w:r w:rsidRPr="00312E13">
        <w:rPr>
          <w:rFonts w:ascii="Arial" w:hAnsi="Arial" w:cs="Arial"/>
        </w:rPr>
        <w:t xml:space="preserve">, Mr Garvey and Mr </w:t>
      </w:r>
      <w:proofErr w:type="spellStart"/>
      <w:r w:rsidRPr="00312E13">
        <w:rPr>
          <w:rFonts w:ascii="Arial" w:hAnsi="Arial" w:cs="Arial"/>
        </w:rPr>
        <w:t>Coatz</w:t>
      </w:r>
      <w:proofErr w:type="spellEnd"/>
      <w:r w:rsidRPr="00312E13">
        <w:rPr>
          <w:rFonts w:ascii="Arial" w:hAnsi="Arial" w:cs="Arial"/>
        </w:rPr>
        <w:t>, as agreed between them, from 2 December 2016 to 15 May 2017 – if not agreed within four weeks of the date of this order, the Commission will determine the respective amounts to be paid; and</w:t>
      </w:r>
    </w:p>
    <w:p w14:paraId="0E01A60A" w14:textId="77777777" w:rsidR="00122AEE" w:rsidRDefault="00122AEE" w:rsidP="00122AEE">
      <w:pPr>
        <w:pStyle w:val="ListParagraph"/>
        <w:numPr>
          <w:ilvl w:val="0"/>
          <w:numId w:val="14"/>
        </w:numPr>
        <w:spacing w:after="240" w:line="240" w:lineRule="auto"/>
        <w:ind w:left="1134" w:hanging="567"/>
        <w:contextualSpacing w:val="0"/>
        <w:jc w:val="both"/>
        <w:rPr>
          <w:rFonts w:ascii="Arial" w:hAnsi="Arial" w:cs="Arial"/>
        </w:rPr>
      </w:pPr>
      <w:r w:rsidRPr="00312E13">
        <w:rPr>
          <w:rFonts w:ascii="Arial" w:hAnsi="Arial" w:cs="Arial"/>
        </w:rPr>
        <w:t xml:space="preserve">on a joint and several </w:t>
      </w:r>
      <w:proofErr w:type="gramStart"/>
      <w:r w:rsidRPr="00312E13">
        <w:rPr>
          <w:rFonts w:ascii="Arial" w:hAnsi="Arial" w:cs="Arial"/>
        </w:rPr>
        <w:t>basis</w:t>
      </w:r>
      <w:proofErr w:type="gramEnd"/>
      <w:r w:rsidRPr="00312E13">
        <w:rPr>
          <w:rFonts w:ascii="Arial" w:hAnsi="Arial" w:cs="Arial"/>
        </w:rPr>
        <w:t xml:space="preserve"> by Mr Garvey and Mr </w:t>
      </w:r>
      <w:proofErr w:type="spellStart"/>
      <w:r w:rsidRPr="00312E13">
        <w:rPr>
          <w:rFonts w:ascii="Arial" w:hAnsi="Arial" w:cs="Arial"/>
        </w:rPr>
        <w:t>Coatz</w:t>
      </w:r>
      <w:proofErr w:type="spellEnd"/>
      <w:r w:rsidRPr="00312E13">
        <w:rPr>
          <w:rFonts w:ascii="Arial" w:hAnsi="Arial" w:cs="Arial"/>
        </w:rPr>
        <w:t>, as agreed between them, from 15 May 2017 to 12 September 2017 – if not agreed within four weeks of the date of this order, the Commission will determine the respective amounts to be paid</w:t>
      </w:r>
      <w:r>
        <w:rPr>
          <w:rFonts w:ascii="Arial" w:hAnsi="Arial" w:cs="Arial"/>
        </w:rPr>
        <w:t>.</w:t>
      </w:r>
    </w:p>
    <w:p w14:paraId="704B921D" w14:textId="77777777" w:rsidR="00122AEE" w:rsidRPr="00B81146"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B81146">
        <w:rPr>
          <w:rFonts w:ascii="Arial" w:hAnsi="Arial" w:cs="Arial"/>
        </w:rPr>
        <w:t xml:space="preserve">The combined effect of the </w:t>
      </w:r>
      <w:r>
        <w:rPr>
          <w:rFonts w:ascii="Arial" w:hAnsi="Arial" w:cs="Arial"/>
        </w:rPr>
        <w:t>costs order by the Commission</w:t>
      </w:r>
      <w:r w:rsidRPr="00B81146">
        <w:rPr>
          <w:rFonts w:ascii="Arial" w:hAnsi="Arial" w:cs="Arial"/>
        </w:rPr>
        <w:t xml:space="preserve"> </w:t>
      </w:r>
      <w:r>
        <w:rPr>
          <w:rFonts w:ascii="Arial" w:hAnsi="Arial" w:cs="Arial"/>
        </w:rPr>
        <w:t>as set out in</w:t>
      </w:r>
      <w:r w:rsidRPr="00B81146">
        <w:rPr>
          <w:rFonts w:ascii="Arial" w:hAnsi="Arial" w:cs="Arial"/>
        </w:rPr>
        <w:t xml:space="preserve"> paragraph </w:t>
      </w:r>
      <w:r>
        <w:rPr>
          <w:rFonts w:ascii="Arial" w:hAnsi="Arial" w:cs="Arial"/>
        </w:rPr>
        <w:t>1</w:t>
      </w:r>
      <w:r w:rsidRPr="00B81146">
        <w:rPr>
          <w:rFonts w:ascii="Arial" w:hAnsi="Arial" w:cs="Arial"/>
        </w:rPr>
        <w:t xml:space="preserve"> </w:t>
      </w:r>
      <w:r>
        <w:rPr>
          <w:rFonts w:ascii="Arial" w:hAnsi="Arial" w:cs="Arial"/>
        </w:rPr>
        <w:t xml:space="preserve">above </w:t>
      </w:r>
      <w:r w:rsidRPr="00B81146">
        <w:rPr>
          <w:rFonts w:ascii="Arial" w:hAnsi="Arial" w:cs="Arial"/>
        </w:rPr>
        <w:t>is that the Commission needs to determine:</w:t>
      </w:r>
    </w:p>
    <w:p w14:paraId="1E31637D" w14:textId="77777777" w:rsidR="00122AEE" w:rsidRPr="00B81146" w:rsidRDefault="00122AEE" w:rsidP="00122AEE">
      <w:pPr>
        <w:pStyle w:val="ListParagraph"/>
        <w:numPr>
          <w:ilvl w:val="0"/>
          <w:numId w:val="32"/>
        </w:numPr>
        <w:spacing w:after="240" w:line="240" w:lineRule="auto"/>
        <w:ind w:left="1134" w:hanging="567"/>
        <w:contextualSpacing w:val="0"/>
        <w:jc w:val="both"/>
        <w:rPr>
          <w:rFonts w:ascii="Arial" w:hAnsi="Arial" w:cs="Arial"/>
        </w:rPr>
      </w:pPr>
      <w:r>
        <w:rPr>
          <w:rFonts w:ascii="Arial" w:hAnsi="Arial" w:cs="Arial"/>
        </w:rPr>
        <w:t>p</w:t>
      </w:r>
      <w:r w:rsidRPr="00B81146">
        <w:rPr>
          <w:rFonts w:ascii="Arial" w:hAnsi="Arial" w:cs="Arial"/>
        </w:rPr>
        <w:t>arty/party costs from 2 December 2016 to 3 February 2017;</w:t>
      </w:r>
      <w:r>
        <w:rPr>
          <w:rFonts w:ascii="Arial" w:hAnsi="Arial" w:cs="Arial"/>
        </w:rPr>
        <w:t xml:space="preserve"> and</w:t>
      </w:r>
    </w:p>
    <w:p w14:paraId="67C27D1D" w14:textId="77777777" w:rsidR="00122AEE" w:rsidRDefault="00122AEE" w:rsidP="00122AEE">
      <w:pPr>
        <w:pStyle w:val="ListParagraph"/>
        <w:numPr>
          <w:ilvl w:val="0"/>
          <w:numId w:val="32"/>
        </w:numPr>
        <w:spacing w:after="240" w:line="240" w:lineRule="auto"/>
        <w:ind w:left="1134" w:hanging="567"/>
        <w:contextualSpacing w:val="0"/>
        <w:jc w:val="both"/>
        <w:rPr>
          <w:rFonts w:ascii="Arial" w:hAnsi="Arial" w:cs="Arial"/>
        </w:rPr>
      </w:pPr>
      <w:r>
        <w:rPr>
          <w:rFonts w:ascii="Arial" w:hAnsi="Arial" w:cs="Arial"/>
        </w:rPr>
        <w:t xml:space="preserve">indemnity costs from 4 February 2017 to 15 May 2017, </w:t>
      </w:r>
    </w:p>
    <w:p w14:paraId="2B469F0C" w14:textId="77777777" w:rsidR="00122AEE" w:rsidRDefault="00122AEE" w:rsidP="00122AEE">
      <w:pPr>
        <w:spacing w:after="240" w:line="240" w:lineRule="auto"/>
        <w:ind w:left="567"/>
        <w:jc w:val="both"/>
        <w:rPr>
          <w:rFonts w:ascii="Arial" w:hAnsi="Arial" w:cs="Arial"/>
        </w:rPr>
      </w:pPr>
      <w:r w:rsidRPr="00B81146">
        <w:rPr>
          <w:rFonts w:ascii="Arial" w:hAnsi="Arial" w:cs="Arial"/>
        </w:rPr>
        <w:t xml:space="preserve">which together are payable by </w:t>
      </w:r>
      <w:proofErr w:type="spellStart"/>
      <w:r w:rsidRPr="00B81146">
        <w:rPr>
          <w:rFonts w:ascii="Arial" w:hAnsi="Arial" w:cs="Arial"/>
        </w:rPr>
        <w:t>Lavan</w:t>
      </w:r>
      <w:proofErr w:type="spellEnd"/>
      <w:r w:rsidRPr="00B81146">
        <w:rPr>
          <w:rFonts w:ascii="Arial" w:hAnsi="Arial" w:cs="Arial"/>
        </w:rPr>
        <w:t xml:space="preserve">, Mr Garvey and Mr </w:t>
      </w:r>
      <w:proofErr w:type="spellStart"/>
      <w:r w:rsidRPr="00B81146">
        <w:rPr>
          <w:rFonts w:ascii="Arial" w:hAnsi="Arial" w:cs="Arial"/>
        </w:rPr>
        <w:t>Coatz</w:t>
      </w:r>
      <w:proofErr w:type="spellEnd"/>
      <w:r w:rsidRPr="00B81146">
        <w:rPr>
          <w:rFonts w:ascii="Arial" w:hAnsi="Arial" w:cs="Arial"/>
        </w:rPr>
        <w:t xml:space="preserve"> under paragraph </w:t>
      </w:r>
      <w:r>
        <w:rPr>
          <w:rFonts w:ascii="Arial" w:hAnsi="Arial" w:cs="Arial"/>
        </w:rPr>
        <w:t>1</w:t>
      </w:r>
      <w:r w:rsidRPr="00B81146">
        <w:rPr>
          <w:rFonts w:ascii="Arial" w:hAnsi="Arial" w:cs="Arial"/>
        </w:rPr>
        <w:t xml:space="preserve">(3) above; </w:t>
      </w:r>
      <w:r>
        <w:rPr>
          <w:rFonts w:ascii="Arial" w:hAnsi="Arial" w:cs="Arial"/>
        </w:rPr>
        <w:t>and</w:t>
      </w:r>
    </w:p>
    <w:p w14:paraId="4F505D36" w14:textId="77777777" w:rsidR="00122AEE" w:rsidRPr="00B81146" w:rsidRDefault="00122AEE" w:rsidP="00122AEE">
      <w:pPr>
        <w:pStyle w:val="ListParagraph"/>
        <w:numPr>
          <w:ilvl w:val="0"/>
          <w:numId w:val="32"/>
        </w:numPr>
        <w:spacing w:after="240" w:line="240" w:lineRule="auto"/>
        <w:ind w:left="1134" w:hanging="567"/>
        <w:contextualSpacing w:val="0"/>
        <w:jc w:val="both"/>
        <w:rPr>
          <w:rFonts w:ascii="Arial" w:hAnsi="Arial" w:cs="Arial"/>
        </w:rPr>
      </w:pPr>
      <w:r>
        <w:rPr>
          <w:rFonts w:ascii="Arial" w:hAnsi="Arial" w:cs="Arial"/>
        </w:rPr>
        <w:t xml:space="preserve">indemnity costs from 16 May 2017 to 12 September 2017 which are payable by </w:t>
      </w:r>
      <w:r w:rsidRPr="00B81146">
        <w:rPr>
          <w:rFonts w:ascii="Arial" w:hAnsi="Arial" w:cs="Arial"/>
        </w:rPr>
        <w:t xml:space="preserve">Mr Garvey and Mr </w:t>
      </w:r>
      <w:proofErr w:type="spellStart"/>
      <w:r w:rsidRPr="00B81146">
        <w:rPr>
          <w:rFonts w:ascii="Arial" w:hAnsi="Arial" w:cs="Arial"/>
        </w:rPr>
        <w:t>Coatz</w:t>
      </w:r>
      <w:proofErr w:type="spellEnd"/>
      <w:r w:rsidRPr="00B81146">
        <w:rPr>
          <w:rFonts w:ascii="Arial" w:hAnsi="Arial" w:cs="Arial"/>
        </w:rPr>
        <w:t xml:space="preserve"> under paragraph </w:t>
      </w:r>
      <w:r>
        <w:rPr>
          <w:rFonts w:ascii="Arial" w:hAnsi="Arial" w:cs="Arial"/>
        </w:rPr>
        <w:t>1</w:t>
      </w:r>
      <w:r w:rsidRPr="00B81146">
        <w:rPr>
          <w:rFonts w:ascii="Arial" w:hAnsi="Arial" w:cs="Arial"/>
        </w:rPr>
        <w:t>(</w:t>
      </w:r>
      <w:r>
        <w:rPr>
          <w:rFonts w:ascii="Arial" w:hAnsi="Arial" w:cs="Arial"/>
        </w:rPr>
        <w:t>4</w:t>
      </w:r>
      <w:r w:rsidRPr="00B81146">
        <w:rPr>
          <w:rFonts w:ascii="Arial" w:hAnsi="Arial" w:cs="Arial"/>
        </w:rPr>
        <w:t>) above</w:t>
      </w:r>
      <w:r>
        <w:rPr>
          <w:rFonts w:ascii="Arial" w:hAnsi="Arial" w:cs="Arial"/>
        </w:rPr>
        <w:t>.</w:t>
      </w:r>
    </w:p>
    <w:p w14:paraId="5914AFE4" w14:textId="77777777" w:rsidR="00122AEE" w:rsidRPr="00086884"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086884">
        <w:rPr>
          <w:rFonts w:ascii="Arial" w:hAnsi="Arial" w:cs="Arial"/>
        </w:rPr>
        <w:t xml:space="preserve">The parties have failed to agree on the amount of costs to be paid to the applicant. </w:t>
      </w:r>
    </w:p>
    <w:p w14:paraId="09AC9E6A" w14:textId="77777777" w:rsidR="00122AEE" w:rsidRPr="00086884"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086884">
        <w:rPr>
          <w:rFonts w:ascii="Arial" w:hAnsi="Arial" w:cs="Arial"/>
        </w:rPr>
        <w:t xml:space="preserve">By way of written submissions dated 15 August 2018, solicitors for the </w:t>
      </w:r>
      <w:r>
        <w:rPr>
          <w:rFonts w:ascii="Arial" w:hAnsi="Arial" w:cs="Arial"/>
        </w:rPr>
        <w:t>applicant</w:t>
      </w:r>
      <w:r w:rsidRPr="00086884">
        <w:rPr>
          <w:rFonts w:ascii="Arial" w:hAnsi="Arial" w:cs="Arial"/>
        </w:rPr>
        <w:t xml:space="preserve"> have set out the </w:t>
      </w:r>
      <w:proofErr w:type="gramStart"/>
      <w:r w:rsidRPr="00086884">
        <w:rPr>
          <w:rFonts w:ascii="Arial" w:hAnsi="Arial" w:cs="Arial"/>
        </w:rPr>
        <w:t>manner in which</w:t>
      </w:r>
      <w:proofErr w:type="gramEnd"/>
      <w:r w:rsidRPr="00086884">
        <w:rPr>
          <w:rFonts w:ascii="Arial" w:hAnsi="Arial" w:cs="Arial"/>
        </w:rPr>
        <w:t xml:space="preserve"> this matter should proceed, and a </w:t>
      </w:r>
      <w:r>
        <w:rPr>
          <w:rFonts w:ascii="Arial" w:hAnsi="Arial" w:cs="Arial"/>
        </w:rPr>
        <w:t>bill of</w:t>
      </w:r>
      <w:r w:rsidRPr="00086884">
        <w:rPr>
          <w:rFonts w:ascii="Arial" w:hAnsi="Arial" w:cs="Arial"/>
        </w:rPr>
        <w:t xml:space="preserve"> costs</w:t>
      </w:r>
      <w:r>
        <w:rPr>
          <w:rFonts w:ascii="Arial" w:hAnsi="Arial" w:cs="Arial"/>
        </w:rPr>
        <w:t xml:space="preserve"> claimed</w:t>
      </w:r>
      <w:r w:rsidRPr="00086884">
        <w:rPr>
          <w:rFonts w:ascii="Arial" w:hAnsi="Arial" w:cs="Arial"/>
        </w:rPr>
        <w:t xml:space="preserve">. </w:t>
      </w:r>
    </w:p>
    <w:p w14:paraId="3E460127"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086884">
        <w:rPr>
          <w:rFonts w:ascii="Arial" w:hAnsi="Arial" w:cs="Arial"/>
        </w:rPr>
        <w:t>On 30 August 2018, the second respondent, Mr Christopher Garvey, filed his submission</w:t>
      </w:r>
      <w:r>
        <w:rPr>
          <w:rFonts w:ascii="Arial" w:hAnsi="Arial" w:cs="Arial"/>
        </w:rPr>
        <w:t>s in respect of</w:t>
      </w:r>
      <w:r w:rsidRPr="00086884">
        <w:rPr>
          <w:rFonts w:ascii="Arial" w:hAnsi="Arial" w:cs="Arial"/>
        </w:rPr>
        <w:t xml:space="preserve"> the applicant’s bill of costs.</w:t>
      </w:r>
    </w:p>
    <w:p w14:paraId="1EA71B4C" w14:textId="77777777" w:rsidR="00122AEE" w:rsidRPr="00455170"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455170">
        <w:rPr>
          <w:rFonts w:ascii="Arial" w:hAnsi="Arial" w:cs="Arial"/>
        </w:rPr>
        <w:t xml:space="preserve">On 11 September 2018, the first respondent, </w:t>
      </w:r>
      <w:proofErr w:type="spellStart"/>
      <w:r w:rsidRPr="00455170">
        <w:rPr>
          <w:rFonts w:ascii="Arial" w:hAnsi="Arial" w:cs="Arial"/>
        </w:rPr>
        <w:t>Lavan</w:t>
      </w:r>
      <w:proofErr w:type="spellEnd"/>
      <w:r w:rsidRPr="00455170">
        <w:rPr>
          <w:rFonts w:ascii="Arial" w:hAnsi="Arial" w:cs="Arial"/>
        </w:rPr>
        <w:t>, filed their responsive submission</w:t>
      </w:r>
      <w:r>
        <w:rPr>
          <w:rFonts w:ascii="Arial" w:hAnsi="Arial" w:cs="Arial"/>
        </w:rPr>
        <w:t>s</w:t>
      </w:r>
      <w:r w:rsidRPr="00455170">
        <w:rPr>
          <w:rFonts w:ascii="Arial" w:hAnsi="Arial" w:cs="Arial"/>
        </w:rPr>
        <w:t xml:space="preserve"> </w:t>
      </w:r>
      <w:r>
        <w:rPr>
          <w:rFonts w:ascii="Arial" w:hAnsi="Arial" w:cs="Arial"/>
        </w:rPr>
        <w:t xml:space="preserve">in respect of the </w:t>
      </w:r>
      <w:r w:rsidRPr="00455170">
        <w:rPr>
          <w:rFonts w:ascii="Arial" w:hAnsi="Arial" w:cs="Arial"/>
        </w:rPr>
        <w:t>applicant’s bill of costs.</w:t>
      </w:r>
    </w:p>
    <w:p w14:paraId="0BCEFC31"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On 29 January 2019, the Commission asked the applicant to provide </w:t>
      </w:r>
      <w:r w:rsidRPr="00455170">
        <w:rPr>
          <w:rFonts w:ascii="Arial" w:hAnsi="Arial" w:cs="Arial"/>
        </w:rPr>
        <w:t>further informatio</w:t>
      </w:r>
      <w:r>
        <w:rPr>
          <w:rFonts w:ascii="Arial" w:hAnsi="Arial" w:cs="Arial"/>
        </w:rPr>
        <w:t xml:space="preserve">n being a </w:t>
      </w:r>
      <w:r w:rsidRPr="00455170">
        <w:rPr>
          <w:rFonts w:ascii="Arial" w:hAnsi="Arial" w:cs="Arial"/>
        </w:rPr>
        <w:t xml:space="preserve">copy of the costs agreement between </w:t>
      </w:r>
      <w:r>
        <w:rPr>
          <w:rFonts w:ascii="Arial" w:hAnsi="Arial" w:cs="Arial"/>
        </w:rPr>
        <w:t>the applicant and its solicitors and a</w:t>
      </w:r>
      <w:r w:rsidRPr="00455170">
        <w:rPr>
          <w:rFonts w:ascii="Arial" w:hAnsi="Arial" w:cs="Arial"/>
        </w:rPr>
        <w:t xml:space="preserve">n itemised breakdown of the lump sums </w:t>
      </w:r>
      <w:r>
        <w:rPr>
          <w:rFonts w:ascii="Arial" w:hAnsi="Arial" w:cs="Arial"/>
        </w:rPr>
        <w:t xml:space="preserve">claimed </w:t>
      </w:r>
      <w:r w:rsidRPr="00455170">
        <w:rPr>
          <w:rFonts w:ascii="Arial" w:hAnsi="Arial" w:cs="Arial"/>
        </w:rPr>
        <w:t>in Schedules 1 and 2 and anything that is for more than 3 units of time in Schedule 3, claimed in the Bill of Costs</w:t>
      </w:r>
      <w:r>
        <w:rPr>
          <w:rFonts w:ascii="Arial" w:hAnsi="Arial" w:cs="Arial"/>
        </w:rPr>
        <w:t xml:space="preserve">. </w:t>
      </w:r>
    </w:p>
    <w:p w14:paraId="1EADA584"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On 4 February 2019, the applicant’s solicitors provided a letter dated 4 February 2019 enclosing the</w:t>
      </w:r>
      <w:r w:rsidRPr="00455170">
        <w:rPr>
          <w:rFonts w:ascii="Arial" w:hAnsi="Arial" w:cs="Arial"/>
        </w:rPr>
        <w:t xml:space="preserve"> </w:t>
      </w:r>
      <w:r w:rsidRPr="00086884">
        <w:rPr>
          <w:rFonts w:ascii="Arial" w:hAnsi="Arial" w:cs="Arial"/>
        </w:rPr>
        <w:t>Deed of Retrospective Costs Agreement dated 29 August 2018</w:t>
      </w:r>
      <w:r>
        <w:rPr>
          <w:rFonts w:ascii="Arial" w:hAnsi="Arial" w:cs="Arial"/>
        </w:rPr>
        <w:t xml:space="preserve"> (</w:t>
      </w:r>
      <w:r w:rsidRPr="00444013">
        <w:rPr>
          <w:rFonts w:ascii="Arial" w:hAnsi="Arial" w:cs="Arial"/>
          <w:b/>
        </w:rPr>
        <w:t>the</w:t>
      </w:r>
      <w:r>
        <w:rPr>
          <w:rFonts w:ascii="Arial" w:hAnsi="Arial" w:cs="Arial"/>
          <w:b/>
        </w:rPr>
        <w:t> </w:t>
      </w:r>
      <w:r w:rsidRPr="00444013">
        <w:rPr>
          <w:rFonts w:ascii="Arial" w:hAnsi="Arial" w:cs="Arial"/>
          <w:b/>
        </w:rPr>
        <w:t>Deed</w:t>
      </w:r>
      <w:r>
        <w:rPr>
          <w:rFonts w:ascii="Arial" w:hAnsi="Arial" w:cs="Arial"/>
        </w:rPr>
        <w:t>)</w:t>
      </w:r>
      <w:r w:rsidRPr="00086884">
        <w:rPr>
          <w:rFonts w:ascii="Arial" w:hAnsi="Arial" w:cs="Arial"/>
        </w:rPr>
        <w:t xml:space="preserve"> </w:t>
      </w:r>
      <w:r>
        <w:rPr>
          <w:rFonts w:ascii="Arial" w:hAnsi="Arial" w:cs="Arial"/>
        </w:rPr>
        <w:t xml:space="preserve">and making submission in relation to the request for itemised breakdown. </w:t>
      </w:r>
    </w:p>
    <w:p w14:paraId="06B377E6"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On 7 February 2019, </w:t>
      </w:r>
      <w:proofErr w:type="spellStart"/>
      <w:r>
        <w:rPr>
          <w:rFonts w:ascii="Arial" w:hAnsi="Arial" w:cs="Arial"/>
        </w:rPr>
        <w:t>Lavan</w:t>
      </w:r>
      <w:proofErr w:type="spellEnd"/>
      <w:r>
        <w:rPr>
          <w:rFonts w:ascii="Arial" w:hAnsi="Arial" w:cs="Arial"/>
        </w:rPr>
        <w:t xml:space="preserve"> made further submissions in relation to the Deed and the request for an itemised breakdown. </w:t>
      </w:r>
    </w:p>
    <w:p w14:paraId="2E0B55D9"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On 12 February 2019, in response to </w:t>
      </w:r>
      <w:proofErr w:type="spellStart"/>
      <w:r>
        <w:rPr>
          <w:rFonts w:ascii="Arial" w:hAnsi="Arial" w:cs="Arial"/>
        </w:rPr>
        <w:t>Lavan’s</w:t>
      </w:r>
      <w:proofErr w:type="spellEnd"/>
      <w:r>
        <w:rPr>
          <w:rFonts w:ascii="Arial" w:hAnsi="Arial" w:cs="Arial"/>
        </w:rPr>
        <w:t xml:space="preserve"> submissions on 7 February 2019, the applicant’s solicitors, made submissions regarding the validity of the Deed.</w:t>
      </w:r>
    </w:p>
    <w:p w14:paraId="03E92E84"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lastRenderedPageBreak/>
        <w:t xml:space="preserve">On 13 February 2019, in response to applicant’s submissions on 12 February 2019, </w:t>
      </w:r>
      <w:proofErr w:type="spellStart"/>
      <w:r>
        <w:rPr>
          <w:rFonts w:ascii="Arial" w:hAnsi="Arial" w:cs="Arial"/>
        </w:rPr>
        <w:t>Lavan</w:t>
      </w:r>
      <w:proofErr w:type="spellEnd"/>
      <w:r>
        <w:rPr>
          <w:rFonts w:ascii="Arial" w:hAnsi="Arial" w:cs="Arial"/>
        </w:rPr>
        <w:t xml:space="preserve"> alleged that the said submissions amounted to a waiver of legal professional privilege by the applicant. </w:t>
      </w:r>
    </w:p>
    <w:p w14:paraId="23AA38C6"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On 12 March 2019, in response to </w:t>
      </w:r>
      <w:proofErr w:type="spellStart"/>
      <w:r>
        <w:rPr>
          <w:rFonts w:ascii="Arial" w:hAnsi="Arial" w:cs="Arial"/>
        </w:rPr>
        <w:t>Lavan’s</w:t>
      </w:r>
      <w:proofErr w:type="spellEnd"/>
      <w:r>
        <w:rPr>
          <w:rFonts w:ascii="Arial" w:hAnsi="Arial" w:cs="Arial"/>
        </w:rPr>
        <w:t xml:space="preserve"> submissions on 7 February 2019 and 13 February 2019, the applicant: </w:t>
      </w:r>
    </w:p>
    <w:p w14:paraId="5450CDF5" w14:textId="77777777" w:rsidR="00122AEE" w:rsidRDefault="00122AEE" w:rsidP="00122AEE">
      <w:pPr>
        <w:pStyle w:val="ListParagraph"/>
        <w:numPr>
          <w:ilvl w:val="0"/>
          <w:numId w:val="21"/>
        </w:numPr>
        <w:spacing w:after="240" w:line="240" w:lineRule="auto"/>
        <w:ind w:left="1134" w:hanging="567"/>
        <w:contextualSpacing w:val="0"/>
        <w:jc w:val="both"/>
        <w:rPr>
          <w:rFonts w:ascii="Arial" w:hAnsi="Arial" w:cs="Arial"/>
        </w:rPr>
      </w:pPr>
      <w:r>
        <w:rPr>
          <w:rFonts w:ascii="Arial" w:hAnsi="Arial" w:cs="Arial"/>
        </w:rPr>
        <w:t xml:space="preserve">made submissions (in a letter) to the Commission regarding the potential waiver of privilege; and </w:t>
      </w:r>
    </w:p>
    <w:p w14:paraId="3AFA1B87" w14:textId="77777777" w:rsidR="00122AEE" w:rsidRDefault="00122AEE" w:rsidP="00122AEE">
      <w:pPr>
        <w:pStyle w:val="ListParagraph"/>
        <w:numPr>
          <w:ilvl w:val="0"/>
          <w:numId w:val="21"/>
        </w:numPr>
        <w:spacing w:after="240" w:line="240" w:lineRule="auto"/>
        <w:ind w:left="1134" w:hanging="567"/>
        <w:contextualSpacing w:val="0"/>
        <w:jc w:val="both"/>
        <w:rPr>
          <w:rFonts w:ascii="Arial" w:hAnsi="Arial" w:cs="Arial"/>
        </w:rPr>
      </w:pPr>
      <w:r>
        <w:rPr>
          <w:rFonts w:ascii="Arial" w:hAnsi="Arial" w:cs="Arial"/>
        </w:rPr>
        <w:t>filed further written submissions regarding the validity of the Deed.</w:t>
      </w:r>
    </w:p>
    <w:p w14:paraId="27FED69F"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On 9 April 2019, the</w:t>
      </w:r>
      <w:r w:rsidRPr="00D57921">
        <w:rPr>
          <w:rFonts w:ascii="Arial" w:hAnsi="Arial" w:cs="Arial"/>
        </w:rPr>
        <w:t xml:space="preserve"> </w:t>
      </w:r>
      <w:r w:rsidRPr="00086884">
        <w:rPr>
          <w:rFonts w:ascii="Arial" w:hAnsi="Arial" w:cs="Arial"/>
        </w:rPr>
        <w:t>second respondent, Mr Christopher Garvey,</w:t>
      </w:r>
      <w:r>
        <w:rPr>
          <w:rFonts w:ascii="Arial" w:hAnsi="Arial" w:cs="Arial"/>
        </w:rPr>
        <w:t xml:space="preserve"> filed his responsive submissions in relation to the validity of the Deed.</w:t>
      </w:r>
    </w:p>
    <w:p w14:paraId="767C5DA9" w14:textId="77777777" w:rsidR="00122AEE" w:rsidRPr="00086884"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086884">
        <w:rPr>
          <w:rFonts w:ascii="Arial" w:hAnsi="Arial" w:cs="Arial"/>
        </w:rPr>
        <w:t xml:space="preserve">The third respondent, Mr Graham </w:t>
      </w:r>
      <w:proofErr w:type="spellStart"/>
      <w:r w:rsidRPr="00086884">
        <w:rPr>
          <w:rFonts w:ascii="Arial" w:hAnsi="Arial" w:cs="Arial"/>
        </w:rPr>
        <w:t>Coatz</w:t>
      </w:r>
      <w:proofErr w:type="spellEnd"/>
      <w:r>
        <w:rPr>
          <w:rFonts w:ascii="Arial" w:hAnsi="Arial" w:cs="Arial"/>
        </w:rPr>
        <w:t>,</w:t>
      </w:r>
      <w:r w:rsidRPr="00086884">
        <w:rPr>
          <w:rFonts w:ascii="Arial" w:hAnsi="Arial" w:cs="Arial"/>
        </w:rPr>
        <w:t xml:space="preserve"> has not filed any submissions.</w:t>
      </w:r>
    </w:p>
    <w:p w14:paraId="1C221CAD"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086884">
        <w:rPr>
          <w:rFonts w:ascii="Arial" w:hAnsi="Arial" w:cs="Arial"/>
        </w:rPr>
        <w:t>The Commissio</w:t>
      </w:r>
      <w:r>
        <w:rPr>
          <w:rFonts w:ascii="Arial" w:hAnsi="Arial" w:cs="Arial"/>
        </w:rPr>
        <w:t xml:space="preserve">n has accepted to determine the quantum of the costs on the papers.  </w:t>
      </w:r>
    </w:p>
    <w:p w14:paraId="63B2CB1F"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086884">
        <w:rPr>
          <w:rFonts w:ascii="Arial" w:hAnsi="Arial" w:cs="Arial"/>
        </w:rPr>
        <w:t xml:space="preserve">The Commission </w:t>
      </w:r>
      <w:r>
        <w:rPr>
          <w:rFonts w:ascii="Arial" w:hAnsi="Arial" w:cs="Arial"/>
        </w:rPr>
        <w:t>accepts the applicant’s submissions</w:t>
      </w:r>
      <w:r w:rsidRPr="00086884">
        <w:rPr>
          <w:rFonts w:ascii="Arial" w:hAnsi="Arial" w:cs="Arial"/>
        </w:rPr>
        <w:t xml:space="preserve"> that the period of costs on a party/party basis includes 3 February 2017 and as such, it follows that the period of costs on an indemnity basis must not include the same date. Order 1(b) </w:t>
      </w:r>
      <w:r>
        <w:rPr>
          <w:rFonts w:ascii="Arial" w:hAnsi="Arial" w:cs="Arial"/>
        </w:rPr>
        <w:t>in the LC21/2018 decision should read as follows:</w:t>
      </w:r>
      <w:r w:rsidRPr="00086884">
        <w:rPr>
          <w:rFonts w:ascii="Arial" w:hAnsi="Arial" w:cs="Arial"/>
        </w:rPr>
        <w:t xml:space="preserve"> </w:t>
      </w:r>
    </w:p>
    <w:p w14:paraId="5D275FE4" w14:textId="77777777" w:rsidR="00122AEE" w:rsidRDefault="00122AEE" w:rsidP="00122AEE">
      <w:pPr>
        <w:pStyle w:val="ListParagraph"/>
        <w:spacing w:after="240" w:line="240" w:lineRule="auto"/>
        <w:ind w:left="1134"/>
        <w:contextualSpacing w:val="0"/>
        <w:jc w:val="both"/>
        <w:rPr>
          <w:rFonts w:ascii="Arial" w:hAnsi="Arial" w:cs="Arial"/>
        </w:rPr>
      </w:pPr>
      <w:r w:rsidRPr="00086884">
        <w:rPr>
          <w:rFonts w:ascii="Arial" w:hAnsi="Arial" w:cs="Arial"/>
        </w:rPr>
        <w:t>“on an indemnity basis, from</w:t>
      </w:r>
      <w:r>
        <w:rPr>
          <w:rFonts w:ascii="Arial" w:hAnsi="Arial" w:cs="Arial"/>
        </w:rPr>
        <w:t xml:space="preserve"> but not including, 3</w:t>
      </w:r>
      <w:r w:rsidRPr="00086884">
        <w:rPr>
          <w:rFonts w:ascii="Arial" w:hAnsi="Arial" w:cs="Arial"/>
        </w:rPr>
        <w:t xml:space="preserve"> February 2017 to 12 September 2017</w:t>
      </w:r>
      <w:r>
        <w:rPr>
          <w:rFonts w:ascii="Arial" w:hAnsi="Arial" w:cs="Arial"/>
        </w:rPr>
        <w:t>”</w:t>
      </w:r>
      <w:r w:rsidRPr="00086884">
        <w:rPr>
          <w:rFonts w:ascii="Arial" w:hAnsi="Arial" w:cs="Arial"/>
        </w:rPr>
        <w:t xml:space="preserve">. </w:t>
      </w:r>
    </w:p>
    <w:p w14:paraId="4A96A2CA"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The Commission notes that the period of costs payable </w:t>
      </w:r>
      <w:r w:rsidRPr="00312E13">
        <w:rPr>
          <w:rFonts w:ascii="Arial" w:hAnsi="Arial" w:cs="Arial"/>
        </w:rPr>
        <w:t xml:space="preserve">on a joint and several </w:t>
      </w:r>
      <w:proofErr w:type="gramStart"/>
      <w:r w:rsidRPr="00312E13">
        <w:rPr>
          <w:rFonts w:ascii="Arial" w:hAnsi="Arial" w:cs="Arial"/>
        </w:rPr>
        <w:t>basis</w:t>
      </w:r>
      <w:proofErr w:type="gramEnd"/>
      <w:r w:rsidRPr="00312E13">
        <w:rPr>
          <w:rFonts w:ascii="Arial" w:hAnsi="Arial" w:cs="Arial"/>
        </w:rPr>
        <w:t xml:space="preserve"> by </w:t>
      </w:r>
      <w:proofErr w:type="spellStart"/>
      <w:r>
        <w:rPr>
          <w:rFonts w:ascii="Arial" w:hAnsi="Arial" w:cs="Arial"/>
        </w:rPr>
        <w:t>Lavan</w:t>
      </w:r>
      <w:proofErr w:type="spellEnd"/>
      <w:r>
        <w:rPr>
          <w:rFonts w:ascii="Arial" w:hAnsi="Arial" w:cs="Arial"/>
        </w:rPr>
        <w:t xml:space="preserve">, </w:t>
      </w:r>
      <w:r w:rsidRPr="00312E13">
        <w:rPr>
          <w:rFonts w:ascii="Arial" w:hAnsi="Arial" w:cs="Arial"/>
        </w:rPr>
        <w:t xml:space="preserve">Mr Garvey and Mr </w:t>
      </w:r>
      <w:proofErr w:type="spellStart"/>
      <w:r w:rsidRPr="00312E13">
        <w:rPr>
          <w:rFonts w:ascii="Arial" w:hAnsi="Arial" w:cs="Arial"/>
        </w:rPr>
        <w:t>Coatz</w:t>
      </w:r>
      <w:proofErr w:type="spellEnd"/>
      <w:r>
        <w:rPr>
          <w:rFonts w:ascii="Arial" w:hAnsi="Arial" w:cs="Arial"/>
        </w:rPr>
        <w:t xml:space="preserve"> includes 15 May 2017 and as such, </w:t>
      </w:r>
      <w:r w:rsidRPr="00086884">
        <w:rPr>
          <w:rFonts w:ascii="Arial" w:hAnsi="Arial" w:cs="Arial"/>
        </w:rPr>
        <w:t>it follows that the period of costs</w:t>
      </w:r>
      <w:r w:rsidRPr="008B4977">
        <w:rPr>
          <w:rFonts w:ascii="Arial" w:hAnsi="Arial" w:cs="Arial"/>
        </w:rPr>
        <w:t xml:space="preserve"> </w:t>
      </w:r>
      <w:r>
        <w:rPr>
          <w:rFonts w:ascii="Arial" w:hAnsi="Arial" w:cs="Arial"/>
        </w:rPr>
        <w:t xml:space="preserve">payable </w:t>
      </w:r>
      <w:r w:rsidRPr="00312E13">
        <w:rPr>
          <w:rFonts w:ascii="Arial" w:hAnsi="Arial" w:cs="Arial"/>
        </w:rPr>
        <w:t xml:space="preserve">on a joint and several basis by Mr Garvey and Mr </w:t>
      </w:r>
      <w:proofErr w:type="spellStart"/>
      <w:r w:rsidRPr="00312E13">
        <w:rPr>
          <w:rFonts w:ascii="Arial" w:hAnsi="Arial" w:cs="Arial"/>
        </w:rPr>
        <w:t>Coatz</w:t>
      </w:r>
      <w:proofErr w:type="spellEnd"/>
      <w:r>
        <w:rPr>
          <w:rFonts w:ascii="Arial" w:hAnsi="Arial" w:cs="Arial"/>
        </w:rPr>
        <w:t xml:space="preserve"> </w:t>
      </w:r>
      <w:r w:rsidRPr="00086884">
        <w:rPr>
          <w:rFonts w:ascii="Arial" w:hAnsi="Arial" w:cs="Arial"/>
        </w:rPr>
        <w:t>must not include the same date</w:t>
      </w:r>
      <w:r>
        <w:rPr>
          <w:rFonts w:ascii="Arial" w:hAnsi="Arial" w:cs="Arial"/>
        </w:rPr>
        <w:t>. Accordingly, o</w:t>
      </w:r>
      <w:r w:rsidRPr="00086884">
        <w:rPr>
          <w:rFonts w:ascii="Arial" w:hAnsi="Arial" w:cs="Arial"/>
        </w:rPr>
        <w:t>rder 1(</w:t>
      </w:r>
      <w:r>
        <w:rPr>
          <w:rFonts w:ascii="Arial" w:hAnsi="Arial" w:cs="Arial"/>
        </w:rPr>
        <w:t>d</w:t>
      </w:r>
      <w:r w:rsidRPr="00086884">
        <w:rPr>
          <w:rFonts w:ascii="Arial" w:hAnsi="Arial" w:cs="Arial"/>
        </w:rPr>
        <w:t xml:space="preserve">) </w:t>
      </w:r>
      <w:r>
        <w:rPr>
          <w:rFonts w:ascii="Arial" w:hAnsi="Arial" w:cs="Arial"/>
        </w:rPr>
        <w:t>in the LC21/2018 decision should read as follows:</w:t>
      </w:r>
      <w:r w:rsidRPr="00086884">
        <w:rPr>
          <w:rFonts w:ascii="Arial" w:hAnsi="Arial" w:cs="Arial"/>
        </w:rPr>
        <w:t xml:space="preserve"> </w:t>
      </w:r>
    </w:p>
    <w:p w14:paraId="0FF00DFB" w14:textId="77777777" w:rsidR="00122AEE" w:rsidRDefault="00122AEE" w:rsidP="00122AEE">
      <w:pPr>
        <w:pStyle w:val="ListParagraph"/>
        <w:spacing w:after="240" w:line="240" w:lineRule="auto"/>
        <w:ind w:left="1134"/>
        <w:contextualSpacing w:val="0"/>
        <w:jc w:val="both"/>
        <w:rPr>
          <w:rFonts w:ascii="Arial" w:hAnsi="Arial" w:cs="Arial"/>
        </w:rPr>
      </w:pPr>
      <w:r w:rsidRPr="00086884">
        <w:rPr>
          <w:rFonts w:ascii="Arial" w:hAnsi="Arial" w:cs="Arial"/>
        </w:rPr>
        <w:t>“</w:t>
      </w:r>
      <w:r w:rsidRPr="00312E13">
        <w:rPr>
          <w:rFonts w:ascii="Arial" w:hAnsi="Arial" w:cs="Arial"/>
        </w:rPr>
        <w:t xml:space="preserve">on a joint and several </w:t>
      </w:r>
      <w:proofErr w:type="gramStart"/>
      <w:r w:rsidRPr="00312E13">
        <w:rPr>
          <w:rFonts w:ascii="Arial" w:hAnsi="Arial" w:cs="Arial"/>
        </w:rPr>
        <w:t>basis</w:t>
      </w:r>
      <w:proofErr w:type="gramEnd"/>
      <w:r w:rsidRPr="00312E13">
        <w:rPr>
          <w:rFonts w:ascii="Arial" w:hAnsi="Arial" w:cs="Arial"/>
        </w:rPr>
        <w:t xml:space="preserve"> by Mr Garvey and Mr </w:t>
      </w:r>
      <w:proofErr w:type="spellStart"/>
      <w:r w:rsidRPr="00312E13">
        <w:rPr>
          <w:rFonts w:ascii="Arial" w:hAnsi="Arial" w:cs="Arial"/>
        </w:rPr>
        <w:t>Coatz</w:t>
      </w:r>
      <w:proofErr w:type="spellEnd"/>
      <w:r w:rsidRPr="00312E13">
        <w:rPr>
          <w:rFonts w:ascii="Arial" w:hAnsi="Arial" w:cs="Arial"/>
        </w:rPr>
        <w:t xml:space="preserve">, as agreed between them, from </w:t>
      </w:r>
      <w:r>
        <w:rPr>
          <w:rFonts w:ascii="Arial" w:hAnsi="Arial" w:cs="Arial"/>
        </w:rPr>
        <w:t xml:space="preserve">but not including, </w:t>
      </w:r>
      <w:r w:rsidRPr="00312E13">
        <w:rPr>
          <w:rFonts w:ascii="Arial" w:hAnsi="Arial" w:cs="Arial"/>
        </w:rPr>
        <w:t xml:space="preserve">15 May 2017 to 12 September 2017 </w:t>
      </w:r>
      <w:r>
        <w:rPr>
          <w:rFonts w:ascii="Arial" w:hAnsi="Arial" w:cs="Arial"/>
        </w:rPr>
        <w:t>…”</w:t>
      </w:r>
      <w:r w:rsidRPr="00086884">
        <w:rPr>
          <w:rFonts w:ascii="Arial" w:hAnsi="Arial" w:cs="Arial"/>
        </w:rPr>
        <w:t xml:space="preserve">. </w:t>
      </w:r>
    </w:p>
    <w:p w14:paraId="11418349" w14:textId="77777777" w:rsidR="00472667" w:rsidRPr="00472667" w:rsidRDefault="00472667" w:rsidP="00122AEE">
      <w:pPr>
        <w:spacing w:after="240" w:line="240" w:lineRule="auto"/>
        <w:jc w:val="both"/>
        <w:rPr>
          <w:rFonts w:ascii="Arial" w:hAnsi="Arial" w:cs="Arial"/>
          <w:b/>
          <w:sz w:val="4"/>
          <w:szCs w:val="4"/>
        </w:rPr>
      </w:pPr>
    </w:p>
    <w:p w14:paraId="07550D8F" w14:textId="2286EB3A" w:rsidR="00122AEE" w:rsidRDefault="00122AEE" w:rsidP="00122AEE">
      <w:pPr>
        <w:spacing w:after="240" w:line="240" w:lineRule="auto"/>
        <w:jc w:val="both"/>
        <w:rPr>
          <w:rFonts w:ascii="Arial" w:hAnsi="Arial" w:cs="Arial"/>
          <w:b/>
        </w:rPr>
      </w:pPr>
      <w:r w:rsidRPr="00086884">
        <w:rPr>
          <w:rFonts w:ascii="Arial" w:hAnsi="Arial" w:cs="Arial"/>
          <w:b/>
        </w:rPr>
        <w:t>Submissions on behalf of Hungry Hollow</w:t>
      </w:r>
    </w:p>
    <w:p w14:paraId="64F5E357" w14:textId="77777777" w:rsidR="00122AEE" w:rsidRPr="00086884"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In the applicant’s submissions on 15 August 2018, the applicant submits</w:t>
      </w:r>
      <w:r w:rsidRPr="00086884">
        <w:rPr>
          <w:rFonts w:ascii="Arial" w:hAnsi="Arial" w:cs="Arial"/>
        </w:rPr>
        <w:t xml:space="preserve"> that the Commission should adopt the scale prescribed in the</w:t>
      </w:r>
      <w:r>
        <w:rPr>
          <w:rFonts w:ascii="Arial" w:hAnsi="Arial" w:cs="Arial"/>
          <w:i/>
        </w:rPr>
        <w:t xml:space="preserve"> </w:t>
      </w:r>
      <w:r w:rsidRPr="00086884">
        <w:rPr>
          <w:rFonts w:ascii="Arial" w:hAnsi="Arial" w:cs="Arial"/>
        </w:rPr>
        <w:t>in which the maximum allowable rates for a senior practitioner were $407 per hour. That was the determination in existence at the time of each relevant application or hearing.</w:t>
      </w:r>
    </w:p>
    <w:p w14:paraId="481F69E1"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086884">
        <w:rPr>
          <w:rFonts w:ascii="Arial" w:hAnsi="Arial" w:cs="Arial"/>
        </w:rPr>
        <w:t>In relation to the indemnity costs, the applicant submits that costs should be awarded pursuant to the Deed of Retrospective Costs Agreement dated 29 August 2018</w:t>
      </w:r>
      <w:r>
        <w:rPr>
          <w:rFonts w:ascii="Arial" w:hAnsi="Arial" w:cs="Arial"/>
        </w:rPr>
        <w:t xml:space="preserve"> (</w:t>
      </w:r>
      <w:r w:rsidRPr="00444013">
        <w:rPr>
          <w:rFonts w:ascii="Arial" w:hAnsi="Arial" w:cs="Arial"/>
          <w:b/>
        </w:rPr>
        <w:t>the Deed</w:t>
      </w:r>
      <w:r>
        <w:rPr>
          <w:rFonts w:ascii="Arial" w:hAnsi="Arial" w:cs="Arial"/>
        </w:rPr>
        <w:t>)</w:t>
      </w:r>
      <w:r w:rsidRPr="00086884">
        <w:rPr>
          <w:rFonts w:ascii="Arial" w:hAnsi="Arial" w:cs="Arial"/>
        </w:rPr>
        <w:t xml:space="preserve"> between the</w:t>
      </w:r>
      <w:r>
        <w:rPr>
          <w:rFonts w:ascii="Arial" w:hAnsi="Arial" w:cs="Arial"/>
        </w:rPr>
        <w:t xml:space="preserve"> applicant and its solicitors,</w:t>
      </w:r>
      <w:r w:rsidRPr="00086884">
        <w:rPr>
          <w:rFonts w:ascii="Arial" w:hAnsi="Arial" w:cs="Arial"/>
        </w:rPr>
        <w:t xml:space="preserve"> CM Legal Pty Ltd</w:t>
      </w:r>
      <w:r>
        <w:rPr>
          <w:rFonts w:ascii="Arial" w:hAnsi="Arial" w:cs="Arial"/>
        </w:rPr>
        <w:t xml:space="preserve"> (</w:t>
      </w:r>
      <w:r w:rsidRPr="00086884">
        <w:rPr>
          <w:rFonts w:ascii="Arial" w:hAnsi="Arial" w:cs="Arial"/>
        </w:rPr>
        <w:t>Cullen McLeod Lawyers</w:t>
      </w:r>
      <w:r>
        <w:rPr>
          <w:rFonts w:ascii="Arial" w:hAnsi="Arial" w:cs="Arial"/>
        </w:rPr>
        <w:t>)</w:t>
      </w:r>
      <w:r w:rsidRPr="00086884">
        <w:rPr>
          <w:rFonts w:ascii="Arial" w:hAnsi="Arial" w:cs="Arial"/>
        </w:rPr>
        <w:t xml:space="preserve">. </w:t>
      </w:r>
    </w:p>
    <w:p w14:paraId="782DBE71"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bookmarkStart w:id="0" w:name="_Hlk9341270"/>
      <w:r w:rsidRPr="00AF4307">
        <w:rPr>
          <w:rFonts w:ascii="Arial" w:hAnsi="Arial" w:cs="Arial"/>
        </w:rPr>
        <w:t>The applicant submitted a bill of costs dated 15 August 2018 for assessment which claims the sum</w:t>
      </w:r>
      <w:r>
        <w:rPr>
          <w:rFonts w:ascii="Arial" w:hAnsi="Arial" w:cs="Arial"/>
        </w:rPr>
        <w:t xml:space="preserve"> of</w:t>
      </w:r>
      <w:r w:rsidRPr="00AF4307">
        <w:rPr>
          <w:rFonts w:ascii="Arial" w:hAnsi="Arial" w:cs="Arial"/>
        </w:rPr>
        <w:t xml:space="preserve"> $51,790.62 plus GST </w:t>
      </w:r>
      <w:r>
        <w:rPr>
          <w:rFonts w:ascii="Arial" w:hAnsi="Arial" w:cs="Arial"/>
        </w:rPr>
        <w:t>which is comprised of the following</w:t>
      </w:r>
      <w:r w:rsidRPr="00AF4307">
        <w:rPr>
          <w:rFonts w:ascii="Arial" w:hAnsi="Arial" w:cs="Arial"/>
        </w:rPr>
        <w:t>:</w:t>
      </w:r>
      <w:r>
        <w:rPr>
          <w:rFonts w:ascii="Arial" w:hAnsi="Arial" w:cs="Arial"/>
        </w:rPr>
        <w:t xml:space="preserve"> </w:t>
      </w:r>
    </w:p>
    <w:tbl>
      <w:tblPr>
        <w:tblStyle w:val="TableGrid"/>
        <w:tblW w:w="0" w:type="auto"/>
        <w:tblInd w:w="567" w:type="dxa"/>
        <w:tblLook w:val="04A0" w:firstRow="1" w:lastRow="0" w:firstColumn="1" w:lastColumn="0" w:noHBand="0" w:noVBand="1"/>
      </w:tblPr>
      <w:tblGrid>
        <w:gridCol w:w="2113"/>
        <w:gridCol w:w="2112"/>
        <w:gridCol w:w="2112"/>
        <w:gridCol w:w="2112"/>
      </w:tblGrid>
      <w:tr w:rsidR="00122AEE" w14:paraId="13986D67" w14:textId="77777777" w:rsidTr="00270335">
        <w:tc>
          <w:tcPr>
            <w:tcW w:w="2113" w:type="dxa"/>
          </w:tcPr>
          <w:p w14:paraId="0DEFEFDD" w14:textId="77777777" w:rsidR="00122AEE" w:rsidRDefault="00122AEE" w:rsidP="00270335">
            <w:pPr>
              <w:pStyle w:val="ListParagraph"/>
              <w:spacing w:after="240"/>
              <w:ind w:left="0"/>
              <w:contextualSpacing w:val="0"/>
              <w:jc w:val="both"/>
              <w:rPr>
                <w:rFonts w:ascii="Arial" w:hAnsi="Arial" w:cs="Arial"/>
              </w:rPr>
            </w:pPr>
            <w:r w:rsidRPr="00FA48FE">
              <w:rPr>
                <w:rFonts w:ascii="Arial" w:hAnsi="Arial" w:cs="Arial"/>
              </w:rPr>
              <w:lastRenderedPageBreak/>
              <w:t>Party/Party Costs (including disbursements)</w:t>
            </w:r>
          </w:p>
        </w:tc>
        <w:tc>
          <w:tcPr>
            <w:tcW w:w="2112" w:type="dxa"/>
          </w:tcPr>
          <w:p w14:paraId="48D199AC" w14:textId="77777777" w:rsidR="00122AEE" w:rsidRDefault="00122AEE" w:rsidP="00270335">
            <w:pPr>
              <w:pStyle w:val="ListParagraph"/>
              <w:spacing w:after="240"/>
              <w:ind w:left="0"/>
              <w:contextualSpacing w:val="0"/>
              <w:jc w:val="both"/>
              <w:rPr>
                <w:rFonts w:ascii="Arial" w:hAnsi="Arial" w:cs="Arial"/>
              </w:rPr>
            </w:pPr>
            <w:r w:rsidRPr="00FA48FE">
              <w:rPr>
                <w:rFonts w:ascii="Arial" w:hAnsi="Arial" w:cs="Arial"/>
              </w:rPr>
              <w:t>Schedule 1 and 2 of Bill of Costs</w:t>
            </w:r>
          </w:p>
        </w:tc>
        <w:tc>
          <w:tcPr>
            <w:tcW w:w="2112" w:type="dxa"/>
          </w:tcPr>
          <w:p w14:paraId="2C0131A7" w14:textId="77777777" w:rsidR="00122AEE" w:rsidRDefault="00122AEE" w:rsidP="00270335">
            <w:pPr>
              <w:pStyle w:val="ListParagraph"/>
              <w:spacing w:after="240"/>
              <w:ind w:left="0"/>
              <w:contextualSpacing w:val="0"/>
              <w:jc w:val="both"/>
              <w:rPr>
                <w:rFonts w:ascii="Arial" w:hAnsi="Arial" w:cs="Arial"/>
              </w:rPr>
            </w:pPr>
            <w:r w:rsidRPr="00FA48FE">
              <w:rPr>
                <w:rFonts w:ascii="Arial" w:hAnsi="Arial" w:cs="Arial"/>
              </w:rPr>
              <w:t>Preparation of applicant’s submissions and preparation of case for hearing</w:t>
            </w:r>
          </w:p>
        </w:tc>
        <w:tc>
          <w:tcPr>
            <w:tcW w:w="2112" w:type="dxa"/>
          </w:tcPr>
          <w:p w14:paraId="44DAA929" w14:textId="77777777" w:rsidR="00122AEE" w:rsidRDefault="00122AEE" w:rsidP="00270335">
            <w:pPr>
              <w:pStyle w:val="ListParagraph"/>
              <w:spacing w:after="240"/>
              <w:ind w:left="0"/>
              <w:contextualSpacing w:val="0"/>
              <w:jc w:val="both"/>
              <w:rPr>
                <w:rFonts w:ascii="Arial" w:hAnsi="Arial" w:cs="Arial"/>
              </w:rPr>
            </w:pPr>
            <w:r w:rsidRPr="00FA48FE">
              <w:rPr>
                <w:rFonts w:ascii="Arial" w:hAnsi="Arial" w:cs="Arial"/>
              </w:rPr>
              <w:t>$3,642.08</w:t>
            </w:r>
          </w:p>
        </w:tc>
      </w:tr>
      <w:tr w:rsidR="00122AEE" w14:paraId="6BFE10FB" w14:textId="77777777" w:rsidTr="00270335">
        <w:tc>
          <w:tcPr>
            <w:tcW w:w="2113" w:type="dxa"/>
          </w:tcPr>
          <w:p w14:paraId="59A9C449" w14:textId="77777777" w:rsidR="00122AEE" w:rsidRDefault="00122AEE" w:rsidP="00270335">
            <w:pPr>
              <w:pStyle w:val="ListParagraph"/>
              <w:spacing w:after="240"/>
              <w:ind w:left="0"/>
              <w:contextualSpacing w:val="0"/>
              <w:jc w:val="both"/>
              <w:rPr>
                <w:rFonts w:ascii="Arial" w:hAnsi="Arial" w:cs="Arial"/>
              </w:rPr>
            </w:pPr>
            <w:r w:rsidRPr="00FA48FE">
              <w:rPr>
                <w:rFonts w:ascii="Arial" w:hAnsi="Arial" w:cs="Arial"/>
              </w:rPr>
              <w:t>Indemnity costs</w:t>
            </w:r>
          </w:p>
        </w:tc>
        <w:tc>
          <w:tcPr>
            <w:tcW w:w="2112" w:type="dxa"/>
          </w:tcPr>
          <w:p w14:paraId="60DC0361" w14:textId="77777777" w:rsidR="00122AEE" w:rsidRDefault="00122AEE" w:rsidP="00270335">
            <w:pPr>
              <w:pStyle w:val="ListParagraph"/>
              <w:spacing w:after="240"/>
              <w:ind w:left="0"/>
              <w:contextualSpacing w:val="0"/>
              <w:jc w:val="both"/>
              <w:rPr>
                <w:rFonts w:ascii="Arial" w:hAnsi="Arial" w:cs="Arial"/>
              </w:rPr>
            </w:pPr>
            <w:r w:rsidRPr="00FA48FE">
              <w:rPr>
                <w:rFonts w:ascii="Arial" w:hAnsi="Arial" w:cs="Arial"/>
              </w:rPr>
              <w:t>Schedule 3</w:t>
            </w:r>
            <w:r>
              <w:rPr>
                <w:rFonts w:ascii="Arial" w:hAnsi="Arial" w:cs="Arial"/>
              </w:rPr>
              <w:t xml:space="preserve"> </w:t>
            </w:r>
            <w:r w:rsidRPr="00FA48FE">
              <w:rPr>
                <w:rFonts w:ascii="Arial" w:hAnsi="Arial" w:cs="Arial"/>
              </w:rPr>
              <w:t>of Bill of Costs</w:t>
            </w:r>
          </w:p>
        </w:tc>
        <w:tc>
          <w:tcPr>
            <w:tcW w:w="2112" w:type="dxa"/>
          </w:tcPr>
          <w:p w14:paraId="737A786D" w14:textId="77777777" w:rsidR="00122AEE" w:rsidRDefault="00122AEE" w:rsidP="00270335">
            <w:pPr>
              <w:pStyle w:val="ListParagraph"/>
              <w:spacing w:after="240"/>
              <w:ind w:left="0"/>
              <w:contextualSpacing w:val="0"/>
              <w:jc w:val="both"/>
              <w:rPr>
                <w:rFonts w:ascii="Arial" w:hAnsi="Arial" w:cs="Arial"/>
              </w:rPr>
            </w:pPr>
            <w:r>
              <w:rPr>
                <w:rFonts w:ascii="Arial" w:hAnsi="Arial" w:cs="Arial"/>
              </w:rPr>
              <w:t>Itemised bill</w:t>
            </w:r>
          </w:p>
        </w:tc>
        <w:tc>
          <w:tcPr>
            <w:tcW w:w="2112" w:type="dxa"/>
          </w:tcPr>
          <w:p w14:paraId="3C6AE5C8" w14:textId="77777777" w:rsidR="00122AEE" w:rsidRDefault="00122AEE" w:rsidP="00270335">
            <w:pPr>
              <w:pStyle w:val="ListParagraph"/>
              <w:spacing w:after="240"/>
              <w:ind w:left="0"/>
              <w:contextualSpacing w:val="0"/>
              <w:jc w:val="both"/>
              <w:rPr>
                <w:rFonts w:ascii="Arial" w:hAnsi="Arial" w:cs="Arial"/>
              </w:rPr>
            </w:pPr>
            <w:r w:rsidRPr="00FA48FE">
              <w:rPr>
                <w:rFonts w:ascii="Arial" w:hAnsi="Arial" w:cs="Arial"/>
              </w:rPr>
              <w:t>$</w:t>
            </w:r>
            <w:r>
              <w:rPr>
                <w:rFonts w:ascii="Arial" w:hAnsi="Arial" w:cs="Arial"/>
              </w:rPr>
              <w:t>26,530.88</w:t>
            </w:r>
          </w:p>
        </w:tc>
      </w:tr>
      <w:tr w:rsidR="00122AEE" w14:paraId="6FE82124" w14:textId="77777777" w:rsidTr="00270335">
        <w:tc>
          <w:tcPr>
            <w:tcW w:w="2113" w:type="dxa"/>
          </w:tcPr>
          <w:p w14:paraId="0CDE5989" w14:textId="77777777" w:rsidR="00122AEE" w:rsidRDefault="00122AEE" w:rsidP="00270335">
            <w:pPr>
              <w:pStyle w:val="ListParagraph"/>
              <w:keepNext/>
              <w:spacing w:after="240"/>
              <w:ind w:left="0"/>
              <w:contextualSpacing w:val="0"/>
              <w:jc w:val="both"/>
              <w:rPr>
                <w:rFonts w:ascii="Arial" w:hAnsi="Arial" w:cs="Arial"/>
              </w:rPr>
            </w:pPr>
            <w:r w:rsidRPr="00FA48FE">
              <w:rPr>
                <w:rFonts w:ascii="Arial" w:hAnsi="Arial" w:cs="Arial"/>
              </w:rPr>
              <w:t>Indemnity costs</w:t>
            </w:r>
            <w:r>
              <w:rPr>
                <w:rFonts w:ascii="Arial" w:hAnsi="Arial" w:cs="Arial"/>
              </w:rPr>
              <w:t xml:space="preserve"> </w:t>
            </w:r>
          </w:p>
        </w:tc>
        <w:tc>
          <w:tcPr>
            <w:tcW w:w="2112" w:type="dxa"/>
          </w:tcPr>
          <w:p w14:paraId="491D830F" w14:textId="77777777" w:rsidR="00122AEE" w:rsidRDefault="00122AEE" w:rsidP="00270335">
            <w:pPr>
              <w:pStyle w:val="ListParagraph"/>
              <w:keepNext/>
              <w:spacing w:after="240"/>
              <w:ind w:left="0"/>
              <w:contextualSpacing w:val="0"/>
              <w:jc w:val="both"/>
              <w:rPr>
                <w:rFonts w:ascii="Arial" w:hAnsi="Arial" w:cs="Arial"/>
              </w:rPr>
            </w:pPr>
            <w:r w:rsidRPr="00FA48FE">
              <w:rPr>
                <w:rFonts w:ascii="Arial" w:hAnsi="Arial" w:cs="Arial"/>
              </w:rPr>
              <w:t xml:space="preserve">Schedule </w:t>
            </w:r>
            <w:r>
              <w:rPr>
                <w:rFonts w:ascii="Arial" w:hAnsi="Arial" w:cs="Arial"/>
              </w:rPr>
              <w:t xml:space="preserve">4 </w:t>
            </w:r>
            <w:r w:rsidRPr="00FA48FE">
              <w:rPr>
                <w:rFonts w:ascii="Arial" w:hAnsi="Arial" w:cs="Arial"/>
              </w:rPr>
              <w:t>of Bill of Costs</w:t>
            </w:r>
          </w:p>
        </w:tc>
        <w:tc>
          <w:tcPr>
            <w:tcW w:w="2112" w:type="dxa"/>
          </w:tcPr>
          <w:p w14:paraId="0C39A953" w14:textId="77777777" w:rsidR="00122AEE" w:rsidRDefault="00122AEE" w:rsidP="00270335">
            <w:pPr>
              <w:pStyle w:val="ListParagraph"/>
              <w:keepNext/>
              <w:spacing w:after="240"/>
              <w:ind w:left="0"/>
              <w:contextualSpacing w:val="0"/>
              <w:jc w:val="both"/>
              <w:rPr>
                <w:rFonts w:ascii="Arial" w:hAnsi="Arial" w:cs="Arial"/>
              </w:rPr>
            </w:pPr>
            <w:r>
              <w:rPr>
                <w:rFonts w:ascii="Arial" w:hAnsi="Arial" w:cs="Arial"/>
              </w:rPr>
              <w:t>Counsel fees and parking costs</w:t>
            </w:r>
          </w:p>
        </w:tc>
        <w:tc>
          <w:tcPr>
            <w:tcW w:w="2112" w:type="dxa"/>
          </w:tcPr>
          <w:p w14:paraId="1B218496" w14:textId="77777777" w:rsidR="00122AEE" w:rsidRDefault="00122AEE" w:rsidP="00270335">
            <w:pPr>
              <w:pStyle w:val="ListParagraph"/>
              <w:keepNext/>
              <w:spacing w:after="240"/>
              <w:ind w:left="0"/>
              <w:contextualSpacing w:val="0"/>
              <w:jc w:val="both"/>
              <w:rPr>
                <w:rFonts w:ascii="Arial" w:hAnsi="Arial" w:cs="Arial"/>
              </w:rPr>
            </w:pPr>
            <w:r>
              <w:rPr>
                <w:rFonts w:ascii="Arial" w:hAnsi="Arial" w:cs="Arial"/>
              </w:rPr>
              <w:t>$19,517.66</w:t>
            </w:r>
          </w:p>
        </w:tc>
      </w:tr>
      <w:tr w:rsidR="00122AEE" w14:paraId="65ACF7D4" w14:textId="77777777" w:rsidTr="00270335">
        <w:tc>
          <w:tcPr>
            <w:tcW w:w="2113" w:type="dxa"/>
          </w:tcPr>
          <w:p w14:paraId="374C5A30" w14:textId="77777777" w:rsidR="00122AEE" w:rsidRPr="00FA48FE" w:rsidRDefault="00122AEE" w:rsidP="00270335">
            <w:pPr>
              <w:pStyle w:val="ListParagraph"/>
              <w:spacing w:after="240"/>
              <w:ind w:left="0"/>
              <w:contextualSpacing w:val="0"/>
              <w:jc w:val="both"/>
              <w:rPr>
                <w:rFonts w:ascii="Arial" w:hAnsi="Arial" w:cs="Arial"/>
              </w:rPr>
            </w:pPr>
          </w:p>
        </w:tc>
        <w:tc>
          <w:tcPr>
            <w:tcW w:w="2112" w:type="dxa"/>
          </w:tcPr>
          <w:p w14:paraId="072CC3E0" w14:textId="77777777" w:rsidR="00122AEE" w:rsidRPr="00FA48FE" w:rsidRDefault="00122AEE" w:rsidP="00270335">
            <w:pPr>
              <w:pStyle w:val="ListParagraph"/>
              <w:spacing w:after="240"/>
              <w:ind w:left="0"/>
              <w:contextualSpacing w:val="0"/>
              <w:jc w:val="both"/>
              <w:rPr>
                <w:rFonts w:ascii="Arial" w:hAnsi="Arial" w:cs="Arial"/>
              </w:rPr>
            </w:pPr>
          </w:p>
        </w:tc>
        <w:tc>
          <w:tcPr>
            <w:tcW w:w="2112" w:type="dxa"/>
          </w:tcPr>
          <w:p w14:paraId="5B631315" w14:textId="77777777" w:rsidR="00122AEE" w:rsidRDefault="00122AEE" w:rsidP="00270335">
            <w:pPr>
              <w:pStyle w:val="ListParagraph"/>
              <w:spacing w:after="240"/>
              <w:ind w:left="0"/>
              <w:contextualSpacing w:val="0"/>
              <w:jc w:val="both"/>
              <w:rPr>
                <w:rFonts w:ascii="Arial" w:hAnsi="Arial" w:cs="Arial"/>
              </w:rPr>
            </w:pPr>
            <w:r>
              <w:rPr>
                <w:rFonts w:ascii="Arial" w:hAnsi="Arial" w:cs="Arial"/>
              </w:rPr>
              <w:t>Drawing of Bill of Costs and service</w:t>
            </w:r>
          </w:p>
        </w:tc>
        <w:tc>
          <w:tcPr>
            <w:tcW w:w="2112" w:type="dxa"/>
          </w:tcPr>
          <w:p w14:paraId="02DFFB01" w14:textId="77777777" w:rsidR="00122AEE" w:rsidRDefault="00122AEE" w:rsidP="00270335">
            <w:pPr>
              <w:pStyle w:val="ListParagraph"/>
              <w:spacing w:after="240"/>
              <w:ind w:left="0"/>
              <w:contextualSpacing w:val="0"/>
              <w:jc w:val="both"/>
              <w:rPr>
                <w:rFonts w:ascii="Arial" w:hAnsi="Arial" w:cs="Arial"/>
              </w:rPr>
            </w:pPr>
            <w:r>
              <w:rPr>
                <w:rFonts w:ascii="Arial" w:hAnsi="Arial" w:cs="Arial"/>
              </w:rPr>
              <w:t>$2,100</w:t>
            </w:r>
          </w:p>
        </w:tc>
      </w:tr>
      <w:tr w:rsidR="00122AEE" w14:paraId="6C195854" w14:textId="77777777" w:rsidTr="00270335">
        <w:tc>
          <w:tcPr>
            <w:tcW w:w="2113" w:type="dxa"/>
          </w:tcPr>
          <w:p w14:paraId="37AC6F23" w14:textId="77777777" w:rsidR="00122AEE" w:rsidRPr="00FA48FE" w:rsidRDefault="00122AEE" w:rsidP="00270335">
            <w:pPr>
              <w:pStyle w:val="ListParagraph"/>
              <w:spacing w:after="240"/>
              <w:ind w:left="0"/>
              <w:contextualSpacing w:val="0"/>
              <w:jc w:val="both"/>
              <w:rPr>
                <w:rFonts w:ascii="Arial" w:hAnsi="Arial" w:cs="Arial"/>
              </w:rPr>
            </w:pPr>
            <w:r w:rsidRPr="00FA48FE">
              <w:rPr>
                <w:rFonts w:ascii="Arial" w:hAnsi="Arial" w:cs="Arial"/>
                <w:b/>
              </w:rPr>
              <w:t>Total</w:t>
            </w:r>
          </w:p>
        </w:tc>
        <w:tc>
          <w:tcPr>
            <w:tcW w:w="2112" w:type="dxa"/>
          </w:tcPr>
          <w:p w14:paraId="6D306A81" w14:textId="77777777" w:rsidR="00122AEE" w:rsidRPr="00FA48FE" w:rsidRDefault="00122AEE" w:rsidP="00270335">
            <w:pPr>
              <w:pStyle w:val="ListParagraph"/>
              <w:spacing w:after="240"/>
              <w:ind w:left="0"/>
              <w:contextualSpacing w:val="0"/>
              <w:jc w:val="both"/>
              <w:rPr>
                <w:rFonts w:ascii="Arial" w:hAnsi="Arial" w:cs="Arial"/>
              </w:rPr>
            </w:pPr>
          </w:p>
        </w:tc>
        <w:tc>
          <w:tcPr>
            <w:tcW w:w="2112" w:type="dxa"/>
          </w:tcPr>
          <w:p w14:paraId="7572BA11" w14:textId="77777777" w:rsidR="00122AEE" w:rsidRDefault="00122AEE" w:rsidP="00270335">
            <w:pPr>
              <w:pStyle w:val="ListParagraph"/>
              <w:spacing w:after="240"/>
              <w:ind w:left="0"/>
              <w:contextualSpacing w:val="0"/>
              <w:jc w:val="both"/>
              <w:rPr>
                <w:rFonts w:ascii="Arial" w:hAnsi="Arial" w:cs="Arial"/>
              </w:rPr>
            </w:pPr>
          </w:p>
        </w:tc>
        <w:tc>
          <w:tcPr>
            <w:tcW w:w="2112" w:type="dxa"/>
          </w:tcPr>
          <w:p w14:paraId="4D590AE5" w14:textId="77777777" w:rsidR="00122AEE" w:rsidRDefault="00122AEE" w:rsidP="00270335">
            <w:pPr>
              <w:pStyle w:val="ListParagraph"/>
              <w:ind w:left="0"/>
              <w:contextualSpacing w:val="0"/>
              <w:jc w:val="both"/>
              <w:rPr>
                <w:rFonts w:ascii="Arial" w:hAnsi="Arial" w:cs="Arial"/>
                <w:b/>
              </w:rPr>
            </w:pPr>
            <w:r>
              <w:rPr>
                <w:rFonts w:ascii="Arial" w:hAnsi="Arial" w:cs="Arial"/>
                <w:b/>
              </w:rPr>
              <w:t>$</w:t>
            </w:r>
            <w:r w:rsidRPr="00FA48FE">
              <w:rPr>
                <w:rFonts w:ascii="Arial" w:hAnsi="Arial" w:cs="Arial"/>
                <w:b/>
              </w:rPr>
              <w:t>51,790.62</w:t>
            </w:r>
            <w:r>
              <w:rPr>
                <w:rFonts w:ascii="Arial" w:hAnsi="Arial" w:cs="Arial"/>
                <w:b/>
              </w:rPr>
              <w:t xml:space="preserve"> </w:t>
            </w:r>
          </w:p>
          <w:p w14:paraId="6C03E29B" w14:textId="77777777" w:rsidR="00122AEE" w:rsidRDefault="00122AEE" w:rsidP="00270335">
            <w:pPr>
              <w:pStyle w:val="ListParagraph"/>
              <w:spacing w:after="240"/>
              <w:ind w:left="0"/>
              <w:contextualSpacing w:val="0"/>
              <w:jc w:val="both"/>
              <w:rPr>
                <w:rFonts w:ascii="Arial" w:hAnsi="Arial" w:cs="Arial"/>
              </w:rPr>
            </w:pPr>
            <w:r>
              <w:rPr>
                <w:rFonts w:ascii="Arial" w:hAnsi="Arial" w:cs="Arial"/>
                <w:b/>
              </w:rPr>
              <w:t>(</w:t>
            </w:r>
            <w:proofErr w:type="gramStart"/>
            <w:r>
              <w:rPr>
                <w:rFonts w:ascii="Arial" w:hAnsi="Arial" w:cs="Arial"/>
                <w:b/>
              </w:rPr>
              <w:t>plus</w:t>
            </w:r>
            <w:proofErr w:type="gramEnd"/>
            <w:r>
              <w:rPr>
                <w:rFonts w:ascii="Arial" w:hAnsi="Arial" w:cs="Arial"/>
                <w:b/>
              </w:rPr>
              <w:t xml:space="preserve"> GST)</w:t>
            </w:r>
          </w:p>
        </w:tc>
      </w:tr>
      <w:tr w:rsidR="00122AEE" w14:paraId="3BDC7931" w14:textId="77777777" w:rsidTr="00270335">
        <w:tc>
          <w:tcPr>
            <w:tcW w:w="2113" w:type="dxa"/>
          </w:tcPr>
          <w:p w14:paraId="235E90D1" w14:textId="77777777" w:rsidR="00122AEE" w:rsidRPr="00FA48FE" w:rsidRDefault="00122AEE" w:rsidP="00270335">
            <w:pPr>
              <w:pStyle w:val="ListParagraph"/>
              <w:spacing w:after="240"/>
              <w:ind w:left="0"/>
              <w:contextualSpacing w:val="0"/>
              <w:jc w:val="both"/>
              <w:rPr>
                <w:rFonts w:ascii="Arial" w:hAnsi="Arial" w:cs="Arial"/>
                <w:b/>
              </w:rPr>
            </w:pPr>
            <w:r w:rsidRPr="00FA48FE">
              <w:rPr>
                <w:rFonts w:ascii="Arial" w:hAnsi="Arial" w:cs="Arial"/>
                <w:b/>
              </w:rPr>
              <w:t>Total</w:t>
            </w:r>
          </w:p>
        </w:tc>
        <w:tc>
          <w:tcPr>
            <w:tcW w:w="2112" w:type="dxa"/>
          </w:tcPr>
          <w:p w14:paraId="7DE676F7" w14:textId="77777777" w:rsidR="00122AEE" w:rsidRPr="00FA48FE" w:rsidRDefault="00122AEE" w:rsidP="00270335">
            <w:pPr>
              <w:pStyle w:val="ListParagraph"/>
              <w:spacing w:after="240"/>
              <w:ind w:left="0"/>
              <w:contextualSpacing w:val="0"/>
              <w:jc w:val="both"/>
              <w:rPr>
                <w:rFonts w:ascii="Arial" w:hAnsi="Arial" w:cs="Arial"/>
              </w:rPr>
            </w:pPr>
          </w:p>
        </w:tc>
        <w:tc>
          <w:tcPr>
            <w:tcW w:w="2112" w:type="dxa"/>
          </w:tcPr>
          <w:p w14:paraId="0D6EE828" w14:textId="77777777" w:rsidR="00122AEE" w:rsidRDefault="00122AEE" w:rsidP="00270335">
            <w:pPr>
              <w:pStyle w:val="ListParagraph"/>
              <w:spacing w:after="240"/>
              <w:ind w:left="0"/>
              <w:contextualSpacing w:val="0"/>
              <w:jc w:val="both"/>
              <w:rPr>
                <w:rFonts w:ascii="Arial" w:hAnsi="Arial" w:cs="Arial"/>
              </w:rPr>
            </w:pPr>
          </w:p>
        </w:tc>
        <w:tc>
          <w:tcPr>
            <w:tcW w:w="2112" w:type="dxa"/>
          </w:tcPr>
          <w:p w14:paraId="72CCF4E9" w14:textId="77777777" w:rsidR="00122AEE" w:rsidRDefault="00122AEE" w:rsidP="00270335">
            <w:pPr>
              <w:pStyle w:val="ListParagraph"/>
              <w:spacing w:after="240"/>
              <w:ind w:left="0"/>
              <w:contextualSpacing w:val="0"/>
              <w:jc w:val="both"/>
              <w:rPr>
                <w:rFonts w:ascii="Arial" w:hAnsi="Arial" w:cs="Arial"/>
                <w:b/>
              </w:rPr>
            </w:pPr>
            <w:r>
              <w:rPr>
                <w:rFonts w:ascii="Arial" w:hAnsi="Arial" w:cs="Arial"/>
                <w:b/>
              </w:rPr>
              <w:t>$56,969.68 (inclusive of GST)</w:t>
            </w:r>
          </w:p>
        </w:tc>
      </w:tr>
    </w:tbl>
    <w:p w14:paraId="14223208" w14:textId="77777777" w:rsidR="00122AEE" w:rsidRPr="004D273A" w:rsidRDefault="00122AEE" w:rsidP="00122AEE">
      <w:pPr>
        <w:pStyle w:val="ListParagraph"/>
        <w:spacing w:after="240" w:line="240" w:lineRule="auto"/>
        <w:ind w:left="567"/>
        <w:contextualSpacing w:val="0"/>
        <w:jc w:val="both"/>
        <w:rPr>
          <w:rFonts w:ascii="Arial" w:hAnsi="Arial" w:cs="Arial"/>
        </w:rPr>
      </w:pPr>
    </w:p>
    <w:bookmarkEnd w:id="0"/>
    <w:p w14:paraId="7EE61F97"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In the applicant’s written submissions on 12 February 2019, the applicant submits that the Deed is </w:t>
      </w:r>
      <w:proofErr w:type="gramStart"/>
      <w:r>
        <w:rPr>
          <w:rFonts w:ascii="Arial" w:hAnsi="Arial" w:cs="Arial"/>
        </w:rPr>
        <w:t>valid</w:t>
      </w:r>
      <w:proofErr w:type="gramEnd"/>
      <w:r>
        <w:rPr>
          <w:rFonts w:ascii="Arial" w:hAnsi="Arial" w:cs="Arial"/>
        </w:rPr>
        <w:t xml:space="preserve"> and it was prepared based on the advice provided by Mr Fraser Robertson, a barrister and member of the Costs Committee of the Law Society of Western Australia. </w:t>
      </w:r>
    </w:p>
    <w:p w14:paraId="5D56D705"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In the applicant’s letter and written submissions on 12 March 2019, the applicant submits</w:t>
      </w:r>
      <w:r w:rsidRPr="00086884">
        <w:rPr>
          <w:rFonts w:ascii="Arial" w:hAnsi="Arial" w:cs="Arial"/>
        </w:rPr>
        <w:t xml:space="preserve"> that</w:t>
      </w:r>
      <w:r>
        <w:rPr>
          <w:rFonts w:ascii="Arial" w:hAnsi="Arial" w:cs="Arial"/>
        </w:rPr>
        <w:t xml:space="preserve">: </w:t>
      </w:r>
    </w:p>
    <w:p w14:paraId="6783BBB2" w14:textId="77777777" w:rsidR="00122AEE" w:rsidRDefault="00122AEE" w:rsidP="00122AEE">
      <w:pPr>
        <w:pStyle w:val="ListParagraph"/>
        <w:numPr>
          <w:ilvl w:val="0"/>
          <w:numId w:val="22"/>
        </w:numPr>
        <w:spacing w:after="240" w:line="240" w:lineRule="auto"/>
        <w:ind w:left="1134" w:hanging="567"/>
        <w:contextualSpacing w:val="0"/>
        <w:jc w:val="both"/>
        <w:rPr>
          <w:rFonts w:ascii="Arial" w:hAnsi="Arial" w:cs="Arial"/>
        </w:rPr>
      </w:pPr>
      <w:r>
        <w:rPr>
          <w:rFonts w:ascii="Arial" w:hAnsi="Arial" w:cs="Arial"/>
        </w:rPr>
        <w:t xml:space="preserve">the </w:t>
      </w:r>
      <w:r w:rsidRPr="004E1A7C">
        <w:rPr>
          <w:rFonts w:ascii="Arial" w:hAnsi="Arial" w:cs="Arial"/>
          <w:i/>
        </w:rPr>
        <w:t>Legal Profession Act 2008</w:t>
      </w:r>
      <w:r>
        <w:rPr>
          <w:rFonts w:ascii="Arial" w:hAnsi="Arial" w:cs="Arial"/>
        </w:rPr>
        <w:t xml:space="preserve"> (WA) does not prohibit the making of a costs agreement retrospectively; </w:t>
      </w:r>
    </w:p>
    <w:p w14:paraId="43C4968C" w14:textId="77777777" w:rsidR="00122AEE" w:rsidRDefault="00122AEE" w:rsidP="00122AEE">
      <w:pPr>
        <w:pStyle w:val="ListParagraph"/>
        <w:numPr>
          <w:ilvl w:val="0"/>
          <w:numId w:val="22"/>
        </w:numPr>
        <w:spacing w:after="240" w:line="240" w:lineRule="auto"/>
        <w:ind w:left="1134" w:hanging="567"/>
        <w:contextualSpacing w:val="0"/>
        <w:jc w:val="both"/>
        <w:rPr>
          <w:rFonts w:ascii="Arial" w:hAnsi="Arial" w:cs="Arial"/>
        </w:rPr>
      </w:pPr>
      <w:r>
        <w:rPr>
          <w:rFonts w:ascii="Arial" w:hAnsi="Arial" w:cs="Arial"/>
        </w:rPr>
        <w:t xml:space="preserve">retrospective costs agreements provide for valuable executed consideration: </w:t>
      </w:r>
      <w:r>
        <w:rPr>
          <w:rFonts w:ascii="Arial" w:hAnsi="Arial" w:cs="Arial"/>
          <w:i/>
        </w:rPr>
        <w:t xml:space="preserve">Huntingdale Village Pty Ltd (Receivers and Managers Appointed) v Corrs Chambers Westgarth (A Firm) [No 3] [2016] </w:t>
      </w:r>
      <w:r w:rsidRPr="00877BD1">
        <w:rPr>
          <w:rFonts w:ascii="Arial" w:hAnsi="Arial" w:cs="Arial"/>
        </w:rPr>
        <w:t>WASC 366</w:t>
      </w:r>
      <w:r>
        <w:rPr>
          <w:rFonts w:ascii="Arial" w:hAnsi="Arial" w:cs="Arial"/>
          <w:i/>
        </w:rPr>
        <w:t>;</w:t>
      </w:r>
    </w:p>
    <w:p w14:paraId="67D04E80" w14:textId="77777777" w:rsidR="00122AEE" w:rsidRDefault="00122AEE" w:rsidP="00122AEE">
      <w:pPr>
        <w:pStyle w:val="ListParagraph"/>
        <w:numPr>
          <w:ilvl w:val="0"/>
          <w:numId w:val="22"/>
        </w:numPr>
        <w:spacing w:after="240" w:line="240" w:lineRule="auto"/>
        <w:ind w:left="1134" w:hanging="567"/>
        <w:contextualSpacing w:val="0"/>
        <w:jc w:val="both"/>
        <w:rPr>
          <w:rFonts w:ascii="Arial" w:hAnsi="Arial" w:cs="Arial"/>
        </w:rPr>
      </w:pPr>
      <w:r>
        <w:rPr>
          <w:rFonts w:ascii="Arial" w:hAnsi="Arial" w:cs="Arial"/>
        </w:rPr>
        <w:t>in any case, the question of whether there was valid consideration does not arise as the retrospective costs agreement was executed as a Deed; and</w:t>
      </w:r>
    </w:p>
    <w:p w14:paraId="3D6075F1" w14:textId="1956300F" w:rsidR="00122AEE" w:rsidRDefault="00122AEE" w:rsidP="00122AEE">
      <w:pPr>
        <w:pStyle w:val="ListParagraph"/>
        <w:numPr>
          <w:ilvl w:val="0"/>
          <w:numId w:val="22"/>
        </w:numPr>
        <w:spacing w:after="240" w:line="240" w:lineRule="auto"/>
        <w:ind w:left="1134" w:hanging="567"/>
        <w:contextualSpacing w:val="0"/>
        <w:jc w:val="both"/>
        <w:rPr>
          <w:rFonts w:ascii="Arial" w:hAnsi="Arial" w:cs="Arial"/>
        </w:rPr>
      </w:pPr>
      <w:r>
        <w:rPr>
          <w:rFonts w:ascii="Arial" w:hAnsi="Arial" w:cs="Arial"/>
        </w:rPr>
        <w:t>the applicant merely referring to Counsels’ advice in relation to retrospective costs agreements in a generic way, with no further reference to the content of the advice, does not constitute the waiver of legal professional privilege.</w:t>
      </w:r>
    </w:p>
    <w:p w14:paraId="1A7E6D31" w14:textId="77777777" w:rsidR="00472667" w:rsidRPr="00472667" w:rsidRDefault="00472667" w:rsidP="00472667">
      <w:pPr>
        <w:pStyle w:val="ListParagraph"/>
        <w:spacing w:after="240" w:line="240" w:lineRule="auto"/>
        <w:ind w:left="1134"/>
        <w:contextualSpacing w:val="0"/>
        <w:jc w:val="both"/>
        <w:rPr>
          <w:rFonts w:ascii="Arial" w:hAnsi="Arial" w:cs="Arial"/>
          <w:sz w:val="8"/>
          <w:szCs w:val="8"/>
        </w:rPr>
      </w:pPr>
    </w:p>
    <w:p w14:paraId="3899788A" w14:textId="77777777" w:rsidR="00122AEE" w:rsidRDefault="00122AEE" w:rsidP="00122AEE">
      <w:pPr>
        <w:spacing w:after="240" w:line="240" w:lineRule="auto"/>
        <w:jc w:val="both"/>
        <w:rPr>
          <w:rFonts w:ascii="Arial" w:hAnsi="Arial" w:cs="Arial"/>
          <w:b/>
        </w:rPr>
      </w:pPr>
      <w:r w:rsidRPr="00086884">
        <w:rPr>
          <w:rFonts w:ascii="Arial" w:hAnsi="Arial" w:cs="Arial"/>
          <w:b/>
        </w:rPr>
        <w:t xml:space="preserve">Submission of behalf of Mr Christopher Garvey </w:t>
      </w:r>
    </w:p>
    <w:p w14:paraId="72B225BD"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In Mr</w:t>
      </w:r>
      <w:r w:rsidRPr="00086884">
        <w:rPr>
          <w:rFonts w:ascii="Arial" w:hAnsi="Arial" w:cs="Arial"/>
        </w:rPr>
        <w:t xml:space="preserve"> Garvey</w:t>
      </w:r>
      <w:r>
        <w:rPr>
          <w:rFonts w:ascii="Arial" w:hAnsi="Arial" w:cs="Arial"/>
        </w:rPr>
        <w:t>’s submissions</w:t>
      </w:r>
      <w:r w:rsidRPr="00086884">
        <w:rPr>
          <w:rFonts w:ascii="Arial" w:hAnsi="Arial" w:cs="Arial"/>
        </w:rPr>
        <w:t xml:space="preserve"> </w:t>
      </w:r>
      <w:r>
        <w:rPr>
          <w:rFonts w:ascii="Arial" w:hAnsi="Arial" w:cs="Arial"/>
        </w:rPr>
        <w:t>o</w:t>
      </w:r>
      <w:r w:rsidRPr="00086884">
        <w:rPr>
          <w:rFonts w:ascii="Arial" w:hAnsi="Arial" w:cs="Arial"/>
        </w:rPr>
        <w:t xml:space="preserve">n 30 August 2018, Mr Garvey’s submits that: </w:t>
      </w:r>
    </w:p>
    <w:p w14:paraId="375EBB2C" w14:textId="77777777" w:rsidR="00122AEE" w:rsidRDefault="00122AEE" w:rsidP="00122AEE">
      <w:pPr>
        <w:pStyle w:val="ListParagraph"/>
        <w:numPr>
          <w:ilvl w:val="0"/>
          <w:numId w:val="15"/>
        </w:numPr>
        <w:spacing w:after="240" w:line="240" w:lineRule="auto"/>
        <w:ind w:left="1140" w:hanging="573"/>
        <w:contextualSpacing w:val="0"/>
        <w:jc w:val="both"/>
        <w:rPr>
          <w:rFonts w:ascii="Arial" w:hAnsi="Arial" w:cs="Arial"/>
        </w:rPr>
      </w:pPr>
      <w:r w:rsidRPr="00086884">
        <w:rPr>
          <w:rFonts w:ascii="Arial" w:hAnsi="Arial" w:cs="Arial"/>
        </w:rPr>
        <w:t>In relation to the party / party costs, the work done to request delay should not be payable by the respondents</w:t>
      </w:r>
      <w:r>
        <w:rPr>
          <w:rFonts w:ascii="Arial" w:hAnsi="Arial" w:cs="Arial"/>
        </w:rPr>
        <w:t>; s</w:t>
      </w:r>
      <w:r w:rsidRPr="00086884">
        <w:rPr>
          <w:rFonts w:ascii="Arial" w:hAnsi="Arial" w:cs="Arial"/>
        </w:rPr>
        <w:t>ettling is part of the cost of the documents – not additional</w:t>
      </w:r>
      <w:r>
        <w:rPr>
          <w:rFonts w:ascii="Arial" w:hAnsi="Arial" w:cs="Arial"/>
        </w:rPr>
        <w:t>; the l</w:t>
      </w:r>
      <w:r w:rsidRPr="00086884">
        <w:rPr>
          <w:rFonts w:ascii="Arial" w:hAnsi="Arial" w:cs="Arial"/>
        </w:rPr>
        <w:t>etter to lodge and serve documents doesn’t need attention of a senior practitioner</w:t>
      </w:r>
      <w:r>
        <w:rPr>
          <w:rFonts w:ascii="Arial" w:hAnsi="Arial" w:cs="Arial"/>
        </w:rPr>
        <w:t>; and m</w:t>
      </w:r>
      <w:r w:rsidRPr="00086884">
        <w:rPr>
          <w:rFonts w:ascii="Arial" w:hAnsi="Arial" w:cs="Arial"/>
        </w:rPr>
        <w:t xml:space="preserve">ore of the services could have been performed by a junior lawyer. </w:t>
      </w:r>
    </w:p>
    <w:p w14:paraId="483F5609" w14:textId="77777777" w:rsidR="00122AEE" w:rsidRPr="00312E13" w:rsidRDefault="00122AEE" w:rsidP="00122AEE">
      <w:pPr>
        <w:pStyle w:val="ListParagraph"/>
        <w:numPr>
          <w:ilvl w:val="0"/>
          <w:numId w:val="15"/>
        </w:numPr>
        <w:spacing w:after="240" w:line="240" w:lineRule="auto"/>
        <w:ind w:left="1140" w:hanging="573"/>
        <w:contextualSpacing w:val="0"/>
        <w:jc w:val="both"/>
        <w:rPr>
          <w:rFonts w:ascii="Arial" w:hAnsi="Arial" w:cs="Arial"/>
        </w:rPr>
      </w:pPr>
      <w:r w:rsidRPr="00312E13">
        <w:rPr>
          <w:rFonts w:ascii="Arial" w:hAnsi="Arial" w:cs="Arial"/>
        </w:rPr>
        <w:lastRenderedPageBreak/>
        <w:t xml:space="preserve">In relation to the indemnity costs, there are various objections namely that: </w:t>
      </w:r>
    </w:p>
    <w:p w14:paraId="40D462F3" w14:textId="77777777" w:rsidR="00122AEE" w:rsidRPr="00086884" w:rsidRDefault="00122AEE" w:rsidP="00122AEE">
      <w:pPr>
        <w:pStyle w:val="ListParagraph"/>
        <w:numPr>
          <w:ilvl w:val="0"/>
          <w:numId w:val="8"/>
        </w:numPr>
        <w:spacing w:after="240" w:line="240" w:lineRule="auto"/>
        <w:ind w:left="1701" w:hanging="567"/>
        <w:contextualSpacing w:val="0"/>
        <w:jc w:val="both"/>
        <w:rPr>
          <w:rFonts w:ascii="Arial" w:hAnsi="Arial" w:cs="Arial"/>
        </w:rPr>
      </w:pPr>
      <w:r w:rsidRPr="00086884">
        <w:rPr>
          <w:rFonts w:ascii="Arial" w:hAnsi="Arial" w:cs="Arial"/>
        </w:rPr>
        <w:t xml:space="preserve">various costs are outside the scope of the order; </w:t>
      </w:r>
    </w:p>
    <w:p w14:paraId="2EE4C94A" w14:textId="77777777" w:rsidR="00122AEE" w:rsidRPr="00086884" w:rsidRDefault="00122AEE" w:rsidP="00122AEE">
      <w:pPr>
        <w:pStyle w:val="ListParagraph"/>
        <w:numPr>
          <w:ilvl w:val="0"/>
          <w:numId w:val="8"/>
        </w:numPr>
        <w:spacing w:after="240" w:line="240" w:lineRule="auto"/>
        <w:ind w:left="1701" w:hanging="567"/>
        <w:contextualSpacing w:val="0"/>
        <w:jc w:val="both"/>
        <w:rPr>
          <w:rFonts w:ascii="Arial" w:hAnsi="Arial" w:cs="Arial"/>
        </w:rPr>
      </w:pPr>
      <w:r w:rsidRPr="00086884">
        <w:rPr>
          <w:rFonts w:ascii="Arial" w:hAnsi="Arial" w:cs="Arial"/>
        </w:rPr>
        <w:t xml:space="preserve">that the respondent is not responsible for the specified costs; </w:t>
      </w:r>
    </w:p>
    <w:p w14:paraId="1A0ADA87" w14:textId="77777777" w:rsidR="00122AEE" w:rsidRPr="00086884" w:rsidRDefault="00122AEE" w:rsidP="00122AEE">
      <w:pPr>
        <w:pStyle w:val="ListParagraph"/>
        <w:numPr>
          <w:ilvl w:val="0"/>
          <w:numId w:val="8"/>
        </w:numPr>
        <w:spacing w:after="240" w:line="240" w:lineRule="auto"/>
        <w:ind w:left="1701" w:hanging="567"/>
        <w:contextualSpacing w:val="0"/>
        <w:jc w:val="both"/>
        <w:rPr>
          <w:rFonts w:ascii="Arial" w:hAnsi="Arial" w:cs="Arial"/>
        </w:rPr>
      </w:pPr>
      <w:r w:rsidRPr="00086884">
        <w:rPr>
          <w:rFonts w:ascii="Arial" w:hAnsi="Arial" w:cs="Arial"/>
        </w:rPr>
        <w:t xml:space="preserve">a junior rate should be applied to various items in the bill; and </w:t>
      </w:r>
    </w:p>
    <w:p w14:paraId="2D6E1AD3" w14:textId="77777777" w:rsidR="00122AEE" w:rsidRDefault="00122AEE" w:rsidP="00122AEE">
      <w:pPr>
        <w:pStyle w:val="ListParagraph"/>
        <w:numPr>
          <w:ilvl w:val="0"/>
          <w:numId w:val="8"/>
        </w:numPr>
        <w:spacing w:after="240" w:line="240" w:lineRule="auto"/>
        <w:ind w:left="1701" w:hanging="567"/>
        <w:contextualSpacing w:val="0"/>
        <w:jc w:val="both"/>
        <w:rPr>
          <w:rFonts w:ascii="Arial" w:hAnsi="Arial" w:cs="Arial"/>
        </w:rPr>
      </w:pPr>
      <w:r w:rsidRPr="00086884">
        <w:rPr>
          <w:rFonts w:ascii="Arial" w:hAnsi="Arial" w:cs="Arial"/>
        </w:rPr>
        <w:t>the applicant</w:t>
      </w:r>
      <w:r>
        <w:rPr>
          <w:rFonts w:ascii="Arial" w:hAnsi="Arial" w:cs="Arial"/>
        </w:rPr>
        <w:t xml:space="preserve"> is not entitled to</w:t>
      </w:r>
      <w:r w:rsidRPr="00086884">
        <w:rPr>
          <w:rFonts w:ascii="Arial" w:hAnsi="Arial" w:cs="Arial"/>
        </w:rPr>
        <w:t xml:space="preserve"> claim</w:t>
      </w:r>
      <w:r>
        <w:rPr>
          <w:rFonts w:ascii="Arial" w:hAnsi="Arial" w:cs="Arial"/>
        </w:rPr>
        <w:t xml:space="preserve"> </w:t>
      </w:r>
      <w:r w:rsidRPr="00086884">
        <w:rPr>
          <w:rFonts w:ascii="Arial" w:hAnsi="Arial" w:cs="Arial"/>
        </w:rPr>
        <w:t xml:space="preserve">office overheads. </w:t>
      </w:r>
    </w:p>
    <w:p w14:paraId="7407E9D0" w14:textId="7F2FBE0C"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640701">
        <w:rPr>
          <w:rFonts w:ascii="Arial" w:hAnsi="Arial" w:cs="Arial"/>
        </w:rPr>
        <w:t xml:space="preserve">In Mr Garvey’s submissions on 9 April 2019, Mr Garvey submits that the Deed should not be </w:t>
      </w:r>
      <w:proofErr w:type="gramStart"/>
      <w:r w:rsidRPr="00640701">
        <w:rPr>
          <w:rFonts w:ascii="Arial" w:hAnsi="Arial" w:cs="Arial"/>
        </w:rPr>
        <w:t>taken into account</w:t>
      </w:r>
      <w:proofErr w:type="gramEnd"/>
      <w:r w:rsidRPr="00640701">
        <w:rPr>
          <w:rFonts w:ascii="Arial" w:hAnsi="Arial" w:cs="Arial"/>
        </w:rPr>
        <w:t xml:space="preserve"> as there is no evidence that the </w:t>
      </w:r>
      <w:r>
        <w:rPr>
          <w:rFonts w:ascii="Arial" w:hAnsi="Arial" w:cs="Arial"/>
        </w:rPr>
        <w:t>D</w:t>
      </w:r>
      <w:r w:rsidRPr="00640701">
        <w:rPr>
          <w:rFonts w:ascii="Arial" w:hAnsi="Arial" w:cs="Arial"/>
        </w:rPr>
        <w:t xml:space="preserve">eed was intended to act retrospectively. </w:t>
      </w:r>
    </w:p>
    <w:p w14:paraId="659ADCFA" w14:textId="77777777" w:rsidR="00472667" w:rsidRPr="00472667" w:rsidRDefault="00472667" w:rsidP="00472667">
      <w:pPr>
        <w:pStyle w:val="ListParagraph"/>
        <w:spacing w:after="240" w:line="240" w:lineRule="auto"/>
        <w:ind w:left="567"/>
        <w:contextualSpacing w:val="0"/>
        <w:jc w:val="both"/>
        <w:rPr>
          <w:rFonts w:ascii="Arial" w:hAnsi="Arial" w:cs="Arial"/>
          <w:sz w:val="8"/>
          <w:szCs w:val="8"/>
        </w:rPr>
      </w:pPr>
      <w:bookmarkStart w:id="1" w:name="_GoBack"/>
      <w:bookmarkEnd w:id="1"/>
    </w:p>
    <w:p w14:paraId="6EA1D69B" w14:textId="77777777" w:rsidR="00122AEE" w:rsidRDefault="00122AEE" w:rsidP="00122AEE">
      <w:pPr>
        <w:spacing w:after="240" w:line="240" w:lineRule="auto"/>
        <w:jc w:val="both"/>
        <w:rPr>
          <w:rFonts w:ascii="Arial" w:hAnsi="Arial" w:cs="Arial"/>
          <w:b/>
        </w:rPr>
      </w:pPr>
      <w:r w:rsidRPr="00086884">
        <w:rPr>
          <w:rFonts w:ascii="Arial" w:hAnsi="Arial" w:cs="Arial"/>
          <w:b/>
        </w:rPr>
        <w:t xml:space="preserve">Submissions on behalf of </w:t>
      </w:r>
      <w:proofErr w:type="spellStart"/>
      <w:r w:rsidRPr="00086884">
        <w:rPr>
          <w:rFonts w:ascii="Arial" w:hAnsi="Arial" w:cs="Arial"/>
          <w:b/>
        </w:rPr>
        <w:t>Lavan</w:t>
      </w:r>
      <w:proofErr w:type="spellEnd"/>
      <w:r w:rsidRPr="00086884">
        <w:rPr>
          <w:rFonts w:ascii="Arial" w:hAnsi="Arial" w:cs="Arial"/>
          <w:b/>
        </w:rPr>
        <w:t xml:space="preserve"> </w:t>
      </w:r>
    </w:p>
    <w:p w14:paraId="51B2F6DD" w14:textId="77777777" w:rsidR="00122AEE" w:rsidRPr="00086884"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In </w:t>
      </w:r>
      <w:proofErr w:type="spellStart"/>
      <w:r>
        <w:rPr>
          <w:rFonts w:ascii="Arial" w:hAnsi="Arial" w:cs="Arial"/>
        </w:rPr>
        <w:t>Lavan’s</w:t>
      </w:r>
      <w:proofErr w:type="spellEnd"/>
      <w:r>
        <w:rPr>
          <w:rFonts w:ascii="Arial" w:hAnsi="Arial" w:cs="Arial"/>
        </w:rPr>
        <w:t xml:space="preserve"> submissions on 11 September 2018, </w:t>
      </w:r>
      <w:proofErr w:type="spellStart"/>
      <w:r w:rsidRPr="00086884">
        <w:rPr>
          <w:rFonts w:ascii="Arial" w:hAnsi="Arial" w:cs="Arial"/>
        </w:rPr>
        <w:t>Lavan</w:t>
      </w:r>
      <w:proofErr w:type="spellEnd"/>
      <w:r w:rsidRPr="00086884">
        <w:rPr>
          <w:rFonts w:ascii="Arial" w:hAnsi="Arial" w:cs="Arial"/>
        </w:rPr>
        <w:t xml:space="preserve"> adopts the submission of the second respondent and notes that: </w:t>
      </w:r>
    </w:p>
    <w:p w14:paraId="59B54E2E" w14:textId="77777777" w:rsidR="00122AEE" w:rsidRPr="00312E13" w:rsidRDefault="00122AEE" w:rsidP="00122AEE">
      <w:pPr>
        <w:spacing w:after="240" w:line="240" w:lineRule="auto"/>
        <w:ind w:left="1134" w:hanging="567"/>
        <w:jc w:val="both"/>
        <w:rPr>
          <w:rFonts w:ascii="Arial" w:hAnsi="Arial" w:cs="Arial"/>
        </w:rPr>
      </w:pPr>
      <w:r>
        <w:rPr>
          <w:rFonts w:ascii="Arial" w:hAnsi="Arial" w:cs="Arial"/>
        </w:rPr>
        <w:t>(1)</w:t>
      </w:r>
      <w:r>
        <w:rPr>
          <w:rFonts w:ascii="Arial" w:hAnsi="Arial" w:cs="Arial"/>
        </w:rPr>
        <w:tab/>
      </w:r>
      <w:r w:rsidRPr="00312E13">
        <w:rPr>
          <w:rFonts w:ascii="Arial" w:hAnsi="Arial" w:cs="Arial"/>
        </w:rPr>
        <w:t>the bill of costs and supporting accounts fail to verify the amount of time i.e. the number of hours, claimed by the applicant; and</w:t>
      </w:r>
    </w:p>
    <w:p w14:paraId="1B852902" w14:textId="77777777" w:rsidR="00122AEE" w:rsidRPr="00312E13" w:rsidRDefault="00122AEE" w:rsidP="00122AEE">
      <w:pPr>
        <w:spacing w:after="240" w:line="240" w:lineRule="auto"/>
        <w:ind w:left="1134" w:hanging="567"/>
        <w:jc w:val="both"/>
        <w:rPr>
          <w:rFonts w:ascii="Arial" w:hAnsi="Arial" w:cs="Arial"/>
        </w:rPr>
      </w:pPr>
      <w:r>
        <w:rPr>
          <w:rFonts w:ascii="Arial" w:hAnsi="Arial" w:cs="Arial"/>
        </w:rPr>
        <w:t>(2)</w:t>
      </w:r>
      <w:r>
        <w:rPr>
          <w:rFonts w:ascii="Arial" w:hAnsi="Arial" w:cs="Arial"/>
        </w:rPr>
        <w:tab/>
      </w:r>
      <w:r w:rsidRPr="00312E13">
        <w:rPr>
          <w:rFonts w:ascii="Arial" w:hAnsi="Arial" w:cs="Arial"/>
        </w:rPr>
        <w:t xml:space="preserve">all work done in relation to the Supreme and District Court matters are beyond the costs order and in any event not the responsibility of the first respondent. </w:t>
      </w:r>
    </w:p>
    <w:p w14:paraId="5E82F396"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In </w:t>
      </w:r>
      <w:proofErr w:type="spellStart"/>
      <w:r>
        <w:rPr>
          <w:rFonts w:ascii="Arial" w:hAnsi="Arial" w:cs="Arial"/>
        </w:rPr>
        <w:t>Lavan’s</w:t>
      </w:r>
      <w:proofErr w:type="spellEnd"/>
      <w:r>
        <w:rPr>
          <w:rFonts w:ascii="Arial" w:hAnsi="Arial" w:cs="Arial"/>
        </w:rPr>
        <w:t xml:space="preserve"> submissions on 7 February 2019, </w:t>
      </w:r>
      <w:proofErr w:type="spellStart"/>
      <w:r>
        <w:rPr>
          <w:rFonts w:ascii="Arial" w:hAnsi="Arial" w:cs="Arial"/>
        </w:rPr>
        <w:t>Lavan</w:t>
      </w:r>
      <w:proofErr w:type="spellEnd"/>
      <w:r>
        <w:rPr>
          <w:rFonts w:ascii="Arial" w:hAnsi="Arial" w:cs="Arial"/>
        </w:rPr>
        <w:t xml:space="preserve"> contends that:</w:t>
      </w:r>
    </w:p>
    <w:p w14:paraId="60C7B4BB" w14:textId="77777777" w:rsidR="00122AEE" w:rsidRDefault="00122AEE" w:rsidP="00122AEE">
      <w:pPr>
        <w:pStyle w:val="ListParagraph"/>
        <w:numPr>
          <w:ilvl w:val="0"/>
          <w:numId w:val="23"/>
        </w:numPr>
        <w:spacing w:after="240" w:line="240" w:lineRule="auto"/>
        <w:ind w:left="1134" w:hanging="567"/>
        <w:contextualSpacing w:val="0"/>
        <w:jc w:val="both"/>
        <w:rPr>
          <w:rFonts w:ascii="Arial" w:hAnsi="Arial" w:cs="Arial"/>
        </w:rPr>
      </w:pPr>
      <w:r>
        <w:rPr>
          <w:rFonts w:ascii="Arial" w:hAnsi="Arial" w:cs="Arial"/>
        </w:rPr>
        <w:t>the costs agreement between the applicant and the applicant’s solicitors dated 20 October 2016 does not relate to the proceedings before the Commission and its scope of works is limited to:</w:t>
      </w:r>
    </w:p>
    <w:p w14:paraId="686D51B5" w14:textId="77777777" w:rsidR="00122AEE" w:rsidRDefault="00122AEE" w:rsidP="00122AEE">
      <w:pPr>
        <w:pStyle w:val="ListParagraph"/>
        <w:numPr>
          <w:ilvl w:val="0"/>
          <w:numId w:val="24"/>
        </w:numPr>
        <w:spacing w:after="240" w:line="240" w:lineRule="auto"/>
        <w:ind w:left="1701" w:hanging="567"/>
        <w:contextualSpacing w:val="0"/>
        <w:jc w:val="both"/>
        <w:rPr>
          <w:rFonts w:ascii="Arial" w:hAnsi="Arial" w:cs="Arial"/>
        </w:rPr>
      </w:pPr>
      <w:r>
        <w:rPr>
          <w:rFonts w:ascii="Arial" w:hAnsi="Arial" w:cs="Arial"/>
        </w:rPr>
        <w:t xml:space="preserve">provide advice and assistance on the application to transfer the Hungry Hollow Tavern liquor licence to The Hollow Beach Bar and Grill Pty Ltd; </w:t>
      </w:r>
    </w:p>
    <w:p w14:paraId="44E47C8C" w14:textId="77777777" w:rsidR="00122AEE" w:rsidRDefault="00122AEE" w:rsidP="00122AEE">
      <w:pPr>
        <w:pStyle w:val="ListParagraph"/>
        <w:numPr>
          <w:ilvl w:val="0"/>
          <w:numId w:val="24"/>
        </w:numPr>
        <w:spacing w:after="240" w:line="240" w:lineRule="auto"/>
        <w:ind w:left="1701" w:hanging="567"/>
        <w:contextualSpacing w:val="0"/>
        <w:jc w:val="both"/>
        <w:rPr>
          <w:rFonts w:ascii="Arial" w:hAnsi="Arial" w:cs="Arial"/>
        </w:rPr>
      </w:pPr>
      <w:r>
        <w:rPr>
          <w:rFonts w:ascii="Arial" w:hAnsi="Arial" w:cs="Arial"/>
        </w:rPr>
        <w:t>liaise with the Licensing Authority and other parties; and</w:t>
      </w:r>
    </w:p>
    <w:p w14:paraId="0C8AE100" w14:textId="77777777" w:rsidR="00122AEE" w:rsidRPr="00086884" w:rsidRDefault="00122AEE" w:rsidP="00122AEE">
      <w:pPr>
        <w:pStyle w:val="ListParagraph"/>
        <w:numPr>
          <w:ilvl w:val="0"/>
          <w:numId w:val="24"/>
        </w:numPr>
        <w:spacing w:after="240" w:line="240" w:lineRule="auto"/>
        <w:ind w:left="1701" w:hanging="567"/>
        <w:contextualSpacing w:val="0"/>
        <w:jc w:val="both"/>
        <w:rPr>
          <w:rFonts w:ascii="Arial" w:hAnsi="Arial" w:cs="Arial"/>
        </w:rPr>
      </w:pPr>
      <w:r>
        <w:rPr>
          <w:rFonts w:ascii="Arial" w:hAnsi="Arial" w:cs="Arial"/>
        </w:rPr>
        <w:t>review, collate and advise on documents require for the application; and</w:t>
      </w:r>
    </w:p>
    <w:p w14:paraId="46E6842F" w14:textId="77777777" w:rsidR="00122AEE" w:rsidRDefault="00122AEE" w:rsidP="00122AEE">
      <w:pPr>
        <w:pStyle w:val="ListParagraph"/>
        <w:numPr>
          <w:ilvl w:val="0"/>
          <w:numId w:val="23"/>
        </w:numPr>
        <w:spacing w:after="240" w:line="240" w:lineRule="auto"/>
        <w:ind w:left="1134" w:hanging="567"/>
        <w:contextualSpacing w:val="0"/>
        <w:jc w:val="both"/>
        <w:rPr>
          <w:rFonts w:ascii="Arial" w:hAnsi="Arial" w:cs="Arial"/>
        </w:rPr>
      </w:pPr>
      <w:r>
        <w:rPr>
          <w:rFonts w:ascii="Arial" w:hAnsi="Arial" w:cs="Arial"/>
        </w:rPr>
        <w:t>the Deed is not valid.</w:t>
      </w:r>
    </w:p>
    <w:p w14:paraId="1469C7FC" w14:textId="77777777" w:rsidR="00122AEE" w:rsidRPr="005B07F7"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5B07F7">
        <w:rPr>
          <w:rFonts w:ascii="Arial" w:hAnsi="Arial" w:cs="Arial"/>
        </w:rPr>
        <w:t xml:space="preserve">In </w:t>
      </w:r>
      <w:proofErr w:type="spellStart"/>
      <w:r w:rsidRPr="005B07F7">
        <w:rPr>
          <w:rFonts w:ascii="Arial" w:hAnsi="Arial" w:cs="Arial"/>
        </w:rPr>
        <w:t>Lavan’s</w:t>
      </w:r>
      <w:proofErr w:type="spellEnd"/>
      <w:r w:rsidRPr="005B07F7">
        <w:rPr>
          <w:rFonts w:ascii="Arial" w:hAnsi="Arial" w:cs="Arial"/>
        </w:rPr>
        <w:t xml:space="preserve"> submissions on 13 February 2019, </w:t>
      </w:r>
      <w:proofErr w:type="spellStart"/>
      <w:r w:rsidRPr="005B07F7">
        <w:rPr>
          <w:rFonts w:ascii="Arial" w:hAnsi="Arial" w:cs="Arial"/>
        </w:rPr>
        <w:t>Lavan</w:t>
      </w:r>
      <w:proofErr w:type="spellEnd"/>
      <w:r w:rsidRPr="005B07F7">
        <w:rPr>
          <w:rFonts w:ascii="Arial" w:hAnsi="Arial" w:cs="Arial"/>
        </w:rPr>
        <w:t xml:space="preserve">: </w:t>
      </w:r>
    </w:p>
    <w:p w14:paraId="3929B7E8" w14:textId="77777777" w:rsidR="00122AEE" w:rsidRDefault="00122AEE" w:rsidP="00122AEE">
      <w:pPr>
        <w:pStyle w:val="ListParagraph"/>
        <w:numPr>
          <w:ilvl w:val="0"/>
          <w:numId w:val="25"/>
        </w:numPr>
        <w:spacing w:after="240" w:line="240" w:lineRule="auto"/>
        <w:ind w:left="1134" w:hanging="567"/>
        <w:contextualSpacing w:val="0"/>
        <w:jc w:val="both"/>
        <w:rPr>
          <w:rFonts w:ascii="Arial" w:hAnsi="Arial" w:cs="Arial"/>
        </w:rPr>
      </w:pPr>
      <w:r>
        <w:rPr>
          <w:rFonts w:ascii="Arial" w:hAnsi="Arial" w:cs="Arial"/>
        </w:rPr>
        <w:t>alleges that the applicant’s submissions on 12 February 2019 amounted to a waiver of legal professional privilege; and</w:t>
      </w:r>
    </w:p>
    <w:p w14:paraId="10812350" w14:textId="77777777" w:rsidR="00122AEE" w:rsidRDefault="00122AEE" w:rsidP="00122AEE">
      <w:pPr>
        <w:pStyle w:val="ListParagraph"/>
        <w:numPr>
          <w:ilvl w:val="0"/>
          <w:numId w:val="25"/>
        </w:numPr>
        <w:spacing w:after="240" w:line="240" w:lineRule="auto"/>
        <w:ind w:left="1134" w:hanging="567"/>
        <w:contextualSpacing w:val="0"/>
        <w:jc w:val="both"/>
        <w:rPr>
          <w:rFonts w:ascii="Arial" w:hAnsi="Arial" w:cs="Arial"/>
        </w:rPr>
      </w:pPr>
      <w:r>
        <w:rPr>
          <w:rFonts w:ascii="Arial" w:hAnsi="Arial" w:cs="Arial"/>
        </w:rPr>
        <w:t>requests that the applicant provide to the Commission and all parties with the applicant’s request for advice and the subsequent advice provided by Barrister Fraser Robertson in relation to retrospective cost agreements.</w:t>
      </w:r>
    </w:p>
    <w:p w14:paraId="45347A58" w14:textId="60D88476" w:rsidR="00122AEE" w:rsidRPr="00086884" w:rsidRDefault="00122AEE" w:rsidP="00122AEE">
      <w:pPr>
        <w:spacing w:after="240" w:line="240" w:lineRule="auto"/>
        <w:jc w:val="both"/>
        <w:rPr>
          <w:rFonts w:ascii="Arial" w:hAnsi="Arial" w:cs="Arial"/>
          <w:b/>
        </w:rPr>
      </w:pPr>
      <w:r w:rsidRPr="00086884">
        <w:rPr>
          <w:rFonts w:ascii="Arial" w:hAnsi="Arial" w:cs="Arial"/>
          <w:b/>
        </w:rPr>
        <w:t>De</w:t>
      </w:r>
      <w:r>
        <w:rPr>
          <w:rFonts w:ascii="Arial" w:hAnsi="Arial" w:cs="Arial"/>
          <w:b/>
        </w:rPr>
        <w:t>cision</w:t>
      </w:r>
    </w:p>
    <w:p w14:paraId="09466A59" w14:textId="77777777" w:rsidR="00122AEE" w:rsidRPr="00A2344B"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The Commission accepts the applicant’s submissions that </w:t>
      </w:r>
      <w:r w:rsidRPr="00A2344B">
        <w:rPr>
          <w:rFonts w:ascii="Arial" w:hAnsi="Arial" w:cs="Arial"/>
        </w:rPr>
        <w:t>a mere reference to the fact that advice was sought from Counsel without the outline of the advice itself does not constitute a waiver of legal professional privilege.</w:t>
      </w:r>
    </w:p>
    <w:p w14:paraId="6D6A8CC8" w14:textId="77777777" w:rsidR="00122AEE" w:rsidRPr="004D353F"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4D353F">
        <w:rPr>
          <w:rFonts w:ascii="Arial" w:hAnsi="Arial" w:cs="Arial"/>
        </w:rPr>
        <w:lastRenderedPageBreak/>
        <w:t xml:space="preserve">As was noted by His Honour McKechnie J in </w:t>
      </w:r>
      <w:proofErr w:type="spellStart"/>
      <w:r w:rsidRPr="004D353F">
        <w:rPr>
          <w:rFonts w:ascii="Arial" w:hAnsi="Arial" w:cs="Arial"/>
          <w:i/>
          <w:iCs/>
        </w:rPr>
        <w:t>Withnell</w:t>
      </w:r>
      <w:proofErr w:type="spellEnd"/>
      <w:r w:rsidRPr="004D353F">
        <w:rPr>
          <w:rFonts w:ascii="Arial" w:hAnsi="Arial" w:cs="Arial"/>
          <w:i/>
          <w:iCs/>
        </w:rPr>
        <w:t xml:space="preserve"> v The Liquor Commission </w:t>
      </w:r>
      <w:r w:rsidRPr="004D353F">
        <w:rPr>
          <w:rFonts w:ascii="Arial" w:hAnsi="Arial" w:cs="Arial"/>
        </w:rPr>
        <w:t xml:space="preserve">[2013] WASC 201, the Liquor Commission is not a Court. Accordingly, the Commission does not consider that it is appropriate for the Commission to adopt scales of rates allowable for legal costs in the District or Supreme Courts. </w:t>
      </w:r>
    </w:p>
    <w:p w14:paraId="2BA7B431" w14:textId="77777777" w:rsidR="00122AEE"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086884">
        <w:rPr>
          <w:rFonts w:ascii="Arial" w:hAnsi="Arial" w:cs="Arial"/>
        </w:rPr>
        <w:t xml:space="preserve">There is no provision in the </w:t>
      </w:r>
      <w:r w:rsidRPr="00086884">
        <w:rPr>
          <w:rFonts w:ascii="Arial" w:hAnsi="Arial" w:cs="Arial"/>
          <w:i/>
        </w:rPr>
        <w:t>Liquor Control Act 1988</w:t>
      </w:r>
      <w:r w:rsidRPr="00086884">
        <w:rPr>
          <w:rFonts w:ascii="Arial" w:hAnsi="Arial" w:cs="Arial"/>
        </w:rPr>
        <w:t xml:space="preserve">, </w:t>
      </w:r>
      <w:r w:rsidRPr="00086884">
        <w:rPr>
          <w:rFonts w:ascii="Arial" w:hAnsi="Arial" w:cs="Arial"/>
          <w:i/>
        </w:rPr>
        <w:t>Liquor Control Regulations 1989</w:t>
      </w:r>
      <w:r w:rsidRPr="00086884">
        <w:rPr>
          <w:rFonts w:ascii="Arial" w:hAnsi="Arial" w:cs="Arial"/>
        </w:rPr>
        <w:t xml:space="preserve"> or </w:t>
      </w:r>
      <w:r w:rsidRPr="00086884">
        <w:rPr>
          <w:rFonts w:ascii="Arial" w:hAnsi="Arial" w:cs="Arial"/>
          <w:i/>
        </w:rPr>
        <w:t>Liquor Commission Rules 2007</w:t>
      </w:r>
      <w:r w:rsidRPr="00086884">
        <w:rPr>
          <w:rFonts w:ascii="Arial" w:hAnsi="Arial" w:cs="Arial"/>
        </w:rPr>
        <w:t xml:space="preserve"> as to the maximum allowable rate allowable for a senior practitioner. The functions of the Commission are administrative and not judicial in nature. Accordingly, </w:t>
      </w:r>
      <w:r>
        <w:rPr>
          <w:rFonts w:ascii="Arial" w:hAnsi="Arial" w:cs="Arial"/>
        </w:rPr>
        <w:t>the Commission</w:t>
      </w:r>
      <w:r w:rsidRPr="00086884">
        <w:rPr>
          <w:rFonts w:ascii="Arial" w:hAnsi="Arial" w:cs="Arial"/>
        </w:rPr>
        <w:t xml:space="preserve"> ha</w:t>
      </w:r>
      <w:r>
        <w:rPr>
          <w:rFonts w:ascii="Arial" w:hAnsi="Arial" w:cs="Arial"/>
        </w:rPr>
        <w:t>s</w:t>
      </w:r>
      <w:r w:rsidRPr="00086884">
        <w:rPr>
          <w:rFonts w:ascii="Arial" w:hAnsi="Arial" w:cs="Arial"/>
        </w:rPr>
        <w:t xml:space="preserve"> adopted the submissions of the </w:t>
      </w:r>
      <w:r>
        <w:rPr>
          <w:rFonts w:ascii="Arial" w:hAnsi="Arial" w:cs="Arial"/>
        </w:rPr>
        <w:t>applicant</w:t>
      </w:r>
      <w:r w:rsidRPr="00086884">
        <w:rPr>
          <w:rFonts w:ascii="Arial" w:hAnsi="Arial" w:cs="Arial"/>
        </w:rPr>
        <w:t xml:space="preserve"> and will determine the issue of quantum applying the </w:t>
      </w:r>
      <w:r w:rsidRPr="00CD7EA3">
        <w:rPr>
          <w:rFonts w:ascii="Arial" w:hAnsi="Arial" w:cs="Arial"/>
          <w:i/>
        </w:rPr>
        <w:t>Legal Profession (State Administrative Tribunal) Determination 2016</w:t>
      </w:r>
      <w:r>
        <w:rPr>
          <w:rFonts w:ascii="Arial" w:hAnsi="Arial" w:cs="Arial"/>
          <w:i/>
        </w:rPr>
        <w:t xml:space="preserve"> </w:t>
      </w:r>
      <w:r>
        <w:rPr>
          <w:rFonts w:ascii="Arial" w:hAnsi="Arial" w:cs="Arial"/>
        </w:rPr>
        <w:t>(WA)</w:t>
      </w:r>
      <w:r w:rsidRPr="00086884">
        <w:rPr>
          <w:rFonts w:ascii="Arial" w:hAnsi="Arial" w:cs="Arial"/>
        </w:rPr>
        <w:t xml:space="preserve">. </w:t>
      </w:r>
    </w:p>
    <w:p w14:paraId="5BB8860E" w14:textId="77777777" w:rsidR="00122AEE" w:rsidRDefault="00122AEE" w:rsidP="00122AEE">
      <w:pPr>
        <w:pStyle w:val="ListParagraph"/>
        <w:spacing w:after="240" w:line="240" w:lineRule="auto"/>
        <w:ind w:left="567"/>
        <w:contextualSpacing w:val="0"/>
        <w:jc w:val="both"/>
        <w:rPr>
          <w:rFonts w:ascii="Arial" w:hAnsi="Arial" w:cs="Arial"/>
        </w:rPr>
      </w:pPr>
      <w:r>
        <w:rPr>
          <w:rFonts w:ascii="Arial" w:hAnsi="Arial" w:cs="Arial"/>
        </w:rPr>
        <w:t>The Commission</w:t>
      </w:r>
      <w:r w:rsidRPr="00086884">
        <w:rPr>
          <w:rFonts w:ascii="Arial" w:hAnsi="Arial" w:cs="Arial"/>
        </w:rPr>
        <w:t xml:space="preserve"> consider</w:t>
      </w:r>
      <w:r>
        <w:rPr>
          <w:rFonts w:ascii="Arial" w:hAnsi="Arial" w:cs="Arial"/>
        </w:rPr>
        <w:t>s</w:t>
      </w:r>
      <w:r w:rsidRPr="00086884">
        <w:rPr>
          <w:rFonts w:ascii="Arial" w:hAnsi="Arial" w:cs="Arial"/>
        </w:rPr>
        <w:t xml:space="preserve"> that </w:t>
      </w:r>
      <w:r>
        <w:rPr>
          <w:rFonts w:ascii="Arial" w:hAnsi="Arial" w:cs="Arial"/>
        </w:rPr>
        <w:t>it is</w:t>
      </w:r>
      <w:r w:rsidRPr="00086884">
        <w:rPr>
          <w:rFonts w:ascii="Arial" w:hAnsi="Arial" w:cs="Arial"/>
        </w:rPr>
        <w:t xml:space="preserve"> entitled to adopt such an approach having regard to the relevant matters set out in section 16 of the </w:t>
      </w:r>
      <w:r w:rsidRPr="00086884">
        <w:rPr>
          <w:rFonts w:ascii="Arial" w:hAnsi="Arial" w:cs="Arial"/>
          <w:i/>
        </w:rPr>
        <w:t>Liquor Control Act 1988</w:t>
      </w:r>
      <w:r w:rsidRPr="00086884">
        <w:rPr>
          <w:rFonts w:ascii="Arial" w:hAnsi="Arial" w:cs="Arial"/>
        </w:rPr>
        <w:t xml:space="preserve"> which include that the Commission:</w:t>
      </w:r>
    </w:p>
    <w:p w14:paraId="50FBA126" w14:textId="77777777" w:rsidR="00122AEE" w:rsidRPr="00312E13" w:rsidRDefault="00122AEE" w:rsidP="00122AEE">
      <w:pPr>
        <w:spacing w:after="240" w:line="240" w:lineRule="auto"/>
        <w:ind w:left="1134" w:hanging="567"/>
        <w:jc w:val="both"/>
        <w:rPr>
          <w:rFonts w:ascii="Arial" w:hAnsi="Arial" w:cs="Arial"/>
        </w:rPr>
      </w:pPr>
      <w:r>
        <w:rPr>
          <w:rFonts w:ascii="Arial" w:hAnsi="Arial" w:cs="Arial"/>
        </w:rPr>
        <w:t>(1)</w:t>
      </w:r>
      <w:r>
        <w:rPr>
          <w:rFonts w:ascii="Arial" w:hAnsi="Arial" w:cs="Arial"/>
        </w:rPr>
        <w:tab/>
      </w:r>
      <w:r w:rsidRPr="00312E13">
        <w:rPr>
          <w:rFonts w:ascii="Arial" w:hAnsi="Arial" w:cs="Arial"/>
        </w:rPr>
        <w:t xml:space="preserve">shall act without undue formality; and </w:t>
      </w:r>
    </w:p>
    <w:p w14:paraId="60621561" w14:textId="77777777" w:rsidR="00122AEE" w:rsidRPr="00312E13" w:rsidRDefault="00122AEE" w:rsidP="00122AEE">
      <w:pPr>
        <w:spacing w:after="240" w:line="240" w:lineRule="auto"/>
        <w:ind w:left="1134" w:hanging="567"/>
        <w:jc w:val="both"/>
        <w:rPr>
          <w:rFonts w:ascii="Arial" w:hAnsi="Arial" w:cs="Arial"/>
        </w:rPr>
      </w:pPr>
      <w:r>
        <w:rPr>
          <w:rFonts w:ascii="Arial" w:hAnsi="Arial" w:cs="Arial"/>
        </w:rPr>
        <w:t>(2)</w:t>
      </w:r>
      <w:r>
        <w:rPr>
          <w:rFonts w:ascii="Arial" w:hAnsi="Arial" w:cs="Arial"/>
        </w:rPr>
        <w:tab/>
      </w:r>
      <w:r w:rsidRPr="00312E13">
        <w:rPr>
          <w:rFonts w:ascii="Arial" w:hAnsi="Arial" w:cs="Arial"/>
        </w:rPr>
        <w:t>may consider and dismiss or determine applications and receive submissions and representations in relation to any application before it, as it thinks fit.</w:t>
      </w:r>
    </w:p>
    <w:p w14:paraId="2DDB1DA1" w14:textId="77777777" w:rsidR="00122AEE" w:rsidRPr="004D353F"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4D353F">
        <w:rPr>
          <w:rFonts w:ascii="Arial" w:hAnsi="Arial" w:cs="Arial"/>
        </w:rPr>
        <w:t>Applying the relevant determinations, being aware of the documentation referred to in the schedule of costs submitted on behalf of the applicant and having considered the submissions of both parties, the Commission allows costs as follows:</w:t>
      </w:r>
    </w:p>
    <w:p w14:paraId="4A0C78D6" w14:textId="77777777" w:rsidR="00122AEE" w:rsidRDefault="00122AEE" w:rsidP="00122AEE">
      <w:pPr>
        <w:pStyle w:val="ListParagraph"/>
        <w:numPr>
          <w:ilvl w:val="0"/>
          <w:numId w:val="17"/>
        </w:numPr>
        <w:spacing w:after="240" w:line="240" w:lineRule="auto"/>
        <w:ind w:left="1134" w:hanging="567"/>
        <w:contextualSpacing w:val="0"/>
        <w:jc w:val="both"/>
        <w:rPr>
          <w:rFonts w:ascii="Arial" w:hAnsi="Arial" w:cs="Arial"/>
        </w:rPr>
      </w:pPr>
      <w:r>
        <w:rPr>
          <w:rFonts w:ascii="Arial" w:hAnsi="Arial" w:cs="Arial"/>
        </w:rPr>
        <w:t>Costs from 2 December 2016 to 15 May 2017 (inclusive of GST)</w:t>
      </w:r>
    </w:p>
    <w:p w14:paraId="5B84914B" w14:textId="77777777" w:rsidR="00122AEE" w:rsidRPr="00BA5583" w:rsidRDefault="00122AEE" w:rsidP="00122AEE">
      <w:pPr>
        <w:pStyle w:val="ListParagraph"/>
        <w:numPr>
          <w:ilvl w:val="0"/>
          <w:numId w:val="33"/>
        </w:numPr>
        <w:spacing w:after="240" w:line="240" w:lineRule="auto"/>
        <w:ind w:left="1701" w:hanging="567"/>
        <w:contextualSpacing w:val="0"/>
        <w:jc w:val="both"/>
        <w:rPr>
          <w:rFonts w:ascii="Arial" w:hAnsi="Arial" w:cs="Arial"/>
        </w:rPr>
      </w:pPr>
      <w:r w:rsidRPr="00BA5583">
        <w:rPr>
          <w:rFonts w:ascii="Arial" w:hAnsi="Arial" w:cs="Arial"/>
        </w:rPr>
        <w:t>Party/Party Costs (2 December 2016 to 3 February 2017)</w:t>
      </w:r>
    </w:p>
    <w:p w14:paraId="07C6C523" w14:textId="77777777" w:rsidR="00122AEE" w:rsidRPr="004B56C9" w:rsidRDefault="00122AEE" w:rsidP="00122AEE">
      <w:pPr>
        <w:pStyle w:val="ListParagraph"/>
        <w:spacing w:after="0" w:line="240" w:lineRule="auto"/>
        <w:ind w:left="981" w:firstLine="720"/>
        <w:jc w:val="both"/>
        <w:rPr>
          <w:rFonts w:ascii="Arial" w:hAnsi="Arial" w:cs="Arial"/>
          <w:b/>
        </w:rPr>
      </w:pPr>
      <w:r w:rsidRPr="004B56C9">
        <w:rPr>
          <w:rFonts w:ascii="Arial" w:hAnsi="Arial" w:cs="Arial"/>
          <w:b/>
        </w:rPr>
        <w:t xml:space="preserve">Schedule 1 </w:t>
      </w:r>
    </w:p>
    <w:p w14:paraId="6F858FDA" w14:textId="77777777" w:rsidR="00122AEE" w:rsidRPr="007655EF" w:rsidRDefault="00122AEE" w:rsidP="00122AEE">
      <w:pPr>
        <w:pStyle w:val="ListParagraph"/>
        <w:spacing w:after="0" w:line="240" w:lineRule="auto"/>
        <w:jc w:val="both"/>
        <w:rPr>
          <w:rFonts w:ascii="Arial" w:hAnsi="Arial" w:cs="Arial"/>
          <w:sz w:val="8"/>
          <w:szCs w:val="8"/>
        </w:rPr>
      </w:pPr>
      <w:r>
        <w:rPr>
          <w:rFonts w:ascii="Arial" w:hAnsi="Arial" w:cs="Arial"/>
        </w:rPr>
        <w:tab/>
      </w:r>
    </w:p>
    <w:p w14:paraId="71EC8A9D" w14:textId="77777777" w:rsidR="00122AEE" w:rsidRDefault="00122AEE" w:rsidP="00122AEE">
      <w:pPr>
        <w:pStyle w:val="ListParagraph"/>
        <w:spacing w:after="0" w:line="240" w:lineRule="auto"/>
        <w:ind w:left="981" w:firstLine="720"/>
        <w:jc w:val="both"/>
        <w:rPr>
          <w:rFonts w:ascii="Arial" w:hAnsi="Arial" w:cs="Arial"/>
        </w:rPr>
      </w:pPr>
      <w:r w:rsidRPr="00074DC2">
        <w:rPr>
          <w:rFonts w:ascii="Arial" w:hAnsi="Arial" w:cs="Arial"/>
        </w:rPr>
        <w:t>3 hrs at $</w:t>
      </w:r>
      <w:r>
        <w:rPr>
          <w:rFonts w:ascii="Arial" w:hAnsi="Arial" w:cs="Arial"/>
        </w:rPr>
        <w:t>366.30.00 per hour</w:t>
      </w:r>
      <w:r>
        <w:rPr>
          <w:rFonts w:ascii="Arial" w:hAnsi="Arial" w:cs="Arial"/>
        </w:rPr>
        <w:tab/>
      </w:r>
      <w:r>
        <w:rPr>
          <w:rFonts w:ascii="Arial" w:hAnsi="Arial" w:cs="Arial"/>
        </w:rPr>
        <w:tab/>
      </w:r>
      <w:r>
        <w:rPr>
          <w:rFonts w:ascii="Arial" w:hAnsi="Arial" w:cs="Arial"/>
        </w:rPr>
        <w:tab/>
      </w:r>
      <w:r>
        <w:rPr>
          <w:rFonts w:ascii="Arial" w:hAnsi="Arial" w:cs="Arial"/>
        </w:rPr>
        <w:tab/>
        <w:t>$1,098.90</w:t>
      </w:r>
    </w:p>
    <w:p w14:paraId="1A8EA2F2" w14:textId="77777777" w:rsidR="00122AEE" w:rsidRPr="007655EF" w:rsidRDefault="00122AEE" w:rsidP="00122AEE">
      <w:pPr>
        <w:pStyle w:val="ListParagraph"/>
        <w:spacing w:after="0" w:line="240" w:lineRule="auto"/>
        <w:jc w:val="both"/>
        <w:rPr>
          <w:rFonts w:ascii="Arial" w:hAnsi="Arial" w:cs="Arial"/>
          <w:sz w:val="8"/>
          <w:szCs w:val="8"/>
        </w:rPr>
      </w:pPr>
    </w:p>
    <w:p w14:paraId="6D0DE5C5" w14:textId="77777777" w:rsidR="00122AEE" w:rsidRDefault="00122AEE" w:rsidP="00122AEE">
      <w:pPr>
        <w:pStyle w:val="ListParagraph"/>
        <w:spacing w:after="0" w:line="240" w:lineRule="auto"/>
        <w:ind w:left="981" w:firstLine="720"/>
        <w:jc w:val="both"/>
        <w:rPr>
          <w:rFonts w:ascii="Arial" w:hAnsi="Arial" w:cs="Arial"/>
          <w:b/>
        </w:rPr>
      </w:pPr>
      <w:r w:rsidRPr="004B56C9">
        <w:rPr>
          <w:rFonts w:ascii="Arial" w:hAnsi="Arial" w:cs="Arial"/>
          <w:b/>
        </w:rPr>
        <w:t>Schedule 2</w:t>
      </w:r>
      <w:r>
        <w:rPr>
          <w:rFonts w:ascii="Arial" w:hAnsi="Arial" w:cs="Arial"/>
          <w:b/>
        </w:rPr>
        <w:t xml:space="preserve"> </w:t>
      </w:r>
    </w:p>
    <w:p w14:paraId="493497D3" w14:textId="77777777" w:rsidR="00122AEE" w:rsidRPr="007655EF" w:rsidRDefault="00122AEE" w:rsidP="00122AEE">
      <w:pPr>
        <w:pStyle w:val="ListParagraph"/>
        <w:spacing w:after="0" w:line="240" w:lineRule="auto"/>
        <w:ind w:left="981" w:firstLine="720"/>
        <w:jc w:val="both"/>
        <w:rPr>
          <w:rFonts w:ascii="Arial" w:hAnsi="Arial" w:cs="Arial"/>
          <w:b/>
          <w:sz w:val="8"/>
          <w:szCs w:val="8"/>
        </w:rPr>
      </w:pPr>
    </w:p>
    <w:p w14:paraId="01B14ACE" w14:textId="77777777" w:rsidR="00122AEE" w:rsidRDefault="00122AEE" w:rsidP="00122AEE">
      <w:pPr>
        <w:pStyle w:val="ListParagraph"/>
        <w:numPr>
          <w:ilvl w:val="1"/>
          <w:numId w:val="34"/>
        </w:numPr>
        <w:spacing w:after="0" w:line="240" w:lineRule="auto"/>
        <w:jc w:val="both"/>
        <w:rPr>
          <w:rFonts w:ascii="Arial" w:hAnsi="Arial" w:cs="Arial"/>
        </w:rPr>
      </w:pPr>
      <w:r>
        <w:rPr>
          <w:rFonts w:ascii="Arial" w:hAnsi="Arial" w:cs="Arial"/>
        </w:rPr>
        <w:t xml:space="preserve">hrs at </w:t>
      </w:r>
      <w:r w:rsidRPr="00074DC2">
        <w:rPr>
          <w:rFonts w:ascii="Arial" w:hAnsi="Arial" w:cs="Arial"/>
        </w:rPr>
        <w:t>$</w:t>
      </w:r>
      <w:r>
        <w:rPr>
          <w:rFonts w:ascii="Arial" w:hAnsi="Arial" w:cs="Arial"/>
        </w:rPr>
        <w:t>366.30.00 per hour</w:t>
      </w:r>
      <w:r>
        <w:rPr>
          <w:rFonts w:ascii="Arial" w:hAnsi="Arial" w:cs="Arial"/>
        </w:rPr>
        <w:tab/>
      </w:r>
      <w:r>
        <w:rPr>
          <w:rFonts w:ascii="Arial" w:hAnsi="Arial" w:cs="Arial"/>
        </w:rPr>
        <w:tab/>
      </w:r>
      <w:r>
        <w:rPr>
          <w:rFonts w:ascii="Arial" w:hAnsi="Arial" w:cs="Arial"/>
        </w:rPr>
        <w:tab/>
      </w:r>
      <w:r>
        <w:rPr>
          <w:rFonts w:ascii="Arial" w:hAnsi="Arial" w:cs="Arial"/>
        </w:rPr>
        <w:tab/>
        <w:t>$1,648.35</w:t>
      </w:r>
    </w:p>
    <w:p w14:paraId="098F6973" w14:textId="77777777" w:rsidR="00122AEE" w:rsidRDefault="00122AEE" w:rsidP="00122AEE">
      <w:pPr>
        <w:pStyle w:val="ListParagraph"/>
        <w:spacing w:after="0" w:line="240" w:lineRule="auto"/>
        <w:ind w:left="981" w:firstLine="720"/>
        <w:jc w:val="both"/>
        <w:rPr>
          <w:rFonts w:ascii="Arial" w:hAnsi="Arial" w:cs="Arial"/>
        </w:rPr>
      </w:pPr>
    </w:p>
    <w:p w14:paraId="5DCD257D" w14:textId="77777777" w:rsidR="00122AEE" w:rsidRPr="00BA5583" w:rsidRDefault="00122AEE" w:rsidP="00122AEE">
      <w:pPr>
        <w:pStyle w:val="ListParagraph"/>
        <w:numPr>
          <w:ilvl w:val="0"/>
          <w:numId w:val="33"/>
        </w:numPr>
        <w:spacing w:after="0" w:line="240" w:lineRule="auto"/>
        <w:ind w:left="1701" w:hanging="567"/>
        <w:jc w:val="both"/>
        <w:rPr>
          <w:rFonts w:ascii="Arial" w:hAnsi="Arial" w:cs="Arial"/>
        </w:rPr>
      </w:pPr>
      <w:r w:rsidRPr="00BA5583">
        <w:rPr>
          <w:rFonts w:ascii="Arial" w:hAnsi="Arial" w:cs="Arial"/>
        </w:rPr>
        <w:t xml:space="preserve">Indemnity costs </w:t>
      </w:r>
      <w:r>
        <w:rPr>
          <w:rFonts w:ascii="Arial" w:hAnsi="Arial" w:cs="Arial"/>
        </w:rPr>
        <w:t>(4 February 2017</w:t>
      </w:r>
      <w:r w:rsidRPr="00BA5583">
        <w:rPr>
          <w:rFonts w:ascii="Arial" w:hAnsi="Arial" w:cs="Arial"/>
        </w:rPr>
        <w:t xml:space="preserve"> to 15 May 2017</w:t>
      </w:r>
      <w:r>
        <w:rPr>
          <w:rFonts w:ascii="Arial" w:hAnsi="Arial" w:cs="Arial"/>
        </w:rPr>
        <w:t>)</w:t>
      </w:r>
    </w:p>
    <w:p w14:paraId="22240C89" w14:textId="77777777" w:rsidR="00122AEE" w:rsidRPr="007655EF" w:rsidRDefault="00122AEE" w:rsidP="00122AEE">
      <w:pPr>
        <w:pStyle w:val="ListParagraph"/>
        <w:spacing w:after="0" w:line="240" w:lineRule="auto"/>
        <w:ind w:left="1134" w:hanging="425"/>
        <w:jc w:val="both"/>
        <w:rPr>
          <w:rFonts w:ascii="Arial" w:hAnsi="Arial" w:cs="Arial"/>
          <w:sz w:val="8"/>
          <w:szCs w:val="8"/>
        </w:rPr>
      </w:pPr>
      <w:r>
        <w:rPr>
          <w:rFonts w:ascii="Arial" w:hAnsi="Arial" w:cs="Arial"/>
        </w:rPr>
        <w:tab/>
      </w:r>
    </w:p>
    <w:p w14:paraId="5C01B00C" w14:textId="77777777" w:rsidR="00122AEE" w:rsidRPr="008304CB" w:rsidRDefault="00122AEE" w:rsidP="00122AEE">
      <w:pPr>
        <w:pStyle w:val="ListParagraph"/>
        <w:spacing w:after="0" w:line="240" w:lineRule="auto"/>
        <w:ind w:left="2126" w:hanging="425"/>
        <w:jc w:val="both"/>
        <w:rPr>
          <w:rFonts w:ascii="Arial" w:hAnsi="Arial" w:cs="Arial"/>
          <w:b/>
        </w:rPr>
      </w:pPr>
      <w:r w:rsidRPr="008304CB">
        <w:rPr>
          <w:rFonts w:ascii="Arial" w:hAnsi="Arial" w:cs="Arial"/>
          <w:b/>
        </w:rPr>
        <w:t>Schedule 3</w:t>
      </w:r>
    </w:p>
    <w:p w14:paraId="47CB92C0" w14:textId="77777777" w:rsidR="00122AEE" w:rsidRPr="007655EF" w:rsidRDefault="00122AEE" w:rsidP="00122AEE">
      <w:pPr>
        <w:pStyle w:val="ListParagraph"/>
        <w:spacing w:after="0" w:line="240" w:lineRule="auto"/>
        <w:ind w:left="1134" w:hanging="425"/>
        <w:jc w:val="both"/>
        <w:rPr>
          <w:rFonts w:ascii="Arial" w:hAnsi="Arial" w:cs="Arial"/>
          <w:sz w:val="8"/>
          <w:szCs w:val="8"/>
        </w:rPr>
      </w:pPr>
    </w:p>
    <w:p w14:paraId="67C9BA25" w14:textId="77777777"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SMN </w:t>
      </w:r>
      <w:r>
        <w:rPr>
          <w:rFonts w:ascii="Arial" w:hAnsi="Arial" w:cs="Arial"/>
        </w:rPr>
        <w:tab/>
        <w:t>20 hours at $407 per hour</w:t>
      </w:r>
      <w:r>
        <w:rPr>
          <w:rFonts w:ascii="Arial" w:hAnsi="Arial" w:cs="Arial"/>
        </w:rPr>
        <w:tab/>
      </w:r>
      <w:r>
        <w:rPr>
          <w:rFonts w:ascii="Arial" w:hAnsi="Arial" w:cs="Arial"/>
        </w:rPr>
        <w:tab/>
      </w:r>
      <w:r>
        <w:rPr>
          <w:rFonts w:ascii="Arial" w:hAnsi="Arial" w:cs="Arial"/>
        </w:rPr>
        <w:tab/>
        <w:t>$8,140.00</w:t>
      </w:r>
    </w:p>
    <w:p w14:paraId="40F71AF2" w14:textId="77777777"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PJ </w:t>
      </w:r>
      <w:r>
        <w:rPr>
          <w:rFonts w:ascii="Arial" w:hAnsi="Arial" w:cs="Arial"/>
        </w:rPr>
        <w:tab/>
      </w:r>
      <w:r>
        <w:rPr>
          <w:rFonts w:ascii="Arial" w:hAnsi="Arial" w:cs="Arial"/>
        </w:rPr>
        <w:tab/>
        <w:t xml:space="preserve">0.8 hours at $308 per hour </w:t>
      </w:r>
      <w:r>
        <w:rPr>
          <w:rFonts w:ascii="Arial" w:hAnsi="Arial" w:cs="Arial"/>
        </w:rPr>
        <w:tab/>
      </w:r>
      <w:r>
        <w:rPr>
          <w:rFonts w:ascii="Arial" w:hAnsi="Arial" w:cs="Arial"/>
        </w:rPr>
        <w:tab/>
      </w:r>
      <w:r>
        <w:rPr>
          <w:rFonts w:ascii="Arial" w:hAnsi="Arial" w:cs="Arial"/>
        </w:rPr>
        <w:tab/>
        <w:t>$246.40</w:t>
      </w:r>
    </w:p>
    <w:p w14:paraId="62D19944" w14:textId="77777777"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DM </w:t>
      </w:r>
      <w:r>
        <w:rPr>
          <w:rFonts w:ascii="Arial" w:hAnsi="Arial" w:cs="Arial"/>
        </w:rPr>
        <w:tab/>
      </w:r>
      <w:r>
        <w:rPr>
          <w:rFonts w:ascii="Arial" w:hAnsi="Arial" w:cs="Arial"/>
        </w:rPr>
        <w:tab/>
        <w:t>3.5 hours at $154 per hour</w:t>
      </w:r>
      <w:r>
        <w:rPr>
          <w:rFonts w:ascii="Arial" w:hAnsi="Arial" w:cs="Arial"/>
        </w:rPr>
        <w:tab/>
      </w:r>
      <w:r>
        <w:rPr>
          <w:rFonts w:ascii="Arial" w:hAnsi="Arial" w:cs="Arial"/>
        </w:rPr>
        <w:tab/>
      </w:r>
      <w:r>
        <w:rPr>
          <w:rFonts w:ascii="Arial" w:hAnsi="Arial" w:cs="Arial"/>
        </w:rPr>
        <w:tab/>
        <w:t>$539.00</w:t>
      </w:r>
    </w:p>
    <w:p w14:paraId="1DF1C05D" w14:textId="77777777" w:rsidR="00122AEE" w:rsidRDefault="00122AEE" w:rsidP="00122AEE">
      <w:pPr>
        <w:pStyle w:val="ListParagraph"/>
        <w:spacing w:after="0" w:line="240" w:lineRule="auto"/>
        <w:ind w:left="981" w:firstLine="720"/>
        <w:jc w:val="both"/>
        <w:rPr>
          <w:rFonts w:ascii="Arial" w:hAnsi="Arial" w:cs="Arial"/>
        </w:rPr>
      </w:pPr>
    </w:p>
    <w:p w14:paraId="5E6D7086" w14:textId="77777777" w:rsidR="00122AEE" w:rsidRPr="004B56C9" w:rsidRDefault="00122AEE" w:rsidP="00122AEE">
      <w:pPr>
        <w:pStyle w:val="ListParagraph"/>
        <w:spacing w:after="0" w:line="240" w:lineRule="auto"/>
        <w:ind w:left="981" w:firstLine="720"/>
        <w:jc w:val="both"/>
        <w:rPr>
          <w:rFonts w:ascii="Arial" w:hAnsi="Arial" w:cs="Arial"/>
          <w:b/>
        </w:rPr>
      </w:pPr>
      <w:r w:rsidRPr="004B56C9">
        <w:rPr>
          <w:rFonts w:ascii="Arial" w:hAnsi="Arial" w:cs="Arial"/>
          <w:b/>
        </w:rPr>
        <w:t>Schedule 4</w:t>
      </w:r>
    </w:p>
    <w:p w14:paraId="27829C1F" w14:textId="77777777" w:rsidR="00122AEE" w:rsidRDefault="00122AEE" w:rsidP="00122AEE">
      <w:pPr>
        <w:pStyle w:val="ListParagraph"/>
        <w:spacing w:after="0" w:line="240" w:lineRule="auto"/>
        <w:jc w:val="both"/>
        <w:rPr>
          <w:rFonts w:ascii="Arial" w:hAnsi="Arial" w:cs="Arial"/>
        </w:rPr>
      </w:pPr>
    </w:p>
    <w:p w14:paraId="58AC2A20" w14:textId="77777777"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Item 1 </w:t>
      </w:r>
      <w:r>
        <w:rPr>
          <w:rFonts w:ascii="Arial" w:hAnsi="Arial" w:cs="Arial"/>
        </w:rPr>
        <w:tab/>
        <w:t>Counsel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$4,578.75</w:t>
      </w:r>
    </w:p>
    <w:p w14:paraId="5FD8F7CC" w14:textId="77777777"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Item 2 </w:t>
      </w:r>
      <w:r>
        <w:rPr>
          <w:rFonts w:ascii="Arial" w:hAnsi="Arial" w:cs="Arial"/>
        </w:rPr>
        <w:tab/>
        <w:t>Courier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$0.00</w:t>
      </w:r>
    </w:p>
    <w:p w14:paraId="21A735B6" w14:textId="77777777" w:rsidR="00122AEE" w:rsidRDefault="00122AEE" w:rsidP="00122AEE">
      <w:pPr>
        <w:pStyle w:val="ListParagraph"/>
        <w:spacing w:after="0" w:line="240" w:lineRule="auto"/>
        <w:ind w:left="981" w:firstLine="720"/>
        <w:jc w:val="both"/>
        <w:rPr>
          <w:rFonts w:ascii="Arial" w:hAnsi="Arial" w:cs="Arial"/>
        </w:rPr>
      </w:pPr>
    </w:p>
    <w:p w14:paraId="26C45079" w14:textId="43BF82BF" w:rsidR="00122AEE" w:rsidRDefault="007655EF" w:rsidP="00122AEE">
      <w:pPr>
        <w:spacing w:after="0" w:line="240" w:lineRule="auto"/>
        <w:ind w:left="6480" w:hanging="5913"/>
        <w:jc w:val="both"/>
        <w:rPr>
          <w:rFonts w:ascii="Arial" w:hAnsi="Arial" w:cs="Arial"/>
          <w:b/>
        </w:rPr>
      </w:pPr>
      <w:r>
        <w:rPr>
          <w:rFonts w:ascii="Arial" w:hAnsi="Arial" w:cs="Arial"/>
          <w:b/>
        </w:rPr>
        <w:t xml:space="preserve">                  </w:t>
      </w:r>
      <w:r w:rsidR="00122AEE" w:rsidRPr="005555D1">
        <w:rPr>
          <w:rFonts w:ascii="Arial" w:hAnsi="Arial" w:cs="Arial"/>
          <w:b/>
        </w:rPr>
        <w:t>Total</w:t>
      </w:r>
      <w:r w:rsidR="00122AEE">
        <w:rPr>
          <w:rFonts w:ascii="Arial" w:hAnsi="Arial" w:cs="Arial"/>
          <w:b/>
        </w:rPr>
        <w:t>:</w:t>
      </w:r>
      <w:r w:rsidR="00122AEE">
        <w:rPr>
          <w:rFonts w:ascii="Arial" w:hAnsi="Arial" w:cs="Arial"/>
          <w:b/>
        </w:rPr>
        <w:tab/>
      </w:r>
      <w:r w:rsidR="00122AEE">
        <w:rPr>
          <w:rFonts w:ascii="Arial" w:hAnsi="Arial" w:cs="Arial"/>
          <w:b/>
        </w:rPr>
        <w:tab/>
      </w:r>
      <w:r w:rsidR="00122AEE" w:rsidRPr="005555D1">
        <w:rPr>
          <w:rFonts w:ascii="Arial" w:hAnsi="Arial" w:cs="Arial"/>
          <w:b/>
        </w:rPr>
        <w:t>$</w:t>
      </w:r>
      <w:r w:rsidR="00122AEE">
        <w:rPr>
          <w:rFonts w:ascii="Arial" w:hAnsi="Arial" w:cs="Arial"/>
          <w:b/>
        </w:rPr>
        <w:t>16,251.40 (inclusive of GST)</w:t>
      </w:r>
    </w:p>
    <w:p w14:paraId="2507B075" w14:textId="77777777" w:rsidR="00C4580B" w:rsidRDefault="00C4580B" w:rsidP="00122AEE">
      <w:pPr>
        <w:spacing w:after="0" w:line="240" w:lineRule="auto"/>
        <w:ind w:left="6480" w:hanging="5913"/>
        <w:jc w:val="both"/>
        <w:rPr>
          <w:rFonts w:ascii="Arial" w:hAnsi="Arial" w:cs="Arial"/>
          <w:b/>
        </w:rPr>
      </w:pPr>
    </w:p>
    <w:p w14:paraId="6CBC156D" w14:textId="254A465C" w:rsidR="006A6E68" w:rsidRPr="00466B61" w:rsidRDefault="006A6E68" w:rsidP="00122AEE">
      <w:pPr>
        <w:spacing w:after="0" w:line="240" w:lineRule="auto"/>
        <w:ind w:left="6480" w:hanging="5913"/>
        <w:jc w:val="both"/>
        <w:rPr>
          <w:rFonts w:ascii="Arial" w:hAnsi="Arial" w:cs="Arial"/>
          <w:b/>
          <w:sz w:val="28"/>
          <w:szCs w:val="28"/>
        </w:rPr>
      </w:pPr>
    </w:p>
    <w:p w14:paraId="2890F48A" w14:textId="77777777" w:rsidR="00122AEE" w:rsidRDefault="00122AEE" w:rsidP="006A1759">
      <w:pPr>
        <w:pStyle w:val="ListParagraph"/>
        <w:numPr>
          <w:ilvl w:val="0"/>
          <w:numId w:val="17"/>
        </w:numPr>
        <w:spacing w:after="0" w:line="240" w:lineRule="auto"/>
        <w:ind w:left="1134" w:hanging="567"/>
        <w:jc w:val="both"/>
        <w:rPr>
          <w:rFonts w:ascii="Arial" w:hAnsi="Arial" w:cs="Arial"/>
        </w:rPr>
      </w:pPr>
      <w:r w:rsidRPr="00C4580B">
        <w:rPr>
          <w:rFonts w:ascii="Arial" w:hAnsi="Arial" w:cs="Arial"/>
        </w:rPr>
        <w:t>Costs from 16 May 2017 to 12 September 2017 (inclusive of GST)</w:t>
      </w:r>
      <w:r w:rsidR="00C4580B" w:rsidRPr="00C4580B">
        <w:rPr>
          <w:rFonts w:ascii="Arial" w:hAnsi="Arial" w:cs="Arial"/>
        </w:rPr>
        <w:t xml:space="preserve"> on an indemnity basis</w:t>
      </w:r>
      <w:r w:rsidR="00C4580B">
        <w:rPr>
          <w:rFonts w:ascii="Arial" w:hAnsi="Arial" w:cs="Arial"/>
        </w:rPr>
        <w:t>:</w:t>
      </w:r>
    </w:p>
    <w:p w14:paraId="297EC28C" w14:textId="77777777" w:rsidR="00C4580B" w:rsidRPr="00C4580B" w:rsidRDefault="00C4580B" w:rsidP="00C4580B">
      <w:pPr>
        <w:pStyle w:val="ListParagraph"/>
        <w:spacing w:after="0" w:line="240" w:lineRule="auto"/>
        <w:ind w:left="1134"/>
        <w:jc w:val="both"/>
        <w:rPr>
          <w:rFonts w:ascii="Arial" w:hAnsi="Arial" w:cs="Arial"/>
        </w:rPr>
      </w:pPr>
    </w:p>
    <w:p w14:paraId="5C022467" w14:textId="77777777" w:rsidR="00122AEE" w:rsidRPr="007655EF" w:rsidRDefault="00122AEE" w:rsidP="00122AEE">
      <w:pPr>
        <w:pStyle w:val="ListParagraph"/>
        <w:spacing w:after="0" w:line="240" w:lineRule="auto"/>
        <w:jc w:val="both"/>
        <w:rPr>
          <w:rFonts w:ascii="Arial" w:hAnsi="Arial" w:cs="Arial"/>
          <w:sz w:val="8"/>
          <w:szCs w:val="8"/>
        </w:rPr>
      </w:pPr>
    </w:p>
    <w:p w14:paraId="3351A2CF" w14:textId="77777777" w:rsidR="006A6E68" w:rsidRDefault="006A6E68" w:rsidP="00122AEE">
      <w:pPr>
        <w:pStyle w:val="ListParagraph"/>
        <w:spacing w:after="0" w:line="240" w:lineRule="auto"/>
        <w:ind w:left="981" w:firstLine="720"/>
        <w:jc w:val="both"/>
        <w:rPr>
          <w:rFonts w:ascii="Arial" w:hAnsi="Arial" w:cs="Arial"/>
          <w:b/>
        </w:rPr>
      </w:pPr>
    </w:p>
    <w:p w14:paraId="593B6E31" w14:textId="5DDFA0FC" w:rsidR="00122AEE" w:rsidRPr="004B56C9" w:rsidRDefault="00122AEE" w:rsidP="00122AEE">
      <w:pPr>
        <w:pStyle w:val="ListParagraph"/>
        <w:spacing w:after="0" w:line="240" w:lineRule="auto"/>
        <w:ind w:left="981" w:firstLine="720"/>
        <w:jc w:val="both"/>
        <w:rPr>
          <w:rFonts w:ascii="Arial" w:hAnsi="Arial" w:cs="Arial"/>
          <w:b/>
        </w:rPr>
      </w:pPr>
      <w:r w:rsidRPr="004B56C9">
        <w:rPr>
          <w:rFonts w:ascii="Arial" w:hAnsi="Arial" w:cs="Arial"/>
          <w:b/>
        </w:rPr>
        <w:lastRenderedPageBreak/>
        <w:t xml:space="preserve">Schedule 3 </w:t>
      </w:r>
    </w:p>
    <w:p w14:paraId="57FF216B" w14:textId="77777777" w:rsidR="00122AEE" w:rsidRDefault="00122AEE" w:rsidP="00122AEE">
      <w:pPr>
        <w:pStyle w:val="ListParagraph"/>
        <w:spacing w:after="0" w:line="240" w:lineRule="auto"/>
        <w:jc w:val="both"/>
        <w:rPr>
          <w:rFonts w:ascii="Arial" w:hAnsi="Arial" w:cs="Arial"/>
        </w:rPr>
      </w:pPr>
    </w:p>
    <w:p w14:paraId="71B1FAFB" w14:textId="17BC9CEA"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SMN </w:t>
      </w:r>
      <w:r>
        <w:rPr>
          <w:rFonts w:ascii="Arial" w:hAnsi="Arial" w:cs="Arial"/>
        </w:rPr>
        <w:tab/>
        <w:t xml:space="preserve">20 hours at $407 per hour </w:t>
      </w:r>
      <w:r>
        <w:rPr>
          <w:rFonts w:ascii="Arial" w:hAnsi="Arial" w:cs="Arial"/>
        </w:rPr>
        <w:tab/>
      </w:r>
      <w:r>
        <w:rPr>
          <w:rFonts w:ascii="Arial" w:hAnsi="Arial" w:cs="Arial"/>
        </w:rPr>
        <w:tab/>
      </w:r>
      <w:r>
        <w:rPr>
          <w:rFonts w:ascii="Arial" w:hAnsi="Arial" w:cs="Arial"/>
        </w:rPr>
        <w:tab/>
      </w:r>
      <w:r w:rsidR="006A6E68">
        <w:rPr>
          <w:rFonts w:ascii="Arial" w:hAnsi="Arial" w:cs="Arial"/>
        </w:rPr>
        <w:tab/>
      </w:r>
      <w:r>
        <w:rPr>
          <w:rFonts w:ascii="Arial" w:hAnsi="Arial" w:cs="Arial"/>
        </w:rPr>
        <w:t>$8,140.00</w:t>
      </w:r>
    </w:p>
    <w:p w14:paraId="53F66BB7" w14:textId="4672597C"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JMP </w:t>
      </w:r>
      <w:r>
        <w:rPr>
          <w:rFonts w:ascii="Arial" w:hAnsi="Arial" w:cs="Arial"/>
        </w:rPr>
        <w:tab/>
        <w:t xml:space="preserve">3.6 hours at $154 per hour </w:t>
      </w:r>
      <w:r>
        <w:rPr>
          <w:rFonts w:ascii="Arial" w:hAnsi="Arial" w:cs="Arial"/>
        </w:rPr>
        <w:tab/>
      </w:r>
      <w:r>
        <w:rPr>
          <w:rFonts w:ascii="Arial" w:hAnsi="Arial" w:cs="Arial"/>
        </w:rPr>
        <w:tab/>
      </w:r>
      <w:r>
        <w:rPr>
          <w:rFonts w:ascii="Arial" w:hAnsi="Arial" w:cs="Arial"/>
        </w:rPr>
        <w:tab/>
      </w:r>
      <w:r w:rsidR="006A6E68">
        <w:rPr>
          <w:rFonts w:ascii="Arial" w:hAnsi="Arial" w:cs="Arial"/>
        </w:rPr>
        <w:tab/>
        <w:t xml:space="preserve">   </w:t>
      </w:r>
      <w:r>
        <w:rPr>
          <w:rFonts w:ascii="Arial" w:hAnsi="Arial" w:cs="Arial"/>
        </w:rPr>
        <w:t>$554.40</w:t>
      </w:r>
    </w:p>
    <w:p w14:paraId="2F8F2120" w14:textId="77777777" w:rsidR="00122AEE" w:rsidRDefault="00122AEE" w:rsidP="00122AEE">
      <w:pPr>
        <w:pStyle w:val="ListParagraph"/>
        <w:spacing w:after="0" w:line="240" w:lineRule="auto"/>
        <w:ind w:left="981" w:firstLine="720"/>
        <w:jc w:val="both"/>
        <w:rPr>
          <w:rFonts w:ascii="Arial" w:hAnsi="Arial" w:cs="Arial"/>
        </w:rPr>
      </w:pPr>
    </w:p>
    <w:p w14:paraId="20F693B5" w14:textId="77777777" w:rsidR="00122AEE" w:rsidRPr="004B56C9" w:rsidRDefault="00122AEE" w:rsidP="00122AEE">
      <w:pPr>
        <w:pStyle w:val="ListParagraph"/>
        <w:spacing w:after="0" w:line="240" w:lineRule="auto"/>
        <w:ind w:left="981" w:firstLine="720"/>
        <w:jc w:val="both"/>
        <w:rPr>
          <w:rFonts w:ascii="Arial" w:hAnsi="Arial" w:cs="Arial"/>
          <w:b/>
        </w:rPr>
      </w:pPr>
      <w:r w:rsidRPr="004B56C9">
        <w:rPr>
          <w:rFonts w:ascii="Arial" w:hAnsi="Arial" w:cs="Arial"/>
          <w:b/>
        </w:rPr>
        <w:t>Schedule 4</w:t>
      </w:r>
    </w:p>
    <w:p w14:paraId="2E8D3A62" w14:textId="77777777" w:rsidR="00122AEE" w:rsidRPr="007655EF" w:rsidRDefault="00122AEE" w:rsidP="00122AEE">
      <w:pPr>
        <w:pStyle w:val="ListParagraph"/>
        <w:spacing w:after="0" w:line="240" w:lineRule="auto"/>
        <w:jc w:val="both"/>
        <w:rPr>
          <w:rFonts w:ascii="Arial" w:hAnsi="Arial" w:cs="Arial"/>
          <w:sz w:val="8"/>
          <w:szCs w:val="8"/>
        </w:rPr>
      </w:pPr>
    </w:p>
    <w:p w14:paraId="7B057AD8" w14:textId="1329D3FC"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Item 3 </w:t>
      </w:r>
      <w:r>
        <w:rPr>
          <w:rFonts w:ascii="Arial" w:hAnsi="Arial" w:cs="Arial"/>
        </w:rPr>
        <w:tab/>
        <w:t xml:space="preserve">Parking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6E68">
        <w:rPr>
          <w:rFonts w:ascii="Arial" w:hAnsi="Arial" w:cs="Arial"/>
        </w:rPr>
        <w:t xml:space="preserve">       </w:t>
      </w:r>
      <w:r>
        <w:rPr>
          <w:rFonts w:ascii="Arial" w:hAnsi="Arial" w:cs="Arial"/>
        </w:rPr>
        <w:t>$0.00</w:t>
      </w:r>
    </w:p>
    <w:p w14:paraId="1C46A7FB" w14:textId="77777777"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Item 4 </w:t>
      </w:r>
      <w:r>
        <w:rPr>
          <w:rFonts w:ascii="Arial" w:hAnsi="Arial" w:cs="Arial"/>
        </w:rPr>
        <w:tab/>
        <w:t>Counsel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$9.652.50</w:t>
      </w:r>
    </w:p>
    <w:p w14:paraId="5DA7173B" w14:textId="77777777"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Item 5 </w:t>
      </w:r>
      <w:r>
        <w:rPr>
          <w:rFonts w:ascii="Arial" w:hAnsi="Arial" w:cs="Arial"/>
        </w:rPr>
        <w:tab/>
        <w:t>Counsel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$7,177.50</w:t>
      </w:r>
    </w:p>
    <w:p w14:paraId="6E332479" w14:textId="42CD017F"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Item 6 </w:t>
      </w:r>
      <w:r>
        <w:rPr>
          <w:rFonts w:ascii="Arial" w:hAnsi="Arial" w:cs="Arial"/>
        </w:rPr>
        <w:tab/>
        <w:t>Parking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6E68">
        <w:rPr>
          <w:rFonts w:ascii="Arial" w:hAnsi="Arial" w:cs="Arial"/>
        </w:rPr>
        <w:t xml:space="preserve">       </w:t>
      </w:r>
      <w:r>
        <w:rPr>
          <w:rFonts w:ascii="Arial" w:hAnsi="Arial" w:cs="Arial"/>
        </w:rPr>
        <w:t>$0.00</w:t>
      </w:r>
    </w:p>
    <w:p w14:paraId="3B0B2154" w14:textId="77777777" w:rsidR="00122AEE" w:rsidRDefault="00122AEE" w:rsidP="00122AEE">
      <w:pPr>
        <w:pStyle w:val="ListParagraph"/>
        <w:spacing w:after="0" w:line="240" w:lineRule="auto"/>
        <w:ind w:firstLine="414"/>
        <w:jc w:val="both"/>
        <w:rPr>
          <w:rFonts w:ascii="Arial" w:hAnsi="Arial" w:cs="Arial"/>
          <w:i/>
        </w:rPr>
      </w:pPr>
    </w:p>
    <w:p w14:paraId="350A7898" w14:textId="77777777" w:rsidR="00122AEE" w:rsidRPr="004B56C9" w:rsidRDefault="00122AEE" w:rsidP="00122AEE">
      <w:pPr>
        <w:pStyle w:val="ListParagraph"/>
        <w:spacing w:after="0" w:line="240" w:lineRule="auto"/>
        <w:ind w:left="981" w:firstLine="720"/>
        <w:jc w:val="both"/>
        <w:rPr>
          <w:rFonts w:ascii="Arial" w:hAnsi="Arial" w:cs="Arial"/>
          <w:i/>
        </w:rPr>
      </w:pPr>
      <w:r w:rsidRPr="004B56C9">
        <w:rPr>
          <w:rFonts w:ascii="Arial" w:hAnsi="Arial" w:cs="Arial"/>
          <w:i/>
        </w:rPr>
        <w:t>Drawing Bill of Costs</w:t>
      </w:r>
      <w:r w:rsidRPr="004B56C9">
        <w:rPr>
          <w:rFonts w:ascii="Arial" w:hAnsi="Arial" w:cs="Arial"/>
          <w:i/>
        </w:rPr>
        <w:tab/>
      </w:r>
      <w:r w:rsidRPr="004B56C9">
        <w:rPr>
          <w:rFonts w:ascii="Arial" w:hAnsi="Arial" w:cs="Arial"/>
          <w:i/>
        </w:rPr>
        <w:tab/>
      </w:r>
      <w:r w:rsidRPr="004B56C9">
        <w:rPr>
          <w:rFonts w:ascii="Arial" w:hAnsi="Arial" w:cs="Arial"/>
          <w:i/>
        </w:rPr>
        <w:tab/>
      </w:r>
    </w:p>
    <w:p w14:paraId="6DC13A54" w14:textId="77777777" w:rsidR="00122AEE" w:rsidRPr="007655EF" w:rsidRDefault="00122AEE" w:rsidP="00122AEE">
      <w:pPr>
        <w:pStyle w:val="ListParagraph"/>
        <w:spacing w:after="0" w:line="240" w:lineRule="auto"/>
        <w:jc w:val="both"/>
        <w:rPr>
          <w:rFonts w:ascii="Arial" w:hAnsi="Arial" w:cs="Arial"/>
          <w:sz w:val="8"/>
          <w:szCs w:val="8"/>
        </w:rPr>
      </w:pPr>
    </w:p>
    <w:p w14:paraId="28E7A3ED" w14:textId="7751CEE3" w:rsidR="00122AEE" w:rsidRDefault="00122AEE" w:rsidP="00122AEE">
      <w:pPr>
        <w:pStyle w:val="ListParagraph"/>
        <w:spacing w:after="0" w:line="240" w:lineRule="auto"/>
        <w:ind w:left="981" w:firstLine="720"/>
        <w:jc w:val="both"/>
        <w:rPr>
          <w:rFonts w:ascii="Arial" w:hAnsi="Arial" w:cs="Arial"/>
        </w:rPr>
      </w:pPr>
      <w:r>
        <w:rPr>
          <w:rFonts w:ascii="Arial" w:hAnsi="Arial" w:cs="Arial"/>
        </w:rPr>
        <w:t xml:space="preserve">4 hours at $407 per hour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$1,628</w:t>
      </w:r>
      <w:r w:rsidR="006A6E68">
        <w:rPr>
          <w:rFonts w:ascii="Arial" w:hAnsi="Arial" w:cs="Arial"/>
        </w:rPr>
        <w:t>.00</w:t>
      </w:r>
    </w:p>
    <w:p w14:paraId="598874DE" w14:textId="77777777" w:rsidR="00122AEE" w:rsidRDefault="00122AEE" w:rsidP="00122AEE">
      <w:pPr>
        <w:pStyle w:val="ListParagraph"/>
        <w:spacing w:after="0" w:line="240" w:lineRule="auto"/>
        <w:jc w:val="both"/>
        <w:rPr>
          <w:rFonts w:ascii="Arial" w:hAnsi="Arial" w:cs="Arial"/>
        </w:rPr>
      </w:pPr>
    </w:p>
    <w:p w14:paraId="62F84436" w14:textId="2F38747D" w:rsidR="00122AEE" w:rsidRDefault="00122AEE" w:rsidP="00122AEE">
      <w:pPr>
        <w:pStyle w:val="ListParagraph"/>
        <w:spacing w:after="0" w:line="240" w:lineRule="auto"/>
        <w:ind w:left="981" w:firstLine="720"/>
        <w:jc w:val="both"/>
        <w:rPr>
          <w:rFonts w:ascii="Arial" w:hAnsi="Arial" w:cs="Arial"/>
        </w:rPr>
      </w:pPr>
      <w:r w:rsidRPr="004B56C9">
        <w:rPr>
          <w:rFonts w:ascii="Arial" w:hAnsi="Arial" w:cs="Arial"/>
          <w:i/>
        </w:rPr>
        <w:t>Taxation of Costs</w:t>
      </w:r>
      <w:r w:rsidRPr="004B56C9">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6E68">
        <w:rPr>
          <w:rFonts w:ascii="Arial" w:hAnsi="Arial" w:cs="Arial"/>
        </w:rPr>
        <w:t xml:space="preserve">       </w:t>
      </w:r>
      <w:r>
        <w:rPr>
          <w:rFonts w:ascii="Arial" w:hAnsi="Arial" w:cs="Arial"/>
        </w:rPr>
        <w:t>$0.00</w:t>
      </w:r>
    </w:p>
    <w:p w14:paraId="695DA41B" w14:textId="77777777" w:rsidR="00122AEE" w:rsidRDefault="00122AEE" w:rsidP="00122AEE">
      <w:pPr>
        <w:pStyle w:val="ListParagraph"/>
        <w:spacing w:after="0" w:line="240" w:lineRule="auto"/>
        <w:ind w:left="981" w:firstLine="720"/>
        <w:jc w:val="both"/>
        <w:rPr>
          <w:rFonts w:ascii="Arial" w:hAnsi="Arial" w:cs="Arial"/>
        </w:rPr>
      </w:pPr>
    </w:p>
    <w:p w14:paraId="486D8D81" w14:textId="1116CAC4" w:rsidR="00122AEE" w:rsidRDefault="00466B61" w:rsidP="00122AEE">
      <w:pPr>
        <w:spacing w:after="0" w:line="240" w:lineRule="auto"/>
        <w:ind w:left="567"/>
        <w:jc w:val="both"/>
        <w:rPr>
          <w:rFonts w:ascii="Arial" w:hAnsi="Arial" w:cs="Arial"/>
          <w:b/>
        </w:rPr>
      </w:pPr>
      <w:r>
        <w:rPr>
          <w:rFonts w:ascii="Arial" w:hAnsi="Arial" w:cs="Arial"/>
          <w:b/>
        </w:rPr>
        <w:tab/>
      </w:r>
      <w:r>
        <w:rPr>
          <w:rFonts w:ascii="Arial" w:hAnsi="Arial" w:cs="Arial"/>
          <w:b/>
        </w:rPr>
        <w:tab/>
        <w:t xml:space="preserve">    </w:t>
      </w:r>
      <w:r w:rsidR="00122AEE" w:rsidRPr="005555D1">
        <w:rPr>
          <w:rFonts w:ascii="Arial" w:hAnsi="Arial" w:cs="Arial"/>
          <w:b/>
        </w:rPr>
        <w:t>Total</w:t>
      </w:r>
      <w:r w:rsidR="00122AEE">
        <w:rPr>
          <w:rFonts w:ascii="Arial" w:hAnsi="Arial" w:cs="Arial"/>
          <w:b/>
        </w:rPr>
        <w:t>:</w:t>
      </w:r>
      <w:r w:rsidR="00122AEE">
        <w:rPr>
          <w:rFonts w:ascii="Arial" w:hAnsi="Arial" w:cs="Arial"/>
          <w:b/>
        </w:rPr>
        <w:tab/>
      </w:r>
      <w:r w:rsidR="00122AEE">
        <w:rPr>
          <w:rFonts w:ascii="Arial" w:hAnsi="Arial" w:cs="Arial"/>
          <w:b/>
        </w:rPr>
        <w:tab/>
      </w:r>
      <w:r w:rsidR="00122AEE">
        <w:rPr>
          <w:rFonts w:ascii="Arial" w:hAnsi="Arial" w:cs="Arial"/>
          <w:b/>
        </w:rPr>
        <w:tab/>
      </w:r>
      <w:r w:rsidR="00122AEE">
        <w:rPr>
          <w:rFonts w:ascii="Arial" w:hAnsi="Arial" w:cs="Arial"/>
          <w:b/>
        </w:rPr>
        <w:tab/>
      </w:r>
      <w:r w:rsidR="00122AEE">
        <w:rPr>
          <w:rFonts w:ascii="Arial" w:hAnsi="Arial" w:cs="Arial"/>
          <w:b/>
        </w:rPr>
        <w:tab/>
      </w:r>
      <w:r w:rsidR="00122AEE">
        <w:rPr>
          <w:rFonts w:ascii="Arial" w:hAnsi="Arial" w:cs="Arial"/>
          <w:b/>
        </w:rPr>
        <w:tab/>
      </w:r>
      <w:r w:rsidR="00122AEE">
        <w:rPr>
          <w:rFonts w:ascii="Arial" w:hAnsi="Arial" w:cs="Arial"/>
          <w:b/>
        </w:rPr>
        <w:tab/>
      </w:r>
      <w:r w:rsidR="00122AEE">
        <w:rPr>
          <w:rFonts w:ascii="Arial" w:hAnsi="Arial" w:cs="Arial"/>
          <w:b/>
        </w:rPr>
        <w:tab/>
      </w:r>
      <w:r w:rsidR="00122AEE" w:rsidRPr="005555D1">
        <w:rPr>
          <w:rFonts w:ascii="Arial" w:hAnsi="Arial" w:cs="Arial"/>
          <w:b/>
        </w:rPr>
        <w:t>$</w:t>
      </w:r>
      <w:r w:rsidR="00122AEE">
        <w:rPr>
          <w:rFonts w:ascii="Arial" w:hAnsi="Arial" w:cs="Arial"/>
          <w:b/>
        </w:rPr>
        <w:t xml:space="preserve">27,152.40 </w:t>
      </w:r>
    </w:p>
    <w:p w14:paraId="2DDA64B5" w14:textId="77777777" w:rsidR="00122AEE" w:rsidRPr="005555D1" w:rsidRDefault="00122AEE" w:rsidP="00122AEE">
      <w:pPr>
        <w:spacing w:after="0" w:line="240" w:lineRule="auto"/>
        <w:ind w:left="6327" w:firstLine="153"/>
        <w:jc w:val="both"/>
        <w:rPr>
          <w:rFonts w:ascii="Arial" w:hAnsi="Arial" w:cs="Arial"/>
          <w:b/>
        </w:rPr>
      </w:pPr>
      <w:r>
        <w:rPr>
          <w:rFonts w:ascii="Arial" w:hAnsi="Arial" w:cs="Arial"/>
          <w:b/>
        </w:rPr>
        <w:t xml:space="preserve">           (inclusive of GST)</w:t>
      </w:r>
    </w:p>
    <w:p w14:paraId="2E563B3D" w14:textId="7EFA434E" w:rsidR="00122AEE" w:rsidRDefault="00122AEE" w:rsidP="00122AEE">
      <w:pPr>
        <w:pStyle w:val="ListParagraph"/>
        <w:spacing w:after="0" w:line="240" w:lineRule="auto"/>
        <w:ind w:left="1134" w:hanging="567"/>
        <w:jc w:val="both"/>
        <w:rPr>
          <w:rFonts w:ascii="Arial" w:hAnsi="Arial" w:cs="Arial"/>
        </w:rPr>
      </w:pPr>
    </w:p>
    <w:p w14:paraId="61F50E5B" w14:textId="77777777" w:rsidR="00C4580B" w:rsidRDefault="00C4580B" w:rsidP="00122AEE">
      <w:pPr>
        <w:pStyle w:val="ListParagraph"/>
        <w:spacing w:after="0" w:line="240" w:lineRule="auto"/>
        <w:ind w:left="1134" w:hanging="567"/>
        <w:jc w:val="both"/>
        <w:rPr>
          <w:rFonts w:ascii="Arial" w:hAnsi="Arial" w:cs="Arial"/>
        </w:rPr>
      </w:pPr>
    </w:p>
    <w:p w14:paraId="3D2B5193" w14:textId="77777777" w:rsidR="00122AEE" w:rsidRPr="00312E13"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312E13">
        <w:rPr>
          <w:rFonts w:ascii="Arial" w:hAnsi="Arial" w:cs="Arial"/>
        </w:rPr>
        <w:t>In determining the quantum of costs, the Commission has:</w:t>
      </w:r>
    </w:p>
    <w:p w14:paraId="41E55A01" w14:textId="77777777" w:rsidR="00122AEE" w:rsidRDefault="00122AEE" w:rsidP="00122AEE">
      <w:pPr>
        <w:pStyle w:val="ListParagraph"/>
        <w:numPr>
          <w:ilvl w:val="0"/>
          <w:numId w:val="19"/>
        </w:numPr>
        <w:spacing w:after="240" w:line="240" w:lineRule="auto"/>
        <w:ind w:left="1134" w:hanging="567"/>
        <w:contextualSpacing w:val="0"/>
        <w:jc w:val="both"/>
        <w:rPr>
          <w:rFonts w:ascii="Arial" w:hAnsi="Arial" w:cs="Arial"/>
        </w:rPr>
      </w:pPr>
      <w:r>
        <w:rPr>
          <w:rFonts w:ascii="Arial" w:hAnsi="Arial" w:cs="Arial"/>
        </w:rPr>
        <w:t>accepted the first and second respondents’ objections regarding:</w:t>
      </w:r>
    </w:p>
    <w:p w14:paraId="16BABDE5" w14:textId="77777777" w:rsidR="00122AEE" w:rsidRPr="00312E13" w:rsidRDefault="00122AEE" w:rsidP="00122AEE">
      <w:pPr>
        <w:pStyle w:val="ListParagraph"/>
        <w:numPr>
          <w:ilvl w:val="0"/>
          <w:numId w:val="20"/>
        </w:numPr>
        <w:spacing w:after="240" w:line="240" w:lineRule="auto"/>
        <w:ind w:left="1701" w:hanging="567"/>
        <w:contextualSpacing w:val="0"/>
        <w:jc w:val="both"/>
        <w:rPr>
          <w:rFonts w:ascii="Arial" w:hAnsi="Arial" w:cs="Arial"/>
        </w:rPr>
      </w:pPr>
      <w:r w:rsidRPr="00312E13">
        <w:rPr>
          <w:rFonts w:ascii="Arial" w:hAnsi="Arial" w:cs="Arial"/>
        </w:rPr>
        <w:t xml:space="preserve">the applicant’s failure to verify the amount of time i.e. the number of hours, claimed by the applicant for party/party costs and for indemnity costs for large fixed costs items and has reduced the same to the reasonable time it should have taken the applicant’s solicitors to complete the work; </w:t>
      </w:r>
    </w:p>
    <w:p w14:paraId="1513B264" w14:textId="77777777" w:rsidR="00122AEE" w:rsidRPr="00312E13" w:rsidRDefault="00122AEE" w:rsidP="00122AEE">
      <w:pPr>
        <w:pStyle w:val="ListParagraph"/>
        <w:numPr>
          <w:ilvl w:val="0"/>
          <w:numId w:val="20"/>
        </w:numPr>
        <w:spacing w:after="240" w:line="240" w:lineRule="auto"/>
        <w:ind w:left="1701" w:hanging="567"/>
        <w:contextualSpacing w:val="0"/>
        <w:jc w:val="both"/>
        <w:rPr>
          <w:rFonts w:ascii="Arial" w:hAnsi="Arial" w:cs="Arial"/>
        </w:rPr>
      </w:pPr>
      <w:r w:rsidRPr="00312E13">
        <w:rPr>
          <w:rFonts w:ascii="Arial" w:hAnsi="Arial" w:cs="Arial"/>
        </w:rPr>
        <w:t xml:space="preserve">the inclusion of costs regarding the work done in relation to the Supreme and District Court matters and has deducted the amounts claimed;  </w:t>
      </w:r>
    </w:p>
    <w:p w14:paraId="2FAF62A6" w14:textId="77777777" w:rsidR="00122AEE" w:rsidRDefault="00122AEE" w:rsidP="00122AEE">
      <w:pPr>
        <w:pStyle w:val="ListParagraph"/>
        <w:numPr>
          <w:ilvl w:val="0"/>
          <w:numId w:val="20"/>
        </w:numPr>
        <w:spacing w:after="240" w:line="240" w:lineRule="auto"/>
        <w:ind w:left="1701" w:hanging="567"/>
        <w:contextualSpacing w:val="0"/>
        <w:jc w:val="both"/>
        <w:rPr>
          <w:rFonts w:ascii="Arial" w:hAnsi="Arial" w:cs="Arial"/>
        </w:rPr>
      </w:pPr>
      <w:r>
        <w:rPr>
          <w:rFonts w:ascii="Arial" w:hAnsi="Arial" w:cs="Arial"/>
        </w:rPr>
        <w:t xml:space="preserve">the work done to request the delay and has deducted the same; </w:t>
      </w:r>
    </w:p>
    <w:p w14:paraId="7668363F" w14:textId="77777777" w:rsidR="00122AEE" w:rsidRDefault="00122AEE" w:rsidP="00122AEE">
      <w:pPr>
        <w:pStyle w:val="ListParagraph"/>
        <w:numPr>
          <w:ilvl w:val="0"/>
          <w:numId w:val="20"/>
        </w:numPr>
        <w:spacing w:after="240" w:line="240" w:lineRule="auto"/>
        <w:ind w:left="1701" w:hanging="567"/>
        <w:contextualSpacing w:val="0"/>
        <w:jc w:val="both"/>
        <w:rPr>
          <w:rFonts w:ascii="Arial" w:hAnsi="Arial" w:cs="Arial"/>
        </w:rPr>
      </w:pPr>
      <w:r>
        <w:rPr>
          <w:rFonts w:ascii="Arial" w:hAnsi="Arial" w:cs="Arial"/>
        </w:rPr>
        <w:t xml:space="preserve">settling documents and has included the settling costs into the costs of the preparation of the document/s; and </w:t>
      </w:r>
    </w:p>
    <w:p w14:paraId="16F5F4B8" w14:textId="77777777" w:rsidR="00122AEE" w:rsidRPr="00BF2E56" w:rsidRDefault="00122AEE" w:rsidP="00122AEE">
      <w:pPr>
        <w:pStyle w:val="ListParagraph"/>
        <w:numPr>
          <w:ilvl w:val="0"/>
          <w:numId w:val="20"/>
        </w:numPr>
        <w:spacing w:after="240" w:line="240" w:lineRule="auto"/>
        <w:ind w:left="1701" w:hanging="567"/>
        <w:contextualSpacing w:val="0"/>
        <w:jc w:val="both"/>
        <w:rPr>
          <w:rFonts w:ascii="Arial" w:hAnsi="Arial" w:cs="Arial"/>
        </w:rPr>
      </w:pPr>
      <w:bookmarkStart w:id="2" w:name="_Hlk7608309"/>
      <w:r>
        <w:rPr>
          <w:rFonts w:ascii="Arial" w:hAnsi="Arial" w:cs="Arial"/>
        </w:rPr>
        <w:t xml:space="preserve">the </w:t>
      </w:r>
      <w:r w:rsidRPr="00BF2E56">
        <w:rPr>
          <w:rFonts w:ascii="Arial" w:hAnsi="Arial" w:cs="Arial"/>
        </w:rPr>
        <w:t xml:space="preserve">letters lodging and serving documents and has deducted the same. </w:t>
      </w:r>
    </w:p>
    <w:bookmarkEnd w:id="2"/>
    <w:p w14:paraId="74B9E49F" w14:textId="77777777" w:rsidR="00122AEE" w:rsidRDefault="00122AEE" w:rsidP="00122AEE">
      <w:pPr>
        <w:pStyle w:val="ListParagraph"/>
        <w:spacing w:after="240" w:line="240" w:lineRule="auto"/>
        <w:ind w:left="1701"/>
        <w:contextualSpacing w:val="0"/>
        <w:jc w:val="both"/>
        <w:rPr>
          <w:rFonts w:ascii="Arial" w:hAnsi="Arial" w:cs="Arial"/>
        </w:rPr>
      </w:pPr>
      <w:r>
        <w:rPr>
          <w:rFonts w:ascii="Arial" w:hAnsi="Arial" w:cs="Arial"/>
        </w:rPr>
        <w:t>accepted the applicant’s submission that the issue of valid consideration does not arise as the retrospective costs agreement was executed as a Deed.</w:t>
      </w:r>
    </w:p>
    <w:p w14:paraId="1A84A74B" w14:textId="77777777" w:rsidR="00122AEE" w:rsidRDefault="00122AEE" w:rsidP="00122AEE">
      <w:pPr>
        <w:pStyle w:val="ListParagraph"/>
        <w:numPr>
          <w:ilvl w:val="0"/>
          <w:numId w:val="19"/>
        </w:numPr>
        <w:spacing w:after="240" w:line="240" w:lineRule="auto"/>
        <w:ind w:left="1134" w:hanging="567"/>
        <w:contextualSpacing w:val="0"/>
        <w:jc w:val="both"/>
        <w:rPr>
          <w:rFonts w:ascii="Arial" w:hAnsi="Arial" w:cs="Arial"/>
        </w:rPr>
      </w:pPr>
      <w:r>
        <w:rPr>
          <w:rFonts w:ascii="Arial" w:hAnsi="Arial" w:cs="Arial"/>
        </w:rPr>
        <w:t>notwithstanding that the issue of valid consideration does not arise, rejected the applicant’s submission that</w:t>
      </w:r>
      <w:r w:rsidRPr="00950FD1">
        <w:rPr>
          <w:rFonts w:ascii="Arial" w:hAnsi="Arial" w:cs="Arial"/>
        </w:rPr>
        <w:t xml:space="preserve"> </w:t>
      </w:r>
      <w:r>
        <w:rPr>
          <w:rFonts w:ascii="Arial" w:hAnsi="Arial" w:cs="Arial"/>
        </w:rPr>
        <w:t xml:space="preserve">the Deed is a </w:t>
      </w:r>
      <w:r w:rsidRPr="00950FD1">
        <w:rPr>
          <w:rFonts w:ascii="Arial" w:hAnsi="Arial" w:cs="Arial"/>
        </w:rPr>
        <w:t xml:space="preserve">valid costs agreement between the </w:t>
      </w:r>
      <w:r>
        <w:rPr>
          <w:rFonts w:ascii="Arial" w:hAnsi="Arial" w:cs="Arial"/>
        </w:rPr>
        <w:t xml:space="preserve">applicant </w:t>
      </w:r>
      <w:r w:rsidRPr="00950FD1">
        <w:rPr>
          <w:rFonts w:ascii="Arial" w:hAnsi="Arial" w:cs="Arial"/>
        </w:rPr>
        <w:t xml:space="preserve">and their solicitors, and as a result the </w:t>
      </w:r>
      <w:r>
        <w:rPr>
          <w:rFonts w:ascii="Arial" w:hAnsi="Arial" w:cs="Arial"/>
        </w:rPr>
        <w:t>applicant’s costs</w:t>
      </w:r>
      <w:r w:rsidRPr="00950FD1">
        <w:rPr>
          <w:rFonts w:ascii="Arial" w:hAnsi="Arial" w:cs="Arial"/>
        </w:rPr>
        <w:t xml:space="preserve"> </w:t>
      </w:r>
      <w:r>
        <w:rPr>
          <w:rFonts w:ascii="Arial" w:hAnsi="Arial" w:cs="Arial"/>
        </w:rPr>
        <w:t>are</w:t>
      </w:r>
      <w:r w:rsidRPr="00950FD1">
        <w:rPr>
          <w:rFonts w:ascii="Arial" w:hAnsi="Arial" w:cs="Arial"/>
        </w:rPr>
        <w:t xml:space="preserve"> confined to the</w:t>
      </w:r>
      <w:r>
        <w:rPr>
          <w:rFonts w:ascii="Arial" w:hAnsi="Arial" w:cs="Arial"/>
        </w:rPr>
        <w:t xml:space="preserve"> </w:t>
      </w:r>
      <w:r w:rsidRPr="00950FD1">
        <w:rPr>
          <w:rFonts w:ascii="Arial" w:hAnsi="Arial" w:cs="Arial"/>
        </w:rPr>
        <w:t>applicable scale of costs</w:t>
      </w:r>
      <w:r>
        <w:rPr>
          <w:rFonts w:ascii="Arial" w:hAnsi="Arial" w:cs="Arial"/>
        </w:rPr>
        <w:t xml:space="preserve"> in relation to the indemnity costs. </w:t>
      </w:r>
    </w:p>
    <w:p w14:paraId="6E12A1B7" w14:textId="77777777" w:rsidR="00122AEE" w:rsidRDefault="00122AEE" w:rsidP="00122AEE">
      <w:pPr>
        <w:pStyle w:val="ListParagraph"/>
        <w:spacing w:after="240" w:line="240" w:lineRule="auto"/>
        <w:ind w:left="1134"/>
        <w:contextualSpacing w:val="0"/>
        <w:jc w:val="both"/>
        <w:rPr>
          <w:rFonts w:ascii="Arial" w:hAnsi="Arial" w:cs="Arial"/>
        </w:rPr>
      </w:pPr>
      <w:r w:rsidRPr="004F3EAD">
        <w:rPr>
          <w:rFonts w:ascii="Arial" w:hAnsi="Arial" w:cs="Arial"/>
        </w:rPr>
        <w:t xml:space="preserve">Whether the </w:t>
      </w:r>
      <w:r>
        <w:rPr>
          <w:rFonts w:ascii="Arial" w:hAnsi="Arial" w:cs="Arial"/>
        </w:rPr>
        <w:t>Deed</w:t>
      </w:r>
      <w:r w:rsidRPr="004F3EAD">
        <w:rPr>
          <w:rFonts w:ascii="Arial" w:hAnsi="Arial" w:cs="Arial"/>
        </w:rPr>
        <w:t xml:space="preserve"> operates retrospectively</w:t>
      </w:r>
      <w:r>
        <w:rPr>
          <w:rFonts w:ascii="Arial" w:hAnsi="Arial" w:cs="Arial"/>
        </w:rPr>
        <w:t xml:space="preserve"> in relation to the costs claimed</w:t>
      </w:r>
      <w:r w:rsidRPr="004F3EAD">
        <w:rPr>
          <w:rFonts w:ascii="Arial" w:hAnsi="Arial" w:cs="Arial"/>
        </w:rPr>
        <w:t xml:space="preserve"> is a question of the proper construction of the </w:t>
      </w:r>
      <w:r>
        <w:rPr>
          <w:rFonts w:ascii="Arial" w:hAnsi="Arial" w:cs="Arial"/>
        </w:rPr>
        <w:t xml:space="preserve">Deed. </w:t>
      </w:r>
      <w:r w:rsidRPr="002C5B35">
        <w:rPr>
          <w:rFonts w:ascii="Arial" w:hAnsi="Arial" w:cs="Arial"/>
        </w:rPr>
        <w:t>The meaning of the terms of a contractual document is to be determined by what a reasonable person would have understood them to mean</w:t>
      </w:r>
      <w:r>
        <w:rPr>
          <w:rFonts w:ascii="Arial" w:hAnsi="Arial" w:cs="Arial"/>
        </w:rPr>
        <w:t xml:space="preserve"> (</w:t>
      </w:r>
      <w:r w:rsidRPr="002C5B35">
        <w:rPr>
          <w:rFonts w:ascii="Arial" w:hAnsi="Arial" w:cs="Arial"/>
          <w:i/>
        </w:rPr>
        <w:t xml:space="preserve">Walter v </w:t>
      </w:r>
      <w:proofErr w:type="spellStart"/>
      <w:r w:rsidRPr="002C5B35">
        <w:rPr>
          <w:rFonts w:ascii="Arial" w:hAnsi="Arial" w:cs="Arial"/>
          <w:i/>
        </w:rPr>
        <w:t>Buckeridge</w:t>
      </w:r>
      <w:proofErr w:type="spellEnd"/>
      <w:r w:rsidRPr="002C5B35">
        <w:rPr>
          <w:rFonts w:ascii="Arial" w:hAnsi="Arial" w:cs="Arial"/>
        </w:rPr>
        <w:t xml:space="preserve"> </w:t>
      </w:r>
      <w:r w:rsidRPr="002C5B35">
        <w:rPr>
          <w:rFonts w:ascii="Arial" w:hAnsi="Arial" w:cs="Arial"/>
          <w:i/>
        </w:rPr>
        <w:t xml:space="preserve">[No 5] </w:t>
      </w:r>
      <w:r w:rsidRPr="002C5B35">
        <w:rPr>
          <w:rFonts w:ascii="Arial" w:hAnsi="Arial" w:cs="Arial"/>
        </w:rPr>
        <w:t>[2012] WASC 495</w:t>
      </w:r>
      <w:r>
        <w:rPr>
          <w:rFonts w:ascii="Arial" w:hAnsi="Arial" w:cs="Arial"/>
        </w:rPr>
        <w:t xml:space="preserve"> at [50]). </w:t>
      </w:r>
    </w:p>
    <w:p w14:paraId="5BD2CF88" w14:textId="77777777" w:rsidR="00122AEE" w:rsidRDefault="00122AEE" w:rsidP="00122AEE">
      <w:pPr>
        <w:pStyle w:val="ListParagraph"/>
        <w:spacing w:after="240" w:line="240" w:lineRule="auto"/>
        <w:ind w:left="1134"/>
        <w:contextualSpacing w:val="0"/>
        <w:jc w:val="both"/>
        <w:rPr>
          <w:rFonts w:ascii="Arial" w:hAnsi="Arial" w:cs="Arial"/>
        </w:rPr>
      </w:pPr>
      <w:r>
        <w:rPr>
          <w:rFonts w:ascii="Arial" w:hAnsi="Arial" w:cs="Arial"/>
        </w:rPr>
        <w:lastRenderedPageBreak/>
        <w:t xml:space="preserve">The Deed should expressly state that it is intended to be an agreement between the parties to have retrospective effect in relation to the work undertaken by Cullen McLeod on behalf of the applicant during the requisite time.   </w:t>
      </w:r>
    </w:p>
    <w:p w14:paraId="41707D88" w14:textId="77777777" w:rsidR="00122AEE" w:rsidRDefault="00122AEE" w:rsidP="00122AEE">
      <w:pPr>
        <w:pStyle w:val="ListParagraph"/>
        <w:spacing w:after="240" w:line="240" w:lineRule="auto"/>
        <w:ind w:left="1134"/>
        <w:contextualSpacing w:val="0"/>
        <w:jc w:val="both"/>
        <w:rPr>
          <w:rFonts w:ascii="Arial" w:hAnsi="Arial" w:cs="Arial"/>
        </w:rPr>
      </w:pPr>
      <w:r w:rsidRPr="004F3EAD">
        <w:rPr>
          <w:rFonts w:ascii="Arial" w:hAnsi="Arial" w:cs="Arial"/>
        </w:rPr>
        <w:t>The</w:t>
      </w:r>
      <w:r>
        <w:rPr>
          <w:rFonts w:ascii="Arial" w:hAnsi="Arial" w:cs="Arial"/>
        </w:rPr>
        <w:t xml:space="preserve"> Deed fails to</w:t>
      </w:r>
      <w:r w:rsidRPr="004F3EAD">
        <w:rPr>
          <w:rFonts w:ascii="Arial" w:hAnsi="Arial" w:cs="Arial"/>
        </w:rPr>
        <w:t xml:space="preserve"> expressly state that it is intended to have retrospective effect</w:t>
      </w:r>
      <w:r>
        <w:rPr>
          <w:rFonts w:ascii="Arial" w:hAnsi="Arial" w:cs="Arial"/>
        </w:rPr>
        <w:t xml:space="preserve"> in relation to all work undertaken by Cullen McLeod on behalf of the applicant between say </w:t>
      </w:r>
      <w:r w:rsidRPr="00424D8A">
        <w:rPr>
          <w:rFonts w:ascii="Arial" w:hAnsi="Arial" w:cs="Arial"/>
        </w:rPr>
        <w:t>2 December 2016</w:t>
      </w:r>
      <w:r>
        <w:rPr>
          <w:rFonts w:ascii="Arial" w:hAnsi="Arial" w:cs="Arial"/>
        </w:rPr>
        <w:t xml:space="preserve"> to </w:t>
      </w:r>
      <w:r w:rsidRPr="00424D8A">
        <w:rPr>
          <w:rFonts w:ascii="Arial" w:hAnsi="Arial" w:cs="Arial"/>
        </w:rPr>
        <w:t>12 September 2017</w:t>
      </w:r>
      <w:r>
        <w:rPr>
          <w:rFonts w:ascii="Arial" w:hAnsi="Arial" w:cs="Arial"/>
        </w:rPr>
        <w:t>, inclusive, but rather it states that “</w:t>
      </w:r>
      <w:r w:rsidRPr="00424D8A">
        <w:rPr>
          <w:rFonts w:ascii="Arial" w:hAnsi="Arial" w:cs="Arial"/>
          <w:i/>
        </w:rPr>
        <w:t>it is entered into to put beyond the Client’s liability to CM for the costs incurred in the Review Retainer and that the terms of the First Costs Agreement apply, and applied, to the Review Retainer</w:t>
      </w:r>
      <w:r>
        <w:rPr>
          <w:rFonts w:ascii="Arial" w:hAnsi="Arial" w:cs="Arial"/>
        </w:rPr>
        <w:t xml:space="preserve">”. </w:t>
      </w:r>
    </w:p>
    <w:p w14:paraId="138C9E2E" w14:textId="77777777" w:rsidR="00122AEE" w:rsidRDefault="00122AEE" w:rsidP="00122AEE">
      <w:pPr>
        <w:pStyle w:val="ListParagraph"/>
        <w:spacing w:after="240" w:line="240" w:lineRule="auto"/>
        <w:ind w:left="1134"/>
        <w:contextualSpacing w:val="0"/>
        <w:jc w:val="both"/>
        <w:rPr>
          <w:rFonts w:ascii="Arial" w:hAnsi="Arial" w:cs="Arial"/>
        </w:rPr>
      </w:pPr>
      <w:r>
        <w:rPr>
          <w:rFonts w:ascii="Arial" w:hAnsi="Arial" w:cs="Arial"/>
        </w:rPr>
        <w:t xml:space="preserve">Even if the Deed was accepted, the scope of work must be limited as below and does not include the work undertaken in relation to the matters the subject of the costs order. </w:t>
      </w:r>
    </w:p>
    <w:p w14:paraId="149D0109" w14:textId="77777777" w:rsidR="00122AEE" w:rsidRDefault="00122AEE" w:rsidP="00122AEE">
      <w:pPr>
        <w:pStyle w:val="ListParagraph"/>
        <w:spacing w:after="240" w:line="240" w:lineRule="auto"/>
        <w:ind w:left="1134"/>
        <w:contextualSpacing w:val="0"/>
        <w:jc w:val="both"/>
        <w:rPr>
          <w:rFonts w:ascii="Arial" w:hAnsi="Arial" w:cs="Arial"/>
          <w:i/>
        </w:rPr>
      </w:pPr>
      <w:r w:rsidRPr="00444013">
        <w:rPr>
          <w:rFonts w:ascii="Arial" w:hAnsi="Arial" w:cs="Arial"/>
          <w:i/>
        </w:rPr>
        <w:t xml:space="preserve">Provide advice and assistance on the Application to Transfer </w:t>
      </w:r>
      <w:proofErr w:type="gramStart"/>
      <w:r w:rsidRPr="00444013">
        <w:rPr>
          <w:rFonts w:ascii="Arial" w:hAnsi="Arial" w:cs="Arial"/>
          <w:i/>
        </w:rPr>
        <w:t>The</w:t>
      </w:r>
      <w:proofErr w:type="gramEnd"/>
      <w:r w:rsidRPr="00444013">
        <w:rPr>
          <w:rFonts w:ascii="Arial" w:hAnsi="Arial" w:cs="Arial"/>
          <w:i/>
        </w:rPr>
        <w:t xml:space="preserve"> Hungry Hollow Tavern liquor licence to The Hollow Beach Bar and Grill Pty Ltd (Application). </w:t>
      </w:r>
    </w:p>
    <w:p w14:paraId="663D8431" w14:textId="77777777" w:rsidR="00122AEE" w:rsidRDefault="00122AEE" w:rsidP="00122AEE">
      <w:pPr>
        <w:pStyle w:val="ListParagraph"/>
        <w:spacing w:after="240" w:line="240" w:lineRule="auto"/>
        <w:ind w:firstLine="414"/>
        <w:contextualSpacing w:val="0"/>
        <w:jc w:val="both"/>
        <w:rPr>
          <w:rFonts w:ascii="Arial" w:hAnsi="Arial" w:cs="Arial"/>
          <w:i/>
        </w:rPr>
      </w:pPr>
      <w:r>
        <w:rPr>
          <w:rFonts w:ascii="Arial" w:hAnsi="Arial" w:cs="Arial"/>
          <w:i/>
        </w:rPr>
        <w:t xml:space="preserve">Liaise with the Licensing Authority and other parties on the Application. </w:t>
      </w:r>
    </w:p>
    <w:p w14:paraId="61054868" w14:textId="77777777" w:rsidR="00122AEE" w:rsidRPr="00444013" w:rsidRDefault="00122AEE" w:rsidP="00122AEE">
      <w:pPr>
        <w:pStyle w:val="ListParagraph"/>
        <w:spacing w:after="240" w:line="240" w:lineRule="auto"/>
        <w:ind w:left="1080"/>
        <w:contextualSpacing w:val="0"/>
        <w:jc w:val="both"/>
        <w:rPr>
          <w:rFonts w:ascii="Arial" w:hAnsi="Arial" w:cs="Arial"/>
          <w:i/>
        </w:rPr>
      </w:pPr>
      <w:r>
        <w:rPr>
          <w:rFonts w:ascii="Arial" w:hAnsi="Arial" w:cs="Arial"/>
          <w:i/>
        </w:rPr>
        <w:t>Review, collate and advise on documents required for the Application.</w:t>
      </w:r>
    </w:p>
    <w:p w14:paraId="22B79A3F" w14:textId="77777777" w:rsidR="00122AEE" w:rsidRDefault="00122AEE" w:rsidP="00122AEE">
      <w:pPr>
        <w:pStyle w:val="ListParagraph"/>
        <w:numPr>
          <w:ilvl w:val="0"/>
          <w:numId w:val="19"/>
        </w:numPr>
        <w:spacing w:after="240" w:line="240" w:lineRule="auto"/>
        <w:ind w:left="1134" w:hanging="567"/>
        <w:contextualSpacing w:val="0"/>
        <w:jc w:val="both"/>
        <w:rPr>
          <w:rFonts w:ascii="Arial" w:hAnsi="Arial" w:cs="Arial"/>
        </w:rPr>
      </w:pPr>
      <w:proofErr w:type="gramStart"/>
      <w:r>
        <w:rPr>
          <w:rFonts w:ascii="Arial" w:hAnsi="Arial" w:cs="Arial"/>
        </w:rPr>
        <w:t>taken into account</w:t>
      </w:r>
      <w:proofErr w:type="gramEnd"/>
      <w:r>
        <w:rPr>
          <w:rFonts w:ascii="Arial" w:hAnsi="Arial" w:cs="Arial"/>
        </w:rPr>
        <w:t xml:space="preserve"> the applicant’s submissions that certain costs in Schedule 3 of the bill of costs are the product of a discount that was provided in certain bills to the applicant. </w:t>
      </w:r>
    </w:p>
    <w:p w14:paraId="78A51BE7" w14:textId="77777777" w:rsidR="00122AEE" w:rsidRDefault="00122AEE" w:rsidP="00122AEE">
      <w:pPr>
        <w:pStyle w:val="ListParagraph"/>
        <w:numPr>
          <w:ilvl w:val="0"/>
          <w:numId w:val="19"/>
        </w:numPr>
        <w:spacing w:after="240" w:line="240" w:lineRule="auto"/>
        <w:ind w:left="1134" w:hanging="567"/>
        <w:contextualSpacing w:val="0"/>
        <w:jc w:val="both"/>
        <w:rPr>
          <w:rFonts w:ascii="Arial" w:hAnsi="Arial" w:cs="Arial"/>
        </w:rPr>
      </w:pPr>
      <w:r>
        <w:rPr>
          <w:rFonts w:ascii="Arial" w:hAnsi="Arial" w:cs="Arial"/>
        </w:rPr>
        <w:t xml:space="preserve">considered </w:t>
      </w:r>
      <w:r w:rsidRPr="00EE177E">
        <w:rPr>
          <w:rFonts w:ascii="Arial" w:hAnsi="Arial" w:cs="Arial"/>
        </w:rPr>
        <w:t xml:space="preserve">whether </w:t>
      </w:r>
      <w:r>
        <w:rPr>
          <w:rFonts w:ascii="Arial" w:hAnsi="Arial" w:cs="Arial"/>
        </w:rPr>
        <w:t xml:space="preserve">it </w:t>
      </w:r>
      <w:r w:rsidRPr="00EE177E">
        <w:rPr>
          <w:rFonts w:ascii="Arial" w:hAnsi="Arial" w:cs="Arial"/>
        </w:rPr>
        <w:t xml:space="preserve">was reasonable to carry out the items of work to which the claimed costs relate, </w:t>
      </w:r>
      <w:proofErr w:type="gramStart"/>
      <w:r w:rsidRPr="00EE177E">
        <w:rPr>
          <w:rFonts w:ascii="Arial" w:hAnsi="Arial" w:cs="Arial"/>
        </w:rPr>
        <w:t>whether or not</w:t>
      </w:r>
      <w:proofErr w:type="gramEnd"/>
      <w:r w:rsidRPr="00EE177E">
        <w:rPr>
          <w:rFonts w:ascii="Arial" w:hAnsi="Arial" w:cs="Arial"/>
        </w:rPr>
        <w:t xml:space="preserve"> the work was carried out in a reasonable manner, and what is a fair and reasonable amount of costs for </w:t>
      </w:r>
      <w:r>
        <w:rPr>
          <w:rFonts w:ascii="Arial" w:hAnsi="Arial" w:cs="Arial"/>
        </w:rPr>
        <w:t>each</w:t>
      </w:r>
      <w:r w:rsidRPr="00EE177E">
        <w:rPr>
          <w:rFonts w:ascii="Arial" w:hAnsi="Arial" w:cs="Arial"/>
        </w:rPr>
        <w:t xml:space="preserve"> item</w:t>
      </w:r>
      <w:r>
        <w:rPr>
          <w:rFonts w:ascii="Arial" w:hAnsi="Arial" w:cs="Arial"/>
        </w:rPr>
        <w:t xml:space="preserve"> / task</w:t>
      </w:r>
      <w:r w:rsidRPr="00EE177E">
        <w:rPr>
          <w:rFonts w:ascii="Arial" w:hAnsi="Arial" w:cs="Arial"/>
        </w:rPr>
        <w:t xml:space="preserve">.  </w:t>
      </w:r>
    </w:p>
    <w:p w14:paraId="712C75E2" w14:textId="77777777" w:rsidR="00122AEE" w:rsidRPr="00312E13"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312E13">
        <w:rPr>
          <w:rFonts w:ascii="Arial" w:hAnsi="Arial" w:cs="Arial"/>
        </w:rPr>
        <w:t xml:space="preserve">Where costs have been reduced, the Commission divided the costs claimed by the scale hourly rate to determine the hours claimed, and based on the tasks undertaken, determine the reasonable time it should have taken the applicant’s solicitors to complete the tasks claimed. </w:t>
      </w:r>
    </w:p>
    <w:p w14:paraId="51B360CD" w14:textId="77777777" w:rsidR="00122AEE" w:rsidRPr="0071649C" w:rsidRDefault="00122AEE" w:rsidP="00122AEE">
      <w:pPr>
        <w:pStyle w:val="ListParagraph"/>
        <w:numPr>
          <w:ilvl w:val="0"/>
          <w:numId w:val="1"/>
        </w:numPr>
        <w:spacing w:after="240" w:line="240" w:lineRule="auto"/>
        <w:ind w:left="567" w:hanging="567"/>
        <w:contextualSpacing w:val="0"/>
        <w:jc w:val="both"/>
        <w:rPr>
          <w:rFonts w:ascii="Arial" w:hAnsi="Arial" w:cs="Arial"/>
        </w:rPr>
      </w:pPr>
      <w:r w:rsidRPr="00FE7AA2">
        <w:rPr>
          <w:rFonts w:ascii="Arial" w:hAnsi="Arial" w:cs="Arial"/>
        </w:rPr>
        <w:t xml:space="preserve">Given that costs </w:t>
      </w:r>
      <w:r>
        <w:rPr>
          <w:rFonts w:ascii="Arial" w:hAnsi="Arial" w:cs="Arial"/>
        </w:rPr>
        <w:t xml:space="preserve">were awarded on a joint and several </w:t>
      </w:r>
      <w:proofErr w:type="gramStart"/>
      <w:r>
        <w:rPr>
          <w:rFonts w:ascii="Arial" w:hAnsi="Arial" w:cs="Arial"/>
        </w:rPr>
        <w:t>basis</w:t>
      </w:r>
      <w:proofErr w:type="gramEnd"/>
      <w:r>
        <w:rPr>
          <w:rFonts w:ascii="Arial" w:hAnsi="Arial" w:cs="Arial"/>
        </w:rPr>
        <w:t xml:space="preserve">, the Commission does not need to deal with apportioning the costs between the respondents. </w:t>
      </w:r>
    </w:p>
    <w:p w14:paraId="6995827E" w14:textId="77777777" w:rsidR="00122AEE" w:rsidRPr="00AF4307" w:rsidRDefault="00122AEE" w:rsidP="00122AEE">
      <w:pPr>
        <w:pStyle w:val="ListParagraph"/>
        <w:numPr>
          <w:ilvl w:val="0"/>
          <w:numId w:val="1"/>
        </w:numPr>
        <w:spacing w:after="240" w:line="240" w:lineRule="auto"/>
        <w:ind w:left="567" w:hanging="567"/>
        <w:contextualSpacing w:val="0"/>
        <w:jc w:val="both"/>
        <w:rPr>
          <w:rFonts w:ascii="Arial" w:hAnsi="Arial" w:cs="Arial"/>
        </w:rPr>
      </w:pPr>
      <w:r>
        <w:rPr>
          <w:rFonts w:ascii="Arial" w:hAnsi="Arial" w:cs="Arial"/>
        </w:rPr>
        <w:t xml:space="preserve">Accordingly, the </w:t>
      </w:r>
      <w:r w:rsidRPr="00312E13">
        <w:rPr>
          <w:rFonts w:ascii="Arial" w:hAnsi="Arial" w:cs="Arial"/>
        </w:rPr>
        <w:t>Commission</w:t>
      </w:r>
      <w:r>
        <w:rPr>
          <w:rFonts w:ascii="Arial" w:hAnsi="Arial" w:cs="Arial"/>
        </w:rPr>
        <w:t xml:space="preserve"> orders that t</w:t>
      </w:r>
      <w:r w:rsidRPr="00AF4307">
        <w:rPr>
          <w:rFonts w:ascii="Arial" w:hAnsi="Arial" w:cs="Arial"/>
        </w:rPr>
        <w:t xml:space="preserve">he total amount awarded to the applicant in costs is </w:t>
      </w:r>
      <w:r>
        <w:rPr>
          <w:rFonts w:ascii="Arial" w:hAnsi="Arial" w:cs="Arial"/>
        </w:rPr>
        <w:t xml:space="preserve">$43,403.80 (inclusive of GST) </w:t>
      </w:r>
      <w:r w:rsidRPr="00AF4307">
        <w:rPr>
          <w:rFonts w:ascii="Arial" w:hAnsi="Arial" w:cs="Arial"/>
        </w:rPr>
        <w:t>and payable by the respondents as follows:</w:t>
      </w:r>
    </w:p>
    <w:p w14:paraId="27BC1CCD" w14:textId="77777777" w:rsidR="00122AEE" w:rsidRPr="00AF4307" w:rsidRDefault="00122AEE" w:rsidP="00122AEE">
      <w:pPr>
        <w:pStyle w:val="ListParagraph"/>
        <w:numPr>
          <w:ilvl w:val="0"/>
          <w:numId w:val="37"/>
        </w:numPr>
        <w:spacing w:after="240" w:line="240" w:lineRule="auto"/>
        <w:ind w:left="1134" w:hanging="567"/>
        <w:contextualSpacing w:val="0"/>
        <w:jc w:val="both"/>
        <w:rPr>
          <w:rFonts w:ascii="Arial" w:hAnsi="Arial" w:cs="Arial"/>
        </w:rPr>
      </w:pPr>
      <w:r w:rsidRPr="00AF4307">
        <w:rPr>
          <w:rFonts w:ascii="Arial" w:hAnsi="Arial" w:cs="Arial"/>
        </w:rPr>
        <w:t xml:space="preserve">for the period 2 December 2016 to 15 May 2017, payable on a joint and several </w:t>
      </w:r>
      <w:proofErr w:type="gramStart"/>
      <w:r w:rsidRPr="00AF4307">
        <w:rPr>
          <w:rFonts w:ascii="Arial" w:hAnsi="Arial" w:cs="Arial"/>
        </w:rPr>
        <w:t>basis</w:t>
      </w:r>
      <w:proofErr w:type="gramEnd"/>
      <w:r w:rsidRPr="00AF4307">
        <w:rPr>
          <w:rFonts w:ascii="Arial" w:hAnsi="Arial" w:cs="Arial"/>
        </w:rPr>
        <w:t xml:space="preserve"> by </w:t>
      </w:r>
      <w:proofErr w:type="spellStart"/>
      <w:r w:rsidRPr="00AF4307">
        <w:rPr>
          <w:rFonts w:ascii="Arial" w:hAnsi="Arial" w:cs="Arial"/>
        </w:rPr>
        <w:t>Lavan</w:t>
      </w:r>
      <w:proofErr w:type="spellEnd"/>
      <w:r w:rsidRPr="00AF4307">
        <w:rPr>
          <w:rFonts w:ascii="Arial" w:hAnsi="Arial" w:cs="Arial"/>
        </w:rPr>
        <w:t xml:space="preserve">, Mr Garvey and Mr </w:t>
      </w:r>
      <w:proofErr w:type="spellStart"/>
      <w:r w:rsidRPr="00AF4307">
        <w:rPr>
          <w:rFonts w:ascii="Arial" w:hAnsi="Arial" w:cs="Arial"/>
        </w:rPr>
        <w:t>Coatz</w:t>
      </w:r>
      <w:proofErr w:type="spellEnd"/>
      <w:r w:rsidRPr="00AF4307">
        <w:rPr>
          <w:rFonts w:ascii="Arial" w:hAnsi="Arial" w:cs="Arial"/>
        </w:rPr>
        <w:t xml:space="preserve">, the amount of </w:t>
      </w:r>
      <w:r>
        <w:rPr>
          <w:rFonts w:ascii="Arial" w:hAnsi="Arial" w:cs="Arial"/>
        </w:rPr>
        <w:t>$</w:t>
      </w:r>
      <w:r w:rsidRPr="00724893">
        <w:rPr>
          <w:rFonts w:ascii="Arial" w:hAnsi="Arial" w:cs="Arial"/>
        </w:rPr>
        <w:t>16,251.40</w:t>
      </w:r>
      <w:r>
        <w:rPr>
          <w:rFonts w:ascii="Arial" w:hAnsi="Arial" w:cs="Arial"/>
          <w:b/>
        </w:rPr>
        <w:t xml:space="preserve"> </w:t>
      </w:r>
      <w:r>
        <w:rPr>
          <w:rFonts w:ascii="Arial" w:hAnsi="Arial" w:cs="Arial"/>
        </w:rPr>
        <w:t>(inclusive of GST)</w:t>
      </w:r>
      <w:r w:rsidRPr="00AF4307">
        <w:rPr>
          <w:rFonts w:ascii="Arial" w:hAnsi="Arial" w:cs="Arial"/>
        </w:rPr>
        <w:t>; and</w:t>
      </w:r>
    </w:p>
    <w:p w14:paraId="76A9B611" w14:textId="159ACC13" w:rsidR="00122AEE" w:rsidRDefault="00122AEE" w:rsidP="00122AEE">
      <w:pPr>
        <w:pStyle w:val="ListParagraph"/>
        <w:numPr>
          <w:ilvl w:val="0"/>
          <w:numId w:val="37"/>
        </w:numPr>
        <w:spacing w:after="240" w:line="240" w:lineRule="auto"/>
        <w:ind w:left="1134" w:hanging="567"/>
        <w:contextualSpacing w:val="0"/>
        <w:jc w:val="both"/>
        <w:rPr>
          <w:rFonts w:ascii="Arial" w:hAnsi="Arial" w:cs="Arial"/>
        </w:rPr>
      </w:pPr>
      <w:r w:rsidRPr="00AF4307">
        <w:rPr>
          <w:rFonts w:ascii="Arial" w:hAnsi="Arial" w:cs="Arial"/>
        </w:rPr>
        <w:t xml:space="preserve">for the period 16 May 2017 to 12 September 2017, payable on a joint and several </w:t>
      </w:r>
      <w:proofErr w:type="gramStart"/>
      <w:r w:rsidRPr="00AF4307">
        <w:rPr>
          <w:rFonts w:ascii="Arial" w:hAnsi="Arial" w:cs="Arial"/>
        </w:rPr>
        <w:t>basis</w:t>
      </w:r>
      <w:proofErr w:type="gramEnd"/>
      <w:r w:rsidRPr="00AF4307">
        <w:rPr>
          <w:rFonts w:ascii="Arial" w:hAnsi="Arial" w:cs="Arial"/>
        </w:rPr>
        <w:t xml:space="preserve"> by Mr Garvey and Mr </w:t>
      </w:r>
      <w:proofErr w:type="spellStart"/>
      <w:r w:rsidRPr="00AF4307">
        <w:rPr>
          <w:rFonts w:ascii="Arial" w:hAnsi="Arial" w:cs="Arial"/>
        </w:rPr>
        <w:t>Coatz</w:t>
      </w:r>
      <w:proofErr w:type="spellEnd"/>
      <w:r w:rsidRPr="00AF4307">
        <w:rPr>
          <w:rFonts w:ascii="Arial" w:hAnsi="Arial" w:cs="Arial"/>
        </w:rPr>
        <w:t xml:space="preserve">, the amount of </w:t>
      </w:r>
      <w:r w:rsidRPr="00724893">
        <w:rPr>
          <w:rFonts w:ascii="Arial" w:hAnsi="Arial" w:cs="Arial"/>
        </w:rPr>
        <w:t>$27,152.</w:t>
      </w:r>
      <w:r>
        <w:rPr>
          <w:rFonts w:ascii="Arial" w:hAnsi="Arial" w:cs="Arial"/>
        </w:rPr>
        <w:t>4</w:t>
      </w:r>
      <w:r w:rsidRPr="00724893">
        <w:rPr>
          <w:rFonts w:ascii="Arial" w:hAnsi="Arial" w:cs="Arial"/>
        </w:rPr>
        <w:t>0 (</w:t>
      </w:r>
      <w:r>
        <w:rPr>
          <w:rFonts w:ascii="Arial" w:hAnsi="Arial" w:cs="Arial"/>
        </w:rPr>
        <w:t>inclusive of GST)</w:t>
      </w:r>
      <w:r w:rsidRPr="00AF4307">
        <w:rPr>
          <w:rFonts w:ascii="Arial" w:hAnsi="Arial" w:cs="Arial"/>
        </w:rPr>
        <w:t>.</w:t>
      </w:r>
    </w:p>
    <w:p w14:paraId="2080248D" w14:textId="2D770B16" w:rsidR="00CC28CC" w:rsidRPr="00CC28CC" w:rsidRDefault="00CC28CC" w:rsidP="00CC28CC">
      <w:pPr>
        <w:spacing w:after="240" w:line="240" w:lineRule="auto"/>
        <w:jc w:val="both"/>
        <w:rPr>
          <w:rFonts w:ascii="Arial" w:hAnsi="Arial" w:cs="Arial"/>
        </w:rPr>
      </w:pPr>
      <w:r>
        <w:fldChar w:fldCharType="begin"/>
      </w:r>
      <w:r>
        <w:instrText xml:space="preserve"> INCLUDEPICTURE  "cid:image006.jpg@01D28392.5C8464D0" \* MERGEFORMATINET </w:instrText>
      </w:r>
      <w:r>
        <w:fldChar w:fldCharType="separate"/>
      </w:r>
      <w:r w:rsidR="00DF46AF">
        <w:fldChar w:fldCharType="begin"/>
      </w:r>
      <w:r w:rsidR="00DF46AF">
        <w:instrText xml:space="preserve"> INCLUDEPICTURE  "cid:image006.jpg@01D28392.5C8464D0" \* MERGEFORMATINET </w:instrText>
      </w:r>
      <w:r w:rsidR="00DF46AF">
        <w:fldChar w:fldCharType="separate"/>
      </w:r>
      <w:r w:rsidR="00CB1F5A">
        <w:fldChar w:fldCharType="begin"/>
      </w:r>
      <w:r w:rsidR="00CB1F5A">
        <w:instrText xml:space="preserve"> INCLUDEPICTURE  "cid:image006.jpg@01D28392.5C8464D0" \* MERGEFORMATINET </w:instrText>
      </w:r>
      <w:r w:rsidR="00CB1F5A">
        <w:fldChar w:fldCharType="separate"/>
      </w:r>
      <w:r w:rsidR="008C6DA6">
        <w:fldChar w:fldCharType="begin"/>
      </w:r>
      <w:r w:rsidR="008C6DA6">
        <w:instrText xml:space="preserve"> INCLUDEPICTURE  "cid:image006.jpg@01D28392.5C8464D0" \* MERGEFORMATINET </w:instrText>
      </w:r>
      <w:r w:rsidR="008C6DA6">
        <w:fldChar w:fldCharType="separate"/>
      </w:r>
      <w:r w:rsidR="00D80683">
        <w:fldChar w:fldCharType="begin"/>
      </w:r>
      <w:r w:rsidR="00D80683">
        <w:instrText xml:space="preserve"> </w:instrText>
      </w:r>
      <w:r w:rsidR="00D80683">
        <w:instrText>INCLUDEPICTURE  "cid:image006.jpg@01D28392.5C8464D0" \* MERGEFORMATINET</w:instrText>
      </w:r>
      <w:r w:rsidR="00D80683">
        <w:instrText xml:space="preserve"> </w:instrText>
      </w:r>
      <w:r w:rsidR="00D80683">
        <w:fldChar w:fldCharType="separate"/>
      </w:r>
      <w:r w:rsidR="00E30BB2">
        <w:pict w14:anchorId="33430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2.25pt;height:46.5pt">
            <v:imagedata r:id="rId8" r:href="rId9"/>
          </v:shape>
        </w:pict>
      </w:r>
      <w:r w:rsidR="00D80683">
        <w:fldChar w:fldCharType="end"/>
      </w:r>
      <w:r w:rsidR="008C6DA6">
        <w:fldChar w:fldCharType="end"/>
      </w:r>
      <w:r w:rsidR="00CB1F5A">
        <w:fldChar w:fldCharType="end"/>
      </w:r>
      <w:r w:rsidR="00DF46AF">
        <w:fldChar w:fldCharType="end"/>
      </w:r>
      <w:r>
        <w:fldChar w:fldCharType="end"/>
      </w:r>
    </w:p>
    <w:p w14:paraId="4565ABCC" w14:textId="1B5B4FEE" w:rsidR="007655EF" w:rsidRPr="007655EF" w:rsidRDefault="007655EF" w:rsidP="00CC28CC">
      <w:pPr>
        <w:spacing w:after="0"/>
        <w:rPr>
          <w:rFonts w:ascii="Arial" w:hAnsi="Arial" w:cs="Arial"/>
          <w:b/>
        </w:rPr>
      </w:pPr>
      <w:r w:rsidRPr="007433B0">
        <w:rPr>
          <w:rFonts w:cstheme="minorHAnsi"/>
        </w:rPr>
        <w:t>______________</w:t>
      </w:r>
      <w:r w:rsidRPr="007433B0">
        <w:rPr>
          <w:rFonts w:cstheme="minorHAnsi"/>
        </w:rPr>
        <w:tab/>
      </w:r>
      <w:r w:rsidRPr="007433B0">
        <w:rPr>
          <w:rFonts w:cstheme="minorHAnsi"/>
        </w:rPr>
        <w:br/>
      </w:r>
      <w:r w:rsidRPr="007655EF">
        <w:rPr>
          <w:rFonts w:ascii="Arial" w:hAnsi="Arial" w:cs="Arial"/>
          <w:b/>
        </w:rPr>
        <w:t>ALEX ZILKENS</w:t>
      </w:r>
    </w:p>
    <w:p w14:paraId="7F54359B" w14:textId="424C73D8" w:rsidR="007655EF" w:rsidRPr="007655EF" w:rsidRDefault="007655EF" w:rsidP="00CC28CC">
      <w:pPr>
        <w:spacing w:after="0"/>
        <w:rPr>
          <w:rFonts w:ascii="Arial" w:hAnsi="Arial" w:cs="Arial"/>
          <w:b/>
        </w:rPr>
      </w:pPr>
      <w:r w:rsidRPr="007655EF">
        <w:rPr>
          <w:rFonts w:ascii="Arial" w:hAnsi="Arial" w:cs="Arial"/>
          <w:b/>
        </w:rPr>
        <w:t>MEMBER</w:t>
      </w:r>
    </w:p>
    <w:sectPr w:rsidR="007655EF" w:rsidRPr="007655EF" w:rsidSect="00CC28CC">
      <w:footerReference w:type="default" r:id="rId10"/>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2FB9" w14:textId="77777777" w:rsidR="00D80683" w:rsidRDefault="00D80683" w:rsidP="000A109D">
      <w:pPr>
        <w:spacing w:after="0" w:line="240" w:lineRule="auto"/>
      </w:pPr>
      <w:r>
        <w:separator/>
      </w:r>
    </w:p>
  </w:endnote>
  <w:endnote w:type="continuationSeparator" w:id="0">
    <w:p w14:paraId="143ED42F" w14:textId="77777777" w:rsidR="00D80683" w:rsidRDefault="00D80683" w:rsidP="000A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378083"/>
      <w:docPartObj>
        <w:docPartGallery w:val="Page Numbers (Bottom of Page)"/>
        <w:docPartUnique/>
      </w:docPartObj>
    </w:sdtPr>
    <w:sdtEndPr>
      <w:rPr>
        <w:noProof/>
      </w:rPr>
    </w:sdtEndPr>
    <w:sdtContent>
      <w:p w14:paraId="2EC8E28F" w14:textId="332451EE" w:rsidR="00CC28CC" w:rsidRDefault="00CC2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E8AF5" w14:textId="77777777" w:rsidR="00CC28CC" w:rsidRDefault="00CC2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2E0A0" w14:textId="77777777" w:rsidR="00D80683" w:rsidRDefault="00D80683" w:rsidP="000A109D">
      <w:pPr>
        <w:spacing w:after="0" w:line="240" w:lineRule="auto"/>
      </w:pPr>
      <w:r>
        <w:separator/>
      </w:r>
    </w:p>
  </w:footnote>
  <w:footnote w:type="continuationSeparator" w:id="0">
    <w:p w14:paraId="5DAEDB0E" w14:textId="77777777" w:rsidR="00D80683" w:rsidRDefault="00D80683" w:rsidP="000A1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51D"/>
    <w:multiLevelType w:val="hybridMultilevel"/>
    <w:tmpl w:val="D06EAD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35E4F"/>
    <w:multiLevelType w:val="hybridMultilevel"/>
    <w:tmpl w:val="0EAC6008"/>
    <w:lvl w:ilvl="0" w:tplc="09460F52">
      <w:start w:val="1"/>
      <w:numFmt w:val="decimal"/>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B9E4F52"/>
    <w:multiLevelType w:val="hybridMultilevel"/>
    <w:tmpl w:val="68E214B8"/>
    <w:lvl w:ilvl="0" w:tplc="996431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E00EA5"/>
    <w:multiLevelType w:val="hybridMultilevel"/>
    <w:tmpl w:val="2F4023BC"/>
    <w:lvl w:ilvl="0" w:tplc="E300294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0F0B3C54"/>
    <w:multiLevelType w:val="hybridMultilevel"/>
    <w:tmpl w:val="E46EFF68"/>
    <w:lvl w:ilvl="0" w:tplc="0348613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10C576CB"/>
    <w:multiLevelType w:val="hybridMultilevel"/>
    <w:tmpl w:val="A52ABE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656DD4"/>
    <w:multiLevelType w:val="hybridMultilevel"/>
    <w:tmpl w:val="BAFA954A"/>
    <w:lvl w:ilvl="0" w:tplc="31F87DE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2B96FD1"/>
    <w:multiLevelType w:val="hybridMultilevel"/>
    <w:tmpl w:val="E380209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33C1DD6"/>
    <w:multiLevelType w:val="hybridMultilevel"/>
    <w:tmpl w:val="B652E0BC"/>
    <w:lvl w:ilvl="0" w:tplc="1194C7C4">
      <w:start w:val="1"/>
      <w:numFmt w:val="decimal"/>
      <w:lvlText w:val="(%1)"/>
      <w:lvlJc w:val="left"/>
      <w:pPr>
        <w:ind w:left="720" w:hanging="360"/>
      </w:pPr>
      <w:rPr>
        <w:rFonts w:ascii="Arial" w:eastAsia="Times New Roman" w:hAnsi="Arial" w:cs="Arial" w:hint="default"/>
        <w:color w:val="0000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F60D39"/>
    <w:multiLevelType w:val="hybridMultilevel"/>
    <w:tmpl w:val="A29E0508"/>
    <w:lvl w:ilvl="0" w:tplc="A7DE59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80692C"/>
    <w:multiLevelType w:val="hybridMultilevel"/>
    <w:tmpl w:val="2A9AB1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851C49"/>
    <w:multiLevelType w:val="multilevel"/>
    <w:tmpl w:val="88F823D0"/>
    <w:lvl w:ilvl="0">
      <w:start w:val="4"/>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21AA3710"/>
    <w:multiLevelType w:val="hybridMultilevel"/>
    <w:tmpl w:val="A7F03532"/>
    <w:lvl w:ilvl="0" w:tplc="0E762AF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A9242F"/>
    <w:multiLevelType w:val="hybridMultilevel"/>
    <w:tmpl w:val="0E32E0B4"/>
    <w:lvl w:ilvl="0" w:tplc="97868FA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28E753FF"/>
    <w:multiLevelType w:val="hybridMultilevel"/>
    <w:tmpl w:val="906CF1B0"/>
    <w:lvl w:ilvl="0" w:tplc="4E34952E">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2CF15845"/>
    <w:multiLevelType w:val="hybridMultilevel"/>
    <w:tmpl w:val="DA3E2BF6"/>
    <w:lvl w:ilvl="0" w:tplc="CB8EC23A">
      <w:start w:val="1"/>
      <w:numFmt w:val="lowerLetter"/>
      <w:lvlText w:val="(%1)"/>
      <w:lvlJc w:val="left"/>
      <w:pPr>
        <w:ind w:left="1440" w:hanging="72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E7F0C1E"/>
    <w:multiLevelType w:val="hybridMultilevel"/>
    <w:tmpl w:val="D3E233DE"/>
    <w:lvl w:ilvl="0" w:tplc="1FBE16E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3A383D34"/>
    <w:multiLevelType w:val="hybridMultilevel"/>
    <w:tmpl w:val="5186EAB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B944CEF"/>
    <w:multiLevelType w:val="hybridMultilevel"/>
    <w:tmpl w:val="18968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F1AA0"/>
    <w:multiLevelType w:val="hybridMultilevel"/>
    <w:tmpl w:val="F564AB02"/>
    <w:lvl w:ilvl="0" w:tplc="B09CE79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9054C7"/>
    <w:multiLevelType w:val="hybridMultilevel"/>
    <w:tmpl w:val="629EBC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F56F39"/>
    <w:multiLevelType w:val="hybridMultilevel"/>
    <w:tmpl w:val="CAF6BD46"/>
    <w:lvl w:ilvl="0" w:tplc="2C1226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9142A1"/>
    <w:multiLevelType w:val="multilevel"/>
    <w:tmpl w:val="CF5A6690"/>
    <w:lvl w:ilvl="0">
      <w:start w:val="4"/>
      <w:numFmt w:val="decimal"/>
      <w:lvlText w:val="%1"/>
      <w:lvlJc w:val="left"/>
      <w:pPr>
        <w:ind w:left="360" w:hanging="360"/>
      </w:pPr>
      <w:rPr>
        <w:rFonts w:hint="default"/>
      </w:rPr>
    </w:lvl>
    <w:lvl w:ilvl="1">
      <w:start w:val="5"/>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3" w15:restartNumberingAfterBreak="0">
    <w:nsid w:val="50742646"/>
    <w:multiLevelType w:val="hybridMultilevel"/>
    <w:tmpl w:val="A4F02B70"/>
    <w:lvl w:ilvl="0" w:tplc="D5EA11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12B217F"/>
    <w:multiLevelType w:val="hybridMultilevel"/>
    <w:tmpl w:val="64F45F3A"/>
    <w:lvl w:ilvl="0" w:tplc="725461D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3122092"/>
    <w:multiLevelType w:val="hybridMultilevel"/>
    <w:tmpl w:val="442818FC"/>
    <w:lvl w:ilvl="0" w:tplc="D26AD41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6430DE6"/>
    <w:multiLevelType w:val="hybridMultilevel"/>
    <w:tmpl w:val="6AB4D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534F53"/>
    <w:multiLevelType w:val="hybridMultilevel"/>
    <w:tmpl w:val="BF444AC4"/>
    <w:lvl w:ilvl="0" w:tplc="6E341D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4C3494"/>
    <w:multiLevelType w:val="hybridMultilevel"/>
    <w:tmpl w:val="61AA148C"/>
    <w:lvl w:ilvl="0" w:tplc="06B6DA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EF64BEC"/>
    <w:multiLevelType w:val="hybridMultilevel"/>
    <w:tmpl w:val="187EE28C"/>
    <w:lvl w:ilvl="0" w:tplc="E606301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6168191E"/>
    <w:multiLevelType w:val="hybridMultilevel"/>
    <w:tmpl w:val="A7F03532"/>
    <w:lvl w:ilvl="0" w:tplc="0E762AF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3AD32E7"/>
    <w:multiLevelType w:val="hybridMultilevel"/>
    <w:tmpl w:val="B5A02C02"/>
    <w:lvl w:ilvl="0" w:tplc="C6A099A6">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ED5775"/>
    <w:multiLevelType w:val="hybridMultilevel"/>
    <w:tmpl w:val="F820A42E"/>
    <w:lvl w:ilvl="0" w:tplc="6E341D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72594F"/>
    <w:multiLevelType w:val="hybridMultilevel"/>
    <w:tmpl w:val="74C4EE9E"/>
    <w:lvl w:ilvl="0" w:tplc="DA6AC3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09F4545"/>
    <w:multiLevelType w:val="hybridMultilevel"/>
    <w:tmpl w:val="187EE28C"/>
    <w:lvl w:ilvl="0" w:tplc="E606301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714B0E56"/>
    <w:multiLevelType w:val="hybridMultilevel"/>
    <w:tmpl w:val="2416BC52"/>
    <w:lvl w:ilvl="0" w:tplc="20C465D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76E21F8F"/>
    <w:multiLevelType w:val="hybridMultilevel"/>
    <w:tmpl w:val="CB4485A8"/>
    <w:lvl w:ilvl="0" w:tplc="E606301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7D1845FF"/>
    <w:multiLevelType w:val="hybridMultilevel"/>
    <w:tmpl w:val="8DCC5AAA"/>
    <w:lvl w:ilvl="0" w:tplc="3EFA7A4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7DF7495B"/>
    <w:multiLevelType w:val="hybridMultilevel"/>
    <w:tmpl w:val="E53E021E"/>
    <w:lvl w:ilvl="0" w:tplc="3B2A3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7"/>
  </w:num>
  <w:num w:numId="3">
    <w:abstractNumId w:val="27"/>
  </w:num>
  <w:num w:numId="4">
    <w:abstractNumId w:val="5"/>
  </w:num>
  <w:num w:numId="5">
    <w:abstractNumId w:val="26"/>
  </w:num>
  <w:num w:numId="6">
    <w:abstractNumId w:val="0"/>
  </w:num>
  <w:num w:numId="7">
    <w:abstractNumId w:val="33"/>
  </w:num>
  <w:num w:numId="8">
    <w:abstractNumId w:val="15"/>
  </w:num>
  <w:num w:numId="9">
    <w:abstractNumId w:val="17"/>
  </w:num>
  <w:num w:numId="10">
    <w:abstractNumId w:val="10"/>
  </w:num>
  <w:num w:numId="11">
    <w:abstractNumId w:val="20"/>
  </w:num>
  <w:num w:numId="12">
    <w:abstractNumId w:val="24"/>
  </w:num>
  <w:num w:numId="13">
    <w:abstractNumId w:val="32"/>
  </w:num>
  <w:num w:numId="14">
    <w:abstractNumId w:val="1"/>
  </w:num>
  <w:num w:numId="15">
    <w:abstractNumId w:val="14"/>
  </w:num>
  <w:num w:numId="16">
    <w:abstractNumId w:val="28"/>
  </w:num>
  <w:num w:numId="17">
    <w:abstractNumId w:val="23"/>
  </w:num>
  <w:num w:numId="18">
    <w:abstractNumId w:val="11"/>
  </w:num>
  <w:num w:numId="19">
    <w:abstractNumId w:val="25"/>
  </w:num>
  <w:num w:numId="20">
    <w:abstractNumId w:val="19"/>
  </w:num>
  <w:num w:numId="21">
    <w:abstractNumId w:val="6"/>
  </w:num>
  <w:num w:numId="22">
    <w:abstractNumId w:val="34"/>
  </w:num>
  <w:num w:numId="23">
    <w:abstractNumId w:val="35"/>
  </w:num>
  <w:num w:numId="24">
    <w:abstractNumId w:val="16"/>
  </w:num>
  <w:num w:numId="25">
    <w:abstractNumId w:val="37"/>
  </w:num>
  <w:num w:numId="26">
    <w:abstractNumId w:val="29"/>
  </w:num>
  <w:num w:numId="27">
    <w:abstractNumId w:val="36"/>
  </w:num>
  <w:num w:numId="28">
    <w:abstractNumId w:val="8"/>
  </w:num>
  <w:num w:numId="29">
    <w:abstractNumId w:val="3"/>
  </w:num>
  <w:num w:numId="30">
    <w:abstractNumId w:val="21"/>
  </w:num>
  <w:num w:numId="31">
    <w:abstractNumId w:val="13"/>
  </w:num>
  <w:num w:numId="32">
    <w:abstractNumId w:val="31"/>
  </w:num>
  <w:num w:numId="33">
    <w:abstractNumId w:val="38"/>
  </w:num>
  <w:num w:numId="34">
    <w:abstractNumId w:val="22"/>
  </w:num>
  <w:num w:numId="35">
    <w:abstractNumId w:val="4"/>
  </w:num>
  <w:num w:numId="36">
    <w:abstractNumId w:val="9"/>
  </w:num>
  <w:num w:numId="37">
    <w:abstractNumId w:val="2"/>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E2"/>
    <w:rsid w:val="00016D39"/>
    <w:rsid w:val="00052B40"/>
    <w:rsid w:val="00056AE7"/>
    <w:rsid w:val="00074DC2"/>
    <w:rsid w:val="00086884"/>
    <w:rsid w:val="00092004"/>
    <w:rsid w:val="000A109D"/>
    <w:rsid w:val="000A138A"/>
    <w:rsid w:val="000B40A8"/>
    <w:rsid w:val="000B7BD8"/>
    <w:rsid w:val="000D1F4C"/>
    <w:rsid w:val="000D28E1"/>
    <w:rsid w:val="000D46E6"/>
    <w:rsid w:val="000D5067"/>
    <w:rsid w:val="000E32E5"/>
    <w:rsid w:val="000F1406"/>
    <w:rsid w:val="000F62BC"/>
    <w:rsid w:val="00114530"/>
    <w:rsid w:val="00122AEE"/>
    <w:rsid w:val="00175FD2"/>
    <w:rsid w:val="00183637"/>
    <w:rsid w:val="00184264"/>
    <w:rsid w:val="00185639"/>
    <w:rsid w:val="00192C60"/>
    <w:rsid w:val="001A6F3C"/>
    <w:rsid w:val="001C229A"/>
    <w:rsid w:val="001D71F6"/>
    <w:rsid w:val="001D7BE0"/>
    <w:rsid w:val="001E6EE2"/>
    <w:rsid w:val="001E6F50"/>
    <w:rsid w:val="001F15D2"/>
    <w:rsid w:val="00213FDF"/>
    <w:rsid w:val="00223812"/>
    <w:rsid w:val="0022441F"/>
    <w:rsid w:val="0022781C"/>
    <w:rsid w:val="00233565"/>
    <w:rsid w:val="002539D3"/>
    <w:rsid w:val="002645F8"/>
    <w:rsid w:val="002668FA"/>
    <w:rsid w:val="00277DEE"/>
    <w:rsid w:val="00287803"/>
    <w:rsid w:val="002A2C79"/>
    <w:rsid w:val="002C4F2D"/>
    <w:rsid w:val="002C5B35"/>
    <w:rsid w:val="002D3FCE"/>
    <w:rsid w:val="002E6559"/>
    <w:rsid w:val="002E67A3"/>
    <w:rsid w:val="003071DC"/>
    <w:rsid w:val="00307603"/>
    <w:rsid w:val="00312E13"/>
    <w:rsid w:val="003158E3"/>
    <w:rsid w:val="003167D7"/>
    <w:rsid w:val="00324D24"/>
    <w:rsid w:val="00325478"/>
    <w:rsid w:val="00351461"/>
    <w:rsid w:val="0036548B"/>
    <w:rsid w:val="00376195"/>
    <w:rsid w:val="003853DE"/>
    <w:rsid w:val="003A4392"/>
    <w:rsid w:val="003C5937"/>
    <w:rsid w:val="003E0B7F"/>
    <w:rsid w:val="00424D8A"/>
    <w:rsid w:val="00424E2F"/>
    <w:rsid w:val="00444013"/>
    <w:rsid w:val="004469CF"/>
    <w:rsid w:val="00447888"/>
    <w:rsid w:val="00455170"/>
    <w:rsid w:val="0045698B"/>
    <w:rsid w:val="00462B0F"/>
    <w:rsid w:val="00466B61"/>
    <w:rsid w:val="00472667"/>
    <w:rsid w:val="004901D5"/>
    <w:rsid w:val="00492FD8"/>
    <w:rsid w:val="004A101B"/>
    <w:rsid w:val="004A7C80"/>
    <w:rsid w:val="004B56C9"/>
    <w:rsid w:val="004C1758"/>
    <w:rsid w:val="004C4B12"/>
    <w:rsid w:val="004C76CA"/>
    <w:rsid w:val="004D353F"/>
    <w:rsid w:val="004E7FFC"/>
    <w:rsid w:val="004F3EAD"/>
    <w:rsid w:val="00515AFD"/>
    <w:rsid w:val="00523A06"/>
    <w:rsid w:val="0053253A"/>
    <w:rsid w:val="00550751"/>
    <w:rsid w:val="005555D1"/>
    <w:rsid w:val="00583B40"/>
    <w:rsid w:val="005B07F7"/>
    <w:rsid w:val="005B2DF0"/>
    <w:rsid w:val="005B309A"/>
    <w:rsid w:val="005C7103"/>
    <w:rsid w:val="005D00D2"/>
    <w:rsid w:val="005E4D2B"/>
    <w:rsid w:val="005F3071"/>
    <w:rsid w:val="005F4285"/>
    <w:rsid w:val="00640701"/>
    <w:rsid w:val="00652DBD"/>
    <w:rsid w:val="00672ECC"/>
    <w:rsid w:val="00675E4E"/>
    <w:rsid w:val="00680885"/>
    <w:rsid w:val="006829C3"/>
    <w:rsid w:val="00683BD0"/>
    <w:rsid w:val="00685EDC"/>
    <w:rsid w:val="006A6E68"/>
    <w:rsid w:val="006B084A"/>
    <w:rsid w:val="006B1A57"/>
    <w:rsid w:val="006B3BD5"/>
    <w:rsid w:val="006C3478"/>
    <w:rsid w:val="006E5C56"/>
    <w:rsid w:val="006F5A8E"/>
    <w:rsid w:val="00704479"/>
    <w:rsid w:val="00706382"/>
    <w:rsid w:val="00712DF8"/>
    <w:rsid w:val="0071649C"/>
    <w:rsid w:val="0071793E"/>
    <w:rsid w:val="007240C4"/>
    <w:rsid w:val="00727BC6"/>
    <w:rsid w:val="00732FDC"/>
    <w:rsid w:val="007655EF"/>
    <w:rsid w:val="00780B4C"/>
    <w:rsid w:val="00784F12"/>
    <w:rsid w:val="007A1B91"/>
    <w:rsid w:val="007A52A0"/>
    <w:rsid w:val="007B1305"/>
    <w:rsid w:val="007D7B7A"/>
    <w:rsid w:val="007F65B3"/>
    <w:rsid w:val="00825BE4"/>
    <w:rsid w:val="008304CB"/>
    <w:rsid w:val="00831F36"/>
    <w:rsid w:val="0083308C"/>
    <w:rsid w:val="00836D60"/>
    <w:rsid w:val="00836F0E"/>
    <w:rsid w:val="00842250"/>
    <w:rsid w:val="008448A1"/>
    <w:rsid w:val="008576F0"/>
    <w:rsid w:val="00863EE1"/>
    <w:rsid w:val="00866A65"/>
    <w:rsid w:val="00877BD1"/>
    <w:rsid w:val="00884207"/>
    <w:rsid w:val="0089220B"/>
    <w:rsid w:val="00892245"/>
    <w:rsid w:val="008A051B"/>
    <w:rsid w:val="008A6488"/>
    <w:rsid w:val="008C58A7"/>
    <w:rsid w:val="008C6DA6"/>
    <w:rsid w:val="008F59DA"/>
    <w:rsid w:val="00905AD8"/>
    <w:rsid w:val="0092079B"/>
    <w:rsid w:val="00940AE6"/>
    <w:rsid w:val="00950FD1"/>
    <w:rsid w:val="0095669F"/>
    <w:rsid w:val="0096089C"/>
    <w:rsid w:val="00961C0E"/>
    <w:rsid w:val="00966545"/>
    <w:rsid w:val="00974A58"/>
    <w:rsid w:val="009759A6"/>
    <w:rsid w:val="00975A18"/>
    <w:rsid w:val="00980F68"/>
    <w:rsid w:val="00995D85"/>
    <w:rsid w:val="009A1E1A"/>
    <w:rsid w:val="009A4184"/>
    <w:rsid w:val="009B7D6F"/>
    <w:rsid w:val="009C0CFE"/>
    <w:rsid w:val="009C2C53"/>
    <w:rsid w:val="009C2DDA"/>
    <w:rsid w:val="009C7E2D"/>
    <w:rsid w:val="009D6DC6"/>
    <w:rsid w:val="00A05EB5"/>
    <w:rsid w:val="00A11858"/>
    <w:rsid w:val="00A1697E"/>
    <w:rsid w:val="00A20495"/>
    <w:rsid w:val="00A230A4"/>
    <w:rsid w:val="00A2344B"/>
    <w:rsid w:val="00A30281"/>
    <w:rsid w:val="00A30BB0"/>
    <w:rsid w:val="00A64AB0"/>
    <w:rsid w:val="00AA348D"/>
    <w:rsid w:val="00AC54CB"/>
    <w:rsid w:val="00AD5B60"/>
    <w:rsid w:val="00AE61C2"/>
    <w:rsid w:val="00AF4307"/>
    <w:rsid w:val="00B02085"/>
    <w:rsid w:val="00B04CCD"/>
    <w:rsid w:val="00B12CB1"/>
    <w:rsid w:val="00B22114"/>
    <w:rsid w:val="00B267C8"/>
    <w:rsid w:val="00B4637A"/>
    <w:rsid w:val="00B61A2E"/>
    <w:rsid w:val="00B63022"/>
    <w:rsid w:val="00B81146"/>
    <w:rsid w:val="00B82199"/>
    <w:rsid w:val="00BA5583"/>
    <w:rsid w:val="00BC17AE"/>
    <w:rsid w:val="00BE500F"/>
    <w:rsid w:val="00BE697A"/>
    <w:rsid w:val="00BF2E56"/>
    <w:rsid w:val="00C01059"/>
    <w:rsid w:val="00C101EC"/>
    <w:rsid w:val="00C22091"/>
    <w:rsid w:val="00C231C6"/>
    <w:rsid w:val="00C4580B"/>
    <w:rsid w:val="00C47CC6"/>
    <w:rsid w:val="00C53A20"/>
    <w:rsid w:val="00C62AD9"/>
    <w:rsid w:val="00C903B7"/>
    <w:rsid w:val="00CB1F5A"/>
    <w:rsid w:val="00CC2638"/>
    <w:rsid w:val="00CC28CC"/>
    <w:rsid w:val="00CC533D"/>
    <w:rsid w:val="00CD2523"/>
    <w:rsid w:val="00CD5B93"/>
    <w:rsid w:val="00CD7EA3"/>
    <w:rsid w:val="00CE77FC"/>
    <w:rsid w:val="00CF21B3"/>
    <w:rsid w:val="00D80683"/>
    <w:rsid w:val="00D90DF0"/>
    <w:rsid w:val="00DB24A6"/>
    <w:rsid w:val="00DC462C"/>
    <w:rsid w:val="00DC6148"/>
    <w:rsid w:val="00DD153C"/>
    <w:rsid w:val="00DD2DFC"/>
    <w:rsid w:val="00DE1533"/>
    <w:rsid w:val="00DF46AF"/>
    <w:rsid w:val="00E036A4"/>
    <w:rsid w:val="00E133B4"/>
    <w:rsid w:val="00E30BB2"/>
    <w:rsid w:val="00E33786"/>
    <w:rsid w:val="00E46E77"/>
    <w:rsid w:val="00E5410A"/>
    <w:rsid w:val="00E62A70"/>
    <w:rsid w:val="00E64387"/>
    <w:rsid w:val="00E66C6E"/>
    <w:rsid w:val="00E85B76"/>
    <w:rsid w:val="00E87A64"/>
    <w:rsid w:val="00EA583F"/>
    <w:rsid w:val="00EB076B"/>
    <w:rsid w:val="00EB28F7"/>
    <w:rsid w:val="00ED65E2"/>
    <w:rsid w:val="00ED7785"/>
    <w:rsid w:val="00EE177E"/>
    <w:rsid w:val="00EF1863"/>
    <w:rsid w:val="00EF4FFB"/>
    <w:rsid w:val="00EF7C49"/>
    <w:rsid w:val="00F22B6E"/>
    <w:rsid w:val="00F332E2"/>
    <w:rsid w:val="00F416F9"/>
    <w:rsid w:val="00F45FD6"/>
    <w:rsid w:val="00F71648"/>
    <w:rsid w:val="00F72B6C"/>
    <w:rsid w:val="00F77AB3"/>
    <w:rsid w:val="00F90712"/>
    <w:rsid w:val="00FB4005"/>
    <w:rsid w:val="00FB4659"/>
    <w:rsid w:val="00FB682C"/>
    <w:rsid w:val="00FC589B"/>
    <w:rsid w:val="00FE7AA2"/>
    <w:rsid w:val="00FF1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E0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52B4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E2"/>
    <w:pPr>
      <w:ind w:left="720"/>
      <w:contextualSpacing/>
    </w:pPr>
  </w:style>
  <w:style w:type="paragraph" w:customStyle="1" w:styleId="Default">
    <w:name w:val="Default"/>
    <w:rsid w:val="000868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74A58"/>
    <w:pPr>
      <w:spacing w:before="100" w:beforeAutospacing="1" w:after="100" w:afterAutospacing="1" w:line="240" w:lineRule="auto"/>
    </w:pPr>
    <w:rPr>
      <w:rFonts w:ascii="Calibri" w:hAnsi="Calibri" w:cs="Calibri"/>
      <w:lang w:eastAsia="en-AU"/>
    </w:rPr>
  </w:style>
  <w:style w:type="character" w:customStyle="1" w:styleId="Heading3Char">
    <w:name w:val="Heading 3 Char"/>
    <w:basedOn w:val="DefaultParagraphFont"/>
    <w:link w:val="Heading3"/>
    <w:uiPriority w:val="9"/>
    <w:rsid w:val="00052B40"/>
    <w:rPr>
      <w:rFonts w:ascii="Times New Roman" w:eastAsia="Times New Roman" w:hAnsi="Times New Roman" w:cs="Times New Roman"/>
      <w:b/>
      <w:bCs/>
      <w:sz w:val="27"/>
      <w:szCs w:val="27"/>
      <w:lang w:eastAsia="en-AU"/>
    </w:rPr>
  </w:style>
  <w:style w:type="table" w:styleId="TableGrid">
    <w:name w:val="Table Grid"/>
    <w:basedOn w:val="TableNormal"/>
    <w:uiPriority w:val="39"/>
    <w:rsid w:val="00EA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A57"/>
    <w:rPr>
      <w:sz w:val="16"/>
      <w:szCs w:val="16"/>
    </w:rPr>
  </w:style>
  <w:style w:type="paragraph" w:styleId="CommentText">
    <w:name w:val="annotation text"/>
    <w:basedOn w:val="Normal"/>
    <w:link w:val="CommentTextChar"/>
    <w:uiPriority w:val="99"/>
    <w:semiHidden/>
    <w:unhideWhenUsed/>
    <w:rsid w:val="006B1A57"/>
    <w:pPr>
      <w:spacing w:line="240" w:lineRule="auto"/>
    </w:pPr>
    <w:rPr>
      <w:sz w:val="20"/>
      <w:szCs w:val="20"/>
    </w:rPr>
  </w:style>
  <w:style w:type="character" w:customStyle="1" w:styleId="CommentTextChar">
    <w:name w:val="Comment Text Char"/>
    <w:basedOn w:val="DefaultParagraphFont"/>
    <w:link w:val="CommentText"/>
    <w:uiPriority w:val="99"/>
    <w:semiHidden/>
    <w:rsid w:val="006B1A57"/>
    <w:rPr>
      <w:sz w:val="20"/>
      <w:szCs w:val="20"/>
    </w:rPr>
  </w:style>
  <w:style w:type="paragraph" w:styleId="CommentSubject">
    <w:name w:val="annotation subject"/>
    <w:basedOn w:val="CommentText"/>
    <w:next w:val="CommentText"/>
    <w:link w:val="CommentSubjectChar"/>
    <w:uiPriority w:val="99"/>
    <w:semiHidden/>
    <w:unhideWhenUsed/>
    <w:rsid w:val="006B1A57"/>
    <w:rPr>
      <w:b/>
      <w:bCs/>
    </w:rPr>
  </w:style>
  <w:style w:type="character" w:customStyle="1" w:styleId="CommentSubjectChar">
    <w:name w:val="Comment Subject Char"/>
    <w:basedOn w:val="CommentTextChar"/>
    <w:link w:val="CommentSubject"/>
    <w:uiPriority w:val="99"/>
    <w:semiHidden/>
    <w:rsid w:val="006B1A57"/>
    <w:rPr>
      <w:b/>
      <w:bCs/>
      <w:sz w:val="20"/>
      <w:szCs w:val="20"/>
    </w:rPr>
  </w:style>
  <w:style w:type="paragraph" w:styleId="BalloonText">
    <w:name w:val="Balloon Text"/>
    <w:basedOn w:val="Normal"/>
    <w:link w:val="BalloonTextChar"/>
    <w:uiPriority w:val="99"/>
    <w:semiHidden/>
    <w:unhideWhenUsed/>
    <w:rsid w:val="006B1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A57"/>
    <w:rPr>
      <w:rFonts w:ascii="Segoe UI" w:hAnsi="Segoe UI" w:cs="Segoe UI"/>
      <w:sz w:val="18"/>
      <w:szCs w:val="18"/>
    </w:rPr>
  </w:style>
  <w:style w:type="paragraph" w:styleId="Header">
    <w:name w:val="header"/>
    <w:basedOn w:val="Normal"/>
    <w:link w:val="HeaderChar"/>
    <w:uiPriority w:val="99"/>
    <w:unhideWhenUsed/>
    <w:rsid w:val="000A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09D"/>
  </w:style>
  <w:style w:type="paragraph" w:styleId="Footer">
    <w:name w:val="footer"/>
    <w:basedOn w:val="Normal"/>
    <w:link w:val="FooterChar"/>
    <w:uiPriority w:val="99"/>
    <w:unhideWhenUsed/>
    <w:rsid w:val="000A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272352">
      <w:bodyDiv w:val="1"/>
      <w:marLeft w:val="0"/>
      <w:marRight w:val="0"/>
      <w:marTop w:val="0"/>
      <w:marBottom w:val="0"/>
      <w:divBdr>
        <w:top w:val="none" w:sz="0" w:space="0" w:color="auto"/>
        <w:left w:val="none" w:sz="0" w:space="0" w:color="auto"/>
        <w:bottom w:val="none" w:sz="0" w:space="0" w:color="auto"/>
        <w:right w:val="none" w:sz="0" w:space="0" w:color="auto"/>
      </w:divBdr>
    </w:div>
    <w:div w:id="13227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6.jpg@01D28392.5C8464D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2D889-EEC8-4DCA-8C32-200D32D16CF1}">
  <ds:schemaRefs>
    <ds:schemaRef ds:uri="http://schemas.openxmlformats.org/officeDocument/2006/bibliography"/>
  </ds:schemaRefs>
</ds:datastoreItem>
</file>

<file path=customXml/itemProps2.xml><?xml version="1.0" encoding="utf-8"?>
<ds:datastoreItem xmlns:ds="http://schemas.openxmlformats.org/officeDocument/2006/customXml" ds:itemID="{11513A82-DC02-4A04-94BF-D932A2E1B615}"/>
</file>

<file path=customXml/itemProps3.xml><?xml version="1.0" encoding="utf-8"?>
<ds:datastoreItem xmlns:ds="http://schemas.openxmlformats.org/officeDocument/2006/customXml" ds:itemID="{D8DCDB28-BA28-4CA9-B905-E368050823CD}"/>
</file>

<file path=customXml/itemProps4.xml><?xml version="1.0" encoding="utf-8"?>
<ds:datastoreItem xmlns:ds="http://schemas.openxmlformats.org/officeDocument/2006/customXml" ds:itemID="{71AA5B55-8D6F-4FE8-80C0-82282DCA2E0D}"/>
</file>

<file path=docProps/app.xml><?xml version="1.0" encoding="utf-8"?>
<Properties xmlns="http://schemas.openxmlformats.org/officeDocument/2006/extended-properties" xmlns:vt="http://schemas.openxmlformats.org/officeDocument/2006/docPropsVTypes">
  <Template>Normal.dotm</Template>
  <TotalTime>0</TotalTime>
  <Pages>1</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2019-05-31T06:48:00Z</dcterms:created>
  <dcterms:modified xsi:type="dcterms:W3CDTF">2019-05-31T06:48:00Z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