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813"/>
        <w:gridCol w:w="1934"/>
        <w:gridCol w:w="2406"/>
        <w:gridCol w:w="1918"/>
      </w:tblGrid>
      <w:tr w:rsidR="006673A4">
        <w:tc>
          <w:tcPr>
            <w:tcW w:w="1384" w:type="dxa"/>
          </w:tcPr>
          <w:p w:rsidR="006673A4" w:rsidRDefault="006673A4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OLE_LINK11"/>
          </w:p>
        </w:tc>
        <w:tc>
          <w:tcPr>
            <w:tcW w:w="5499" w:type="dxa"/>
            <w:gridSpan w:val="2"/>
          </w:tcPr>
          <w:p w:rsidR="006673A4" w:rsidRDefault="006673A4" w:rsidP="007800D6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:rsidR="006673A4" w:rsidRDefault="006673A4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6673A4">
        <w:trPr>
          <w:cantSplit/>
        </w:trPr>
        <w:tc>
          <w:tcPr>
            <w:tcW w:w="9287" w:type="dxa"/>
            <w:gridSpan w:val="4"/>
          </w:tcPr>
          <w:p w:rsidR="006673A4" w:rsidRDefault="006673A4">
            <w:pPr>
              <w:pStyle w:val="Heading2"/>
              <w:rPr>
                <w:rFonts w:ascii="Arial" w:hAnsi="Arial"/>
                <w:b w:val="0"/>
                <w:sz w:val="28"/>
              </w:rPr>
            </w:pPr>
          </w:p>
          <w:p w:rsidR="009E0527" w:rsidRDefault="009E0527">
            <w:pPr>
              <w:pStyle w:val="Heading2"/>
              <w:rPr>
                <w:rFonts w:ascii="Trebuchet MS" w:hAnsi="Trebuchet MS"/>
                <w:sz w:val="24"/>
              </w:rPr>
            </w:pPr>
          </w:p>
          <w:p w:rsidR="009E0527" w:rsidRDefault="009E0527">
            <w:pPr>
              <w:pStyle w:val="Heading2"/>
              <w:rPr>
                <w:rFonts w:ascii="Trebuchet MS" w:hAnsi="Trebuchet MS"/>
                <w:sz w:val="24"/>
              </w:rPr>
            </w:pPr>
          </w:p>
          <w:p w:rsidR="009E0527" w:rsidRDefault="009E0527">
            <w:pPr>
              <w:pStyle w:val="Heading2"/>
              <w:rPr>
                <w:rFonts w:ascii="Trebuchet MS" w:hAnsi="Trebuchet MS"/>
                <w:sz w:val="24"/>
              </w:rPr>
            </w:pPr>
          </w:p>
          <w:p w:rsidR="006673A4" w:rsidRPr="006A175E" w:rsidRDefault="006673A4">
            <w:pPr>
              <w:pStyle w:val="Heading2"/>
              <w:rPr>
                <w:rFonts w:ascii="Trebuchet MS" w:hAnsi="Trebuchet MS"/>
                <w:sz w:val="24"/>
              </w:rPr>
            </w:pPr>
            <w:r w:rsidRPr="006A175E">
              <w:rPr>
                <w:rFonts w:ascii="Trebuchet MS" w:hAnsi="Trebuchet MS"/>
                <w:sz w:val="24"/>
              </w:rPr>
              <w:t>GENERAL REQUIREMENTS FOR AN APPLICATION FOR AUTHORISATION TO</w:t>
            </w:r>
          </w:p>
          <w:p w:rsidR="006673A4" w:rsidRPr="006A175E" w:rsidRDefault="006673A4">
            <w:pPr>
              <w:pStyle w:val="Heading3"/>
              <w:rPr>
                <w:rFonts w:ascii="Trebuchet MS" w:hAnsi="Trebuchet MS"/>
              </w:rPr>
            </w:pPr>
            <w:r w:rsidRPr="006A175E">
              <w:rPr>
                <w:rFonts w:ascii="Trebuchet MS" w:hAnsi="Trebuchet MS"/>
              </w:rPr>
              <w:t>CONDUCT INTERNET BETTING ON RACING OR SPORTS EVENTS</w:t>
            </w:r>
          </w:p>
          <w:p w:rsidR="00635B34" w:rsidRPr="006A175E" w:rsidRDefault="00635B34" w:rsidP="00635B34">
            <w:pPr>
              <w:pStyle w:val="Title"/>
              <w:rPr>
                <w:rFonts w:ascii="Trebuchet MS" w:hAnsi="Trebuchet MS"/>
                <w:sz w:val="20"/>
              </w:rPr>
            </w:pPr>
          </w:p>
          <w:p w:rsidR="00635B34" w:rsidRPr="006A175E" w:rsidRDefault="00635B34" w:rsidP="00635B34">
            <w:pPr>
              <w:pStyle w:val="Title"/>
              <w:rPr>
                <w:rFonts w:ascii="Trebuchet MS" w:hAnsi="Trebuchet MS"/>
                <w:sz w:val="20"/>
              </w:rPr>
            </w:pPr>
            <w:r w:rsidRPr="006A175E">
              <w:rPr>
                <w:rFonts w:ascii="Trebuchet MS" w:hAnsi="Trebuchet MS"/>
                <w:sz w:val="20"/>
              </w:rPr>
              <w:t>BETTING CONTROL REGULATIONS</w:t>
            </w:r>
          </w:p>
          <w:p w:rsidR="00635B34" w:rsidRPr="006A175E" w:rsidRDefault="00635B34" w:rsidP="00635B34">
            <w:pPr>
              <w:jc w:val="center"/>
              <w:rPr>
                <w:rFonts w:ascii="Trebuchet MS" w:hAnsi="Trebuchet MS"/>
                <w:b/>
              </w:rPr>
            </w:pPr>
            <w:r w:rsidRPr="006A175E">
              <w:rPr>
                <w:rFonts w:ascii="Trebuchet MS" w:hAnsi="Trebuchet MS"/>
                <w:b/>
                <w:sz w:val="20"/>
                <w:lang w:val="en-US"/>
              </w:rPr>
              <w:t>Regulations 74, 75 &amp; 76</w:t>
            </w:r>
          </w:p>
          <w:p w:rsidR="006673A4" w:rsidRDefault="006673A4">
            <w:pPr>
              <w:jc w:val="center"/>
              <w:rPr>
                <w:rFonts w:ascii="Arial" w:hAnsi="Arial"/>
              </w:rPr>
            </w:pPr>
          </w:p>
        </w:tc>
      </w:tr>
      <w:tr w:rsidR="006673A4">
        <w:tc>
          <w:tcPr>
            <w:tcW w:w="3497" w:type="dxa"/>
            <w:tcBorders>
              <w:bottom w:val="single" w:sz="4" w:space="0" w:color="auto"/>
            </w:tcBorders>
          </w:tcPr>
          <w:p w:rsidR="006673A4" w:rsidRDefault="006673A4">
            <w:pPr>
              <w:rPr>
                <w:rFonts w:ascii="Arial" w:hAnsi="Aria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673A4" w:rsidRDefault="006673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6673A4" w:rsidRDefault="006673A4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6673A4" w:rsidRDefault="006673A4"/>
    <w:p w:rsidR="006673A4" w:rsidRDefault="006673A4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p w:rsidR="006673A4" w:rsidRDefault="006673A4">
      <w:pPr>
        <w:pStyle w:val="BodyText"/>
        <w:rPr>
          <w:rFonts w:ascii="Arial" w:hAnsi="Arial"/>
        </w:rPr>
      </w:pPr>
    </w:p>
    <w:p w:rsidR="006673A4" w:rsidRDefault="006673A4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Internet betting has been established as an extension of normal bookmaker activities and as an authorised activity by licence endorsement. In accordance with the Commonwealth Government’s </w:t>
      </w:r>
      <w:r>
        <w:rPr>
          <w:rFonts w:ascii="Arial" w:hAnsi="Arial"/>
          <w:i/>
        </w:rPr>
        <w:t>Interactive Gambling Act 2001</w:t>
      </w:r>
      <w:r>
        <w:rPr>
          <w:rFonts w:ascii="Arial" w:hAnsi="Arial"/>
        </w:rPr>
        <w:t>, internet betting may be conducted on racing events and on sports events prior to the commencement of the sporting event.</w:t>
      </w:r>
    </w:p>
    <w:p w:rsidR="006673A4" w:rsidRDefault="006673A4">
      <w:pPr>
        <w:jc w:val="both"/>
        <w:rPr>
          <w:rFonts w:ascii="Arial" w:hAnsi="Arial"/>
        </w:rPr>
      </w:pPr>
    </w:p>
    <w:p w:rsidR="006673A4" w:rsidRDefault="006673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general requirement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Western Australia</w:t>
          </w:r>
        </w:smartTag>
      </w:smartTag>
      <w:r>
        <w:rPr>
          <w:rFonts w:ascii="Arial" w:hAnsi="Arial"/>
        </w:rPr>
        <w:t xml:space="preserve"> is that all bookmakers must operate from a racecourse. Therefore, not only is a bookmaker’s licence required from the </w:t>
      </w:r>
      <w:r w:rsidR="006F4150">
        <w:rPr>
          <w:rFonts w:ascii="Arial" w:hAnsi="Arial"/>
        </w:rPr>
        <w:t>Gaming and Wagering Commission</w:t>
      </w:r>
      <w:r>
        <w:rPr>
          <w:rFonts w:ascii="Arial" w:hAnsi="Arial"/>
        </w:rPr>
        <w:t xml:space="preserve">, authorisation from the </w:t>
      </w:r>
      <w:r w:rsidR="006F4150">
        <w:rPr>
          <w:rFonts w:ascii="Arial" w:hAnsi="Arial"/>
        </w:rPr>
        <w:t xml:space="preserve">authority </w:t>
      </w:r>
      <w:r>
        <w:rPr>
          <w:rFonts w:ascii="Arial" w:hAnsi="Arial"/>
        </w:rPr>
        <w:t>controlling the racecourse at which you intend operating from and where all internet bets must be received is also required. It is a requirement that the server hosting your software that receives all bets in respect to internet betting must be located on the racecourse you intend operating from.</w:t>
      </w:r>
    </w:p>
    <w:p w:rsidR="006673A4" w:rsidRDefault="006673A4">
      <w:pPr>
        <w:jc w:val="both"/>
        <w:rPr>
          <w:rFonts w:ascii="Arial" w:hAnsi="Arial"/>
        </w:rPr>
      </w:pPr>
    </w:p>
    <w:p w:rsidR="006673A4" w:rsidRDefault="006673A4">
      <w:pPr>
        <w:jc w:val="both"/>
      </w:pPr>
    </w:p>
    <w:p w:rsidR="006673A4" w:rsidRDefault="006673A4">
      <w:pPr>
        <w:pStyle w:val="Heading4"/>
        <w:rPr>
          <w:rFonts w:ascii="Arial" w:hAnsi="Arial"/>
        </w:rPr>
      </w:pPr>
      <w:r>
        <w:rPr>
          <w:rFonts w:ascii="Arial" w:hAnsi="Arial"/>
        </w:rPr>
        <w:t>Application Requirements</w:t>
      </w:r>
    </w:p>
    <w:p w:rsidR="006673A4" w:rsidRDefault="006673A4">
      <w:pPr>
        <w:jc w:val="both"/>
        <w:rPr>
          <w:rFonts w:ascii="Arial" w:hAnsi="Arial"/>
        </w:rPr>
      </w:pPr>
    </w:p>
    <w:p w:rsidR="006673A4" w:rsidRDefault="006673A4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You must hold a bookmaker’s licence. If you do not currently hold a bookmaker’s licence you are required to complete a separate application form for the grant of a bookmaker’s licence from the </w:t>
      </w:r>
      <w:r w:rsidR="006F4150">
        <w:rPr>
          <w:rFonts w:ascii="Arial" w:hAnsi="Arial"/>
        </w:rPr>
        <w:t>Gaming and Wagering Commission</w:t>
      </w:r>
      <w:r>
        <w:rPr>
          <w:rFonts w:ascii="Arial" w:hAnsi="Arial"/>
        </w:rPr>
        <w:t>.</w:t>
      </w:r>
    </w:p>
    <w:p w:rsidR="006673A4" w:rsidRDefault="006673A4">
      <w:pPr>
        <w:jc w:val="both"/>
        <w:rPr>
          <w:rFonts w:ascii="Arial" w:hAnsi="Arial"/>
        </w:rPr>
      </w:pPr>
    </w:p>
    <w:p w:rsidR="006673A4" w:rsidRDefault="00737BE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fee </w:t>
      </w:r>
      <w:r w:rsidR="003A5ED8">
        <w:rPr>
          <w:rFonts w:ascii="Arial" w:hAnsi="Arial"/>
        </w:rPr>
        <w:t>(</w:t>
      </w:r>
      <w:r w:rsidR="003A5ED8" w:rsidRPr="003A5ED8">
        <w:rPr>
          <w:rFonts w:ascii="Arial" w:hAnsi="Arial" w:cs="Arial"/>
        </w:rPr>
        <w:t>please refer to the fee schedule</w:t>
      </w:r>
      <w:r w:rsidR="003A5ED8">
        <w:t>)</w:t>
      </w:r>
      <w:r w:rsidR="006673A4">
        <w:rPr>
          <w:rFonts w:ascii="Arial" w:hAnsi="Arial"/>
        </w:rPr>
        <w:t xml:space="preserve"> must accompany this application form. Cheques are to be made payable to the </w:t>
      </w:r>
      <w:r w:rsidR="006F4150">
        <w:rPr>
          <w:rFonts w:ascii="Arial" w:hAnsi="Arial"/>
        </w:rPr>
        <w:t>Gaming and Wagering Commission</w:t>
      </w:r>
      <w:r w:rsidR="006673A4">
        <w:rPr>
          <w:rFonts w:ascii="Arial" w:hAnsi="Arial"/>
        </w:rPr>
        <w:t>.</w:t>
      </w:r>
    </w:p>
    <w:p w:rsidR="006673A4" w:rsidRDefault="006673A4">
      <w:pPr>
        <w:jc w:val="both"/>
        <w:rPr>
          <w:rFonts w:ascii="Arial" w:hAnsi="Arial"/>
        </w:rPr>
      </w:pPr>
    </w:p>
    <w:p w:rsidR="006673A4" w:rsidRDefault="006673A4">
      <w:pPr>
        <w:pStyle w:val="Heading4"/>
        <w:rPr>
          <w:b w:val="0"/>
        </w:rPr>
      </w:pPr>
    </w:p>
    <w:p w:rsidR="006673A4" w:rsidRDefault="006673A4">
      <w:pPr>
        <w:sectPr w:rsidR="006673A4" w:rsidSect="009E0527">
          <w:headerReference w:type="first" r:id="rId7"/>
          <w:pgSz w:w="11907" w:h="16840" w:code="9"/>
          <w:pgMar w:top="816" w:right="1418" w:bottom="1134" w:left="1418" w:header="397" w:footer="397" w:gutter="0"/>
          <w:cols w:space="720"/>
          <w:titlePg/>
          <w:docGrid w:linePitch="326"/>
        </w:sectPr>
      </w:pPr>
    </w:p>
    <w:p w:rsidR="001374E0" w:rsidRDefault="001374E0">
      <w:pPr>
        <w:pStyle w:val="Heading4"/>
        <w:rPr>
          <w:rFonts w:ascii="Arial" w:hAnsi="Arial"/>
          <w:sz w:val="21"/>
        </w:rPr>
      </w:pPr>
    </w:p>
    <w:p w:rsidR="006673A4" w:rsidRDefault="006673A4">
      <w:pPr>
        <w:pStyle w:val="Heading4"/>
        <w:rPr>
          <w:rFonts w:ascii="Arial" w:hAnsi="Arial"/>
          <w:sz w:val="21"/>
        </w:rPr>
      </w:pPr>
      <w:r>
        <w:rPr>
          <w:rFonts w:ascii="Arial" w:hAnsi="Arial"/>
          <w:sz w:val="21"/>
        </w:rPr>
        <w:t>Legislative and Operational Requirements for the Conduct of an Internet Betting Operation</w:t>
      </w:r>
    </w:p>
    <w:p w:rsidR="006673A4" w:rsidRDefault="006673A4">
      <w:pPr>
        <w:jc w:val="both"/>
        <w:rPr>
          <w:rFonts w:ascii="Arial" w:hAnsi="Arial"/>
          <w:b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There are </w:t>
      </w:r>
      <w:proofErr w:type="gramStart"/>
      <w:r>
        <w:rPr>
          <w:rFonts w:ascii="Arial" w:hAnsi="Arial"/>
          <w:sz w:val="21"/>
        </w:rPr>
        <w:t>a number of</w:t>
      </w:r>
      <w:proofErr w:type="gramEnd"/>
      <w:r>
        <w:rPr>
          <w:rFonts w:ascii="Arial" w:hAnsi="Arial"/>
          <w:sz w:val="21"/>
        </w:rPr>
        <w:t xml:space="preserve"> pieces of Commonwealth legislation, and codes of conduct developed pursuant to legislation, which impact on the conduct of internet betting. Some of these include: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012"/>
        <w:gridCol w:w="4525"/>
      </w:tblGrid>
      <w:tr w:rsidR="006673A4">
        <w:tc>
          <w:tcPr>
            <w:tcW w:w="4109" w:type="dxa"/>
          </w:tcPr>
          <w:p w:rsidR="006673A4" w:rsidRDefault="006673A4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Interactive Gambling Act 2001</w:t>
            </w:r>
          </w:p>
        </w:tc>
        <w:tc>
          <w:tcPr>
            <w:tcW w:w="4643" w:type="dxa"/>
          </w:tcPr>
          <w:p w:rsidR="006673A4" w:rsidRDefault="006673A4">
            <w:pPr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Privacy Act 1988</w:t>
            </w:r>
          </w:p>
        </w:tc>
      </w:tr>
      <w:tr w:rsidR="006673A4">
        <w:tc>
          <w:tcPr>
            <w:tcW w:w="4109" w:type="dxa"/>
          </w:tcPr>
          <w:p w:rsidR="006673A4" w:rsidRDefault="006673A4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Financial Transactions Act 1988</w:t>
            </w:r>
          </w:p>
        </w:tc>
        <w:tc>
          <w:tcPr>
            <w:tcW w:w="4643" w:type="dxa"/>
          </w:tcPr>
          <w:p w:rsidR="006673A4" w:rsidRDefault="006673A4">
            <w:pPr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Broadcasting Services Act 1999</w:t>
            </w:r>
          </w:p>
        </w:tc>
      </w:tr>
      <w:tr w:rsidR="006673A4">
        <w:tc>
          <w:tcPr>
            <w:tcW w:w="4109" w:type="dxa"/>
          </w:tcPr>
          <w:p w:rsidR="006673A4" w:rsidRDefault="006673A4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Electronic Transactions Act 1999</w:t>
            </w:r>
          </w:p>
        </w:tc>
        <w:tc>
          <w:tcPr>
            <w:tcW w:w="4643" w:type="dxa"/>
          </w:tcPr>
          <w:p w:rsidR="006673A4" w:rsidRDefault="006673A4">
            <w:pPr>
              <w:jc w:val="both"/>
              <w:rPr>
                <w:rFonts w:ascii="Arial" w:hAnsi="Arial"/>
                <w:sz w:val="21"/>
              </w:rPr>
            </w:pPr>
          </w:p>
        </w:tc>
      </w:tr>
    </w:tbl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pStyle w:val="BodyTextIndent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>The rules governing the use of the internet as a business tool are constantly being reviewed, updated and expanded. It is the responsibility of the bookmaker to ensure that all statutory obligations are observed.</w:t>
      </w:r>
    </w:p>
    <w:p w:rsidR="006673A4" w:rsidRDefault="006673A4">
      <w:pPr>
        <w:ind w:left="426" w:hanging="426"/>
        <w:jc w:val="both"/>
        <w:rPr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Any internet betting system shall be developed in accordance with the </w:t>
      </w:r>
      <w:r w:rsidR="006F4150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>’s specifications. (See attached requirements).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An internet betting system shall not be used unless its configuration and output has been audited and approved by the </w:t>
      </w:r>
      <w:r w:rsidR="006F4150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>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An approved internet betting system shall not be modified or changed unless consent for the specific modification of change is obtained from the </w:t>
      </w:r>
      <w:r w:rsidR="006F4150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>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Any internet betting using an approved internet betting system shall be conducted in accordance with any further conditions that are imposed by the </w:t>
      </w:r>
      <w:r w:rsidR="005569A3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>. Any additional conditions shall be endorsed on your bookmaker’s licence.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Any internet bet using an approved internet bet system shall be confirmed in the following manner: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9"/>
        </w:numPr>
        <w:ind w:left="720" w:hanging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details of a bet requested by a client are to be transmitted back to the client for acceptance.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10"/>
        </w:numPr>
        <w:ind w:left="720" w:hanging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Once the client acknowledges acceptance, printable screen confirmation message is to be sent to the client. At this point the client’s account may be debited.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11"/>
        </w:numPr>
        <w:ind w:left="720" w:hanging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Duplication of the bet confirmation is to automatically be sent to and stored at a control site (usually the Stewards). This can be by e-mail or electronic message.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Where an internet bet is not confirmed in the manner and time approved by the </w:t>
      </w:r>
      <w:r w:rsidR="005569A3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 xml:space="preserve"> that transaction does not constitute a valid bet.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An internet betting ticket may be written in such a form and is to be delivered in a manner approved by the </w:t>
      </w:r>
      <w:r w:rsidR="006F4150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>.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The details of all internet bets received are to be separately recorded in a format approved by the </w:t>
      </w:r>
      <w:r w:rsidR="006F4150">
        <w:rPr>
          <w:rFonts w:ascii="Arial" w:hAnsi="Arial"/>
          <w:sz w:val="21"/>
        </w:rPr>
        <w:t>Commission</w:t>
      </w:r>
      <w:r>
        <w:rPr>
          <w:rFonts w:ascii="Arial" w:hAnsi="Arial"/>
          <w:sz w:val="21"/>
        </w:rPr>
        <w:t xml:space="preserve"> under regulation 37 of the </w:t>
      </w:r>
      <w:r>
        <w:rPr>
          <w:rFonts w:ascii="Arial" w:hAnsi="Arial"/>
          <w:i/>
          <w:sz w:val="21"/>
        </w:rPr>
        <w:t>Betting Control Regulations 1978</w:t>
      </w:r>
      <w:r>
        <w:rPr>
          <w:rFonts w:ascii="Arial" w:hAnsi="Arial"/>
          <w:sz w:val="21"/>
        </w:rPr>
        <w:t>.</w:t>
      </w:r>
    </w:p>
    <w:p w:rsidR="006673A4" w:rsidRDefault="006673A4">
      <w:pPr>
        <w:jc w:val="both"/>
        <w:rPr>
          <w:sz w:val="21"/>
        </w:rPr>
      </w:pPr>
    </w:p>
    <w:p w:rsidR="006673A4" w:rsidRDefault="006673A4">
      <w:pPr>
        <w:numPr>
          <w:ilvl w:val="0"/>
          <w:numId w:val="6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If you intend conducting internet betting on racing events the following applies:</w:t>
      </w:r>
    </w:p>
    <w:p w:rsidR="006673A4" w:rsidRDefault="006673A4">
      <w:pPr>
        <w:jc w:val="both"/>
        <w:rPr>
          <w:rFonts w:ascii="Arial" w:hAnsi="Arial"/>
          <w:sz w:val="21"/>
        </w:rPr>
      </w:pPr>
    </w:p>
    <w:p w:rsidR="006673A4" w:rsidRDefault="006673A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If the bet is on a race being conducted at another race meeting in the State, you require the consent of the committee or controlling authority of the race meeting; and</w:t>
      </w:r>
    </w:p>
    <w:p w:rsidR="006673A4" w:rsidRDefault="006673A4">
      <w:pPr>
        <w:tabs>
          <w:tab w:val="num" w:pos="720"/>
        </w:tabs>
        <w:ind w:left="720"/>
        <w:jc w:val="both"/>
        <w:rPr>
          <w:rFonts w:ascii="Arial" w:hAnsi="Arial"/>
          <w:sz w:val="21"/>
        </w:rPr>
      </w:pPr>
    </w:p>
    <w:p w:rsidR="005F4E5F" w:rsidRPr="005F4E5F" w:rsidRDefault="004A79AB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No minimum bet limit restrictions apply</w:t>
      </w:r>
      <w:r w:rsidR="005F4E5F">
        <w:rPr>
          <w:rFonts w:ascii="Arial" w:hAnsi="Arial"/>
          <w:sz w:val="21"/>
        </w:rPr>
        <w:t>.</w:t>
      </w:r>
    </w:p>
    <w:p w:rsidR="006673A4" w:rsidRDefault="006673A4" w:rsidP="005F4E5F">
      <w:pPr>
        <w:ind w:left="360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 xml:space="preserve"> </w:t>
      </w:r>
    </w:p>
    <w:p w:rsidR="004A79AB" w:rsidRDefault="004A79AB">
      <w:pPr>
        <w:jc w:val="right"/>
        <w:rPr>
          <w:rFonts w:ascii="Arial" w:hAnsi="Arial"/>
          <w:b/>
          <w:sz w:val="21"/>
        </w:rPr>
      </w:pPr>
    </w:p>
    <w:p w:rsidR="004A79AB" w:rsidRDefault="004A79AB">
      <w:pPr>
        <w:jc w:val="right"/>
        <w:rPr>
          <w:rFonts w:ascii="Arial" w:hAnsi="Arial"/>
          <w:b/>
          <w:sz w:val="21"/>
        </w:rPr>
      </w:pPr>
    </w:p>
    <w:p w:rsidR="00727826" w:rsidRDefault="006F4150" w:rsidP="00727826">
      <w:pPr>
        <w:jc w:val="righ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GAMING AND WAGERING COMMISSION</w:t>
      </w:r>
    </w:p>
    <w:p w:rsidR="009E0527" w:rsidRDefault="009E0527" w:rsidP="00727826">
      <w:pPr>
        <w:jc w:val="right"/>
        <w:rPr>
          <w:rFonts w:ascii="Arial" w:hAnsi="Arial"/>
          <w:b/>
          <w:sz w:val="21"/>
        </w:rPr>
        <w:sectPr w:rsidR="009E0527" w:rsidSect="00B36ECE">
          <w:footerReference w:type="default" r:id="rId8"/>
          <w:pgSz w:w="11907" w:h="16840" w:code="9"/>
          <w:pgMar w:top="567" w:right="1418" w:bottom="993" w:left="1418" w:header="397" w:footer="567" w:gutter="0"/>
          <w:cols w:space="720"/>
          <w:docGrid w:linePitch="326"/>
        </w:sectPr>
      </w:pPr>
    </w:p>
    <w:p w:rsidR="00265577" w:rsidRPr="00727826" w:rsidRDefault="00265577" w:rsidP="00727826">
      <w:pPr>
        <w:jc w:val="right"/>
        <w:rPr>
          <w:rFonts w:ascii="Arial" w:hAnsi="Arial"/>
          <w:b/>
          <w:sz w:val="21"/>
        </w:rPr>
      </w:pPr>
    </w:p>
    <w:p w:rsidR="006673A4" w:rsidRDefault="006673A4" w:rsidP="00727826">
      <w:pPr>
        <w:jc w:val="right"/>
        <w:rPr>
          <w:rFonts w:ascii="Arial" w:hAnsi="Arial"/>
          <w:b/>
          <w:sz w:val="21"/>
        </w:rPr>
      </w:pPr>
    </w:p>
    <w:p w:rsidR="003B1E48" w:rsidRDefault="003B1E48" w:rsidP="00727826">
      <w:pPr>
        <w:jc w:val="right"/>
        <w:rPr>
          <w:rFonts w:ascii="Arial" w:hAnsi="Arial"/>
          <w:b/>
          <w:sz w:val="21"/>
        </w:rPr>
      </w:pPr>
    </w:p>
    <w:p w:rsidR="003B1E48" w:rsidRPr="00727826" w:rsidRDefault="003B1E48" w:rsidP="00727826">
      <w:pPr>
        <w:jc w:val="right"/>
        <w:rPr>
          <w:rFonts w:ascii="Arial" w:hAnsi="Arial"/>
          <w:b/>
          <w:sz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8"/>
        <w:gridCol w:w="891"/>
        <w:gridCol w:w="1606"/>
        <w:gridCol w:w="1346"/>
      </w:tblGrid>
      <w:tr w:rsidR="00265577" w:rsidTr="00265577">
        <w:trPr>
          <w:gridAfter w:val="1"/>
          <w:wAfter w:w="1382" w:type="dxa"/>
        </w:trPr>
        <w:tc>
          <w:tcPr>
            <w:tcW w:w="5350" w:type="dxa"/>
          </w:tcPr>
          <w:p w:rsidR="00265577" w:rsidRDefault="0026557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55" w:type="dxa"/>
            <w:gridSpan w:val="2"/>
          </w:tcPr>
          <w:p w:rsidR="00265577" w:rsidRDefault="00265577">
            <w:pPr>
              <w:jc w:val="center"/>
              <w:rPr>
                <w:rFonts w:ascii="Arial" w:hAnsi="Arial"/>
              </w:rPr>
            </w:pPr>
          </w:p>
        </w:tc>
      </w:tr>
      <w:tr w:rsidR="006673A4">
        <w:trPr>
          <w:cantSplit/>
        </w:trPr>
        <w:tc>
          <w:tcPr>
            <w:tcW w:w="9287" w:type="dxa"/>
            <w:gridSpan w:val="4"/>
          </w:tcPr>
          <w:p w:rsidR="006673A4" w:rsidRPr="006A175E" w:rsidRDefault="006673A4">
            <w:pPr>
              <w:pStyle w:val="Heading2"/>
              <w:rPr>
                <w:rFonts w:ascii="Trebuchet MS" w:hAnsi="Trebuchet MS"/>
                <w:sz w:val="24"/>
              </w:rPr>
            </w:pPr>
            <w:r w:rsidRPr="006A175E">
              <w:rPr>
                <w:rFonts w:ascii="Trebuchet MS" w:hAnsi="Trebuchet MS"/>
                <w:sz w:val="24"/>
              </w:rPr>
              <w:t>APPLICATION FOR THE AUTHORISATION TO</w:t>
            </w:r>
          </w:p>
          <w:p w:rsidR="006673A4" w:rsidRPr="006A175E" w:rsidRDefault="006673A4">
            <w:pPr>
              <w:pStyle w:val="Heading3"/>
              <w:rPr>
                <w:rFonts w:ascii="Trebuchet MS" w:hAnsi="Trebuchet MS"/>
              </w:rPr>
            </w:pPr>
            <w:r w:rsidRPr="006A175E">
              <w:rPr>
                <w:rFonts w:ascii="Trebuchet MS" w:hAnsi="Trebuchet MS"/>
              </w:rPr>
              <w:t>CONDUCT INTERNET BETTING ON SPORTS OR RACING EVENTS</w:t>
            </w:r>
          </w:p>
          <w:p w:rsidR="00AF4220" w:rsidRPr="006A175E" w:rsidRDefault="00AF4220" w:rsidP="00AF4220">
            <w:pPr>
              <w:rPr>
                <w:rFonts w:ascii="Trebuchet MS" w:hAnsi="Trebuchet MS"/>
                <w:b/>
              </w:rPr>
            </w:pPr>
          </w:p>
          <w:p w:rsidR="00AF4220" w:rsidRPr="006A175E" w:rsidRDefault="00AF4220" w:rsidP="00AF4220">
            <w:pPr>
              <w:pStyle w:val="Title"/>
              <w:rPr>
                <w:rFonts w:ascii="Trebuchet MS" w:hAnsi="Trebuchet MS"/>
                <w:sz w:val="20"/>
              </w:rPr>
            </w:pPr>
            <w:r w:rsidRPr="006A175E">
              <w:rPr>
                <w:rFonts w:ascii="Trebuchet MS" w:hAnsi="Trebuchet MS"/>
                <w:sz w:val="20"/>
              </w:rPr>
              <w:t>BETTING CONTROL REGULATIONS</w:t>
            </w:r>
          </w:p>
          <w:p w:rsidR="006673A4" w:rsidRDefault="00AF4220">
            <w:pPr>
              <w:jc w:val="center"/>
              <w:rPr>
                <w:rFonts w:ascii="Arial" w:hAnsi="Arial"/>
              </w:rPr>
            </w:pPr>
            <w:r w:rsidRPr="006A175E">
              <w:rPr>
                <w:rFonts w:ascii="Trebuchet MS" w:hAnsi="Trebuchet MS"/>
                <w:b/>
                <w:sz w:val="20"/>
                <w:lang w:val="en-US"/>
              </w:rPr>
              <w:t>Regulations 74, 75 &amp; 76</w:t>
            </w:r>
          </w:p>
        </w:tc>
      </w:tr>
      <w:tr w:rsidR="006673A4" w:rsidTr="00265577">
        <w:tc>
          <w:tcPr>
            <w:tcW w:w="5350" w:type="dxa"/>
            <w:tcBorders>
              <w:bottom w:val="single" w:sz="4" w:space="0" w:color="auto"/>
            </w:tcBorders>
          </w:tcPr>
          <w:p w:rsidR="006673A4" w:rsidRDefault="006673A4">
            <w:pPr>
              <w:rPr>
                <w:rFonts w:ascii="Arial" w:hAnsi="Arial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673A4" w:rsidRDefault="006673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:rsidR="006673A4" w:rsidRDefault="006673A4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6673A4" w:rsidRDefault="006673A4">
      <w:pPr>
        <w:pStyle w:val="Heading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PERSONAL DETAILS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536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Bookmaker’s Licence No: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(If Applicable)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969"/>
          <w:tab w:val="left" w:pos="4536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Surname: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Given Names: </w:t>
      </w: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969"/>
          <w:tab w:val="left" w:pos="4536"/>
          <w:tab w:val="left" w:leader="underscore" w:pos="8789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969"/>
          <w:tab w:val="left" w:pos="4536"/>
          <w:tab w:val="left" w:leader="underscore" w:pos="8789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Residential Address: </w:t>
      </w: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leader="underscore" w:pos="3828"/>
          <w:tab w:val="left" w:pos="4111"/>
          <w:tab w:val="left" w:leader="underscore" w:pos="6379"/>
          <w:tab w:val="left" w:pos="6663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 xml:space="preserve">’s: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(Home)</w:t>
      </w:r>
      <w:r>
        <w:rPr>
          <w:rFonts w:ascii="Arial" w:hAnsi="Arial"/>
          <w:sz w:val="20"/>
        </w:rPr>
        <w:tab/>
        <w:t>(Work)</w:t>
      </w:r>
      <w:r>
        <w:rPr>
          <w:rFonts w:ascii="Arial" w:hAnsi="Arial"/>
          <w:sz w:val="20"/>
        </w:rPr>
        <w:tab/>
        <w:t>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Mobile</w:t>
          </w:r>
        </w:smartTag>
      </w:smartTag>
      <w:r>
        <w:rPr>
          <w:rFonts w:ascii="Arial" w:hAnsi="Arial"/>
          <w:sz w:val="20"/>
        </w:rPr>
        <w:t>)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sz w:val="20"/>
        </w:rPr>
      </w:pPr>
    </w:p>
    <w:p w:rsidR="006673A4" w:rsidRDefault="006673A4">
      <w:pPr>
        <w:tabs>
          <w:tab w:val="left" w:pos="2410"/>
          <w:tab w:val="left" w:pos="4962"/>
          <w:tab w:val="left" w:pos="7513"/>
        </w:tabs>
        <w:rPr>
          <w:sz w:val="20"/>
        </w:rPr>
      </w:pPr>
    </w:p>
    <w:p w:rsidR="006673A4" w:rsidRDefault="006673A4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  <w:r>
        <w:rPr>
          <w:rFonts w:ascii="Arial" w:hAnsi="Arial"/>
        </w:rPr>
        <w:t>COMPUTER SYSTEM DETAILS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395"/>
          <w:tab w:val="left" w:pos="4678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System Used: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Software: </w:t>
      </w: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395"/>
          <w:tab w:val="left" w:pos="4678"/>
          <w:tab w:val="left" w:leader="underscore" w:pos="8931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395"/>
          <w:tab w:val="left" w:pos="4678"/>
          <w:tab w:val="left" w:leader="underscore" w:pos="8931"/>
        </w:tabs>
        <w:rPr>
          <w:rFonts w:ascii="Arial" w:hAnsi="Arial"/>
          <w:sz w:val="22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529"/>
          <w:tab w:val="left" w:pos="5812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Name for Testing: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Telephone N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5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(Day Time)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5"/>
        </w:tabs>
        <w:rPr>
          <w:rFonts w:ascii="Arial" w:hAnsi="Arial"/>
          <w:sz w:val="20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5"/>
        </w:tabs>
        <w:rPr>
          <w:rFonts w:ascii="Arial" w:hAnsi="Arial"/>
          <w:sz w:val="20"/>
        </w:rPr>
      </w:pP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for Testing: </w:t>
      </w:r>
      <w:r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</w:p>
    <w:p w:rsidR="006673A4" w:rsidRDefault="006673A4">
      <w:pPr>
        <w:tabs>
          <w:tab w:val="left" w:leader="underscore" w:pos="8931"/>
        </w:tabs>
        <w:rPr>
          <w:sz w:val="22"/>
        </w:rPr>
      </w:pPr>
    </w:p>
    <w:p w:rsidR="006673A4" w:rsidRDefault="006673A4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2410"/>
          <w:tab w:val="clear" w:pos="4962"/>
          <w:tab w:val="clear" w:pos="7513"/>
          <w:tab w:val="left" w:leader="underscore" w:pos="8931"/>
        </w:tabs>
        <w:rPr>
          <w:rFonts w:ascii="Arial" w:hAnsi="Arial"/>
        </w:rPr>
      </w:pPr>
      <w:r>
        <w:rPr>
          <w:rFonts w:ascii="Arial" w:hAnsi="Arial"/>
        </w:rPr>
        <w:t>TYPE/LOCATION OF COMPUTERISED BETTING SYSTEM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</w:p>
    <w:p w:rsidR="006673A4" w:rsidRDefault="005F3D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7371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Location:</w:t>
      </w:r>
      <w:r w:rsidR="006673A4">
        <w:rPr>
          <w:rFonts w:ascii="Arial" w:hAnsi="Arial"/>
          <w:sz w:val="22"/>
        </w:rPr>
        <w:t>:</w:t>
      </w:r>
      <w:proofErr w:type="gramEnd"/>
      <w:r w:rsidR="006673A4">
        <w:rPr>
          <w:rFonts w:ascii="Arial" w:hAnsi="Arial"/>
          <w:sz w:val="22"/>
        </w:rPr>
        <w:t xml:space="preserve"> </w:t>
      </w:r>
      <w:r w:rsidR="006673A4">
        <w:rPr>
          <w:rFonts w:ascii="Arial" w:hAnsi="Arial"/>
          <w:sz w:val="22"/>
        </w:rPr>
        <w:tab/>
        <w:t xml:space="preserve"> </w:t>
      </w:r>
      <w:r w:rsidR="006673A4">
        <w:rPr>
          <w:rFonts w:ascii="Arial" w:hAnsi="Arial"/>
          <w:sz w:val="22"/>
        </w:rPr>
        <w:tab/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536"/>
          <w:tab w:val="left" w:pos="5103"/>
        </w:tabs>
        <w:rPr>
          <w:rFonts w:ascii="Arial" w:hAnsi="Arial"/>
          <w:sz w:val="22"/>
        </w:rPr>
      </w:pPr>
    </w:p>
    <w:p w:rsidR="006673A4" w:rsidRDefault="009E0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536"/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76835</wp:posOffset>
                </wp:positionV>
                <wp:extent cx="182880" cy="1828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B93E" id="Rectangle 2" o:spid="_x0000_s1026" style="position:absolute;margin-left:173.9pt;margin-top:6.0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gpWgIAAME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" o:allowincell="f">
                <v:shadow on="t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122555</wp:posOffset>
                </wp:positionV>
                <wp:extent cx="182880" cy="1828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7B8C" id="Rectangle 3" o:spid="_x0000_s1026" style="position:absolute;margin-left:289.1pt;margin-top:9.6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HLWgIAAME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" o:allowincell="f">
                <v:shadow on="t"/>
              </v:rect>
            </w:pict>
          </mc:Fallback>
        </mc:AlternateConten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269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Type of Internet Betting: </w:t>
      </w:r>
      <w:r>
        <w:rPr>
          <w:rFonts w:ascii="Arial" w:hAnsi="Arial"/>
          <w:sz w:val="22"/>
        </w:rPr>
        <w:tab/>
        <w:t xml:space="preserve">Sports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Racing </w:t>
      </w:r>
    </w:p>
    <w:p w:rsidR="006673A4" w:rsidRDefault="00667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  <w:tab w:val="left" w:pos="5103"/>
        </w:tabs>
        <w:rPr>
          <w:sz w:val="22"/>
        </w:rPr>
      </w:pPr>
    </w:p>
    <w:p w:rsidR="006673A4" w:rsidRDefault="006673A4">
      <w:pPr>
        <w:tabs>
          <w:tab w:val="left" w:pos="4536"/>
          <w:tab w:val="left" w:pos="5103"/>
        </w:tabs>
        <w:rPr>
          <w:rFonts w:ascii="Arial" w:hAnsi="Arial"/>
          <w:sz w:val="22"/>
        </w:rPr>
      </w:pPr>
    </w:p>
    <w:p w:rsidR="00265577" w:rsidRDefault="00265577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265577" w:rsidRDefault="00265577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  <w:bookmarkStart w:id="2" w:name="_GoBack"/>
      <w:bookmarkEnd w:id="2"/>
    </w:p>
    <w:p w:rsidR="00265577" w:rsidRDefault="00265577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6673A4" w:rsidRDefault="006673A4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</w:rPr>
        <w:tab/>
      </w:r>
      <w:bookmarkEnd w:id="0"/>
    </w:p>
    <w:p w:rsidR="00265577" w:rsidRDefault="00265577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3B1E48" w:rsidRPr="00A10BE6" w:rsidRDefault="003B1E48" w:rsidP="003B1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320"/>
        </w:tabs>
        <w:suppressAutoHyphens/>
        <w:jc w:val="both"/>
        <w:rPr>
          <w:rFonts w:ascii="Arial" w:hAnsi="Arial"/>
          <w:b/>
          <w:sz w:val="20"/>
        </w:rPr>
      </w:pPr>
      <w:r w:rsidRPr="00A10BE6">
        <w:rPr>
          <w:rFonts w:ascii="Arial" w:hAnsi="Arial"/>
          <w:b/>
          <w:sz w:val="20"/>
        </w:rPr>
        <w:t>PAYMENT DETAILS</w:t>
      </w:r>
    </w:p>
    <w:p w:rsidR="003B1E48" w:rsidRPr="003B1E48" w:rsidRDefault="003B1E48" w:rsidP="003B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6"/>
        </w:rPr>
      </w:pPr>
      <w:r w:rsidRPr="00A10BE6">
        <w:rPr>
          <w:rFonts w:ascii="Arial" w:hAnsi="Arial" w:cs="Arial"/>
          <w:spacing w:val="-3"/>
          <w:sz w:val="20"/>
          <w:szCs w:val="22"/>
        </w:rPr>
        <w:t>An invoice with detailed payment options will be provided once the application has been received.</w:t>
      </w:r>
    </w:p>
    <w:sectPr w:rsidR="003B1E48" w:rsidRPr="003B1E48" w:rsidSect="009E0527">
      <w:footerReference w:type="first" r:id="rId9"/>
      <w:pgSz w:w="11907" w:h="16840" w:code="9"/>
      <w:pgMar w:top="567" w:right="1418" w:bottom="993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5D" w:rsidRDefault="002D7B5D">
      <w:r>
        <w:separator/>
      </w:r>
    </w:p>
  </w:endnote>
  <w:endnote w:type="continuationSeparator" w:id="0">
    <w:p w:rsidR="002D7B5D" w:rsidRDefault="002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FA" w:rsidRDefault="008B7CFA" w:rsidP="008B7CFA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1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8B7CFA" w:rsidRDefault="008B7CFA" w:rsidP="008B7CFA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8B7CFA" w:rsidRDefault="008B7CFA" w:rsidP="008B7CFA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73673B" w:rsidRPr="008B7CFA" w:rsidRDefault="008B7CFA" w:rsidP="008B7CFA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48" w:rsidRDefault="003B1E48" w:rsidP="003B1E48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cs="Arial"/>
        <w:sz w:val="18"/>
        <w:szCs w:val="18"/>
      </w:rPr>
      <w:t>Level 2, Gordon Stephenson House, 140 William Street, Perth, WA, 6000</w:t>
    </w:r>
  </w:p>
  <w:p w:rsidR="003B1E48" w:rsidRDefault="003B1E48" w:rsidP="003B1E48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3B1E48" w:rsidRDefault="003B1E48" w:rsidP="003B1E48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3B1E48" w:rsidRDefault="003B1E48" w:rsidP="003B1E48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5D" w:rsidRDefault="002D7B5D">
      <w:r>
        <w:separator/>
      </w:r>
    </w:p>
  </w:footnote>
  <w:footnote w:type="continuationSeparator" w:id="0">
    <w:p w:rsidR="002D7B5D" w:rsidRDefault="002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27" w:rsidRDefault="009E0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-4445</wp:posOffset>
          </wp:positionV>
          <wp:extent cx="2819400" cy="9144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4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107E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2" w15:restartNumberingAfterBreak="0">
    <w:nsid w:val="2D6257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7F2609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4" w15:restartNumberingAfterBreak="0">
    <w:nsid w:val="422555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4C704F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A24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371956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57250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9" w15:restartNumberingAfterBreak="0">
    <w:nsid w:val="5BE6521E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05750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11" w15:restartNumberingAfterBreak="0">
    <w:nsid w:val="685F4B02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6656A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59"/>
    <w:rsid w:val="000A7D26"/>
    <w:rsid w:val="001014CB"/>
    <w:rsid w:val="00132EDA"/>
    <w:rsid w:val="001374E0"/>
    <w:rsid w:val="001931BB"/>
    <w:rsid w:val="001D199E"/>
    <w:rsid w:val="00265577"/>
    <w:rsid w:val="002D7B5D"/>
    <w:rsid w:val="003A5ED8"/>
    <w:rsid w:val="003B1E48"/>
    <w:rsid w:val="00496688"/>
    <w:rsid w:val="004A79AB"/>
    <w:rsid w:val="004C3495"/>
    <w:rsid w:val="00535296"/>
    <w:rsid w:val="005569A3"/>
    <w:rsid w:val="00590E57"/>
    <w:rsid w:val="005F3D8D"/>
    <w:rsid w:val="005F4E5F"/>
    <w:rsid w:val="00635B34"/>
    <w:rsid w:val="006673A4"/>
    <w:rsid w:val="00667659"/>
    <w:rsid w:val="006A175E"/>
    <w:rsid w:val="006F4150"/>
    <w:rsid w:val="006F7726"/>
    <w:rsid w:val="00727826"/>
    <w:rsid w:val="0073673B"/>
    <w:rsid w:val="00737BE2"/>
    <w:rsid w:val="00745DD5"/>
    <w:rsid w:val="007800D6"/>
    <w:rsid w:val="0078146A"/>
    <w:rsid w:val="007C2E4B"/>
    <w:rsid w:val="007C3ECA"/>
    <w:rsid w:val="007F7CEC"/>
    <w:rsid w:val="008B7CFA"/>
    <w:rsid w:val="009E0527"/>
    <w:rsid w:val="00A07F31"/>
    <w:rsid w:val="00AE1DC6"/>
    <w:rsid w:val="00AF4220"/>
    <w:rsid w:val="00B36ECE"/>
    <w:rsid w:val="00B86E80"/>
    <w:rsid w:val="00B90BD8"/>
    <w:rsid w:val="00C04093"/>
    <w:rsid w:val="00C61541"/>
    <w:rsid w:val="00D00159"/>
    <w:rsid w:val="00E0424D"/>
    <w:rsid w:val="00E86087"/>
    <w:rsid w:val="00EC015C"/>
    <w:rsid w:val="00F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625A1135"/>
  <w15:chartTrackingRefBased/>
  <w15:docId w15:val="{43C84F32-C293-4555-B283-4FFA1F9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410"/>
        <w:tab w:val="left" w:pos="4962"/>
        <w:tab w:val="left" w:pos="7513"/>
      </w:tabs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26" w:hanging="426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B36ECE"/>
    <w:rPr>
      <w:sz w:val="24"/>
    </w:rPr>
  </w:style>
  <w:style w:type="paragraph" w:styleId="NoSpacing">
    <w:name w:val="No Spacing"/>
    <w:uiPriority w:val="1"/>
    <w:qFormat/>
    <w:rsid w:val="00B36E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Racing, Gaming and Liquor</Company>
  <LinksUpToDate>false</LinksUpToDate>
  <CharactersWithSpaces>4749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8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cp:lastModifiedBy>Sarah Thomas</cp:lastModifiedBy>
  <cp:revision>6</cp:revision>
  <cp:lastPrinted>2016-10-21T06:28:00Z</cp:lastPrinted>
  <dcterms:created xsi:type="dcterms:W3CDTF">2017-12-14T05:12:00Z</dcterms:created>
  <dcterms:modified xsi:type="dcterms:W3CDTF">2019-09-25T08:29:00Z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1453034937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