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1B39" w14:textId="0ECAF362" w:rsidR="00564E93" w:rsidRDefault="00172C6D" w:rsidP="00F721FD">
      <w:r>
        <w:rPr>
          <w:noProof/>
        </w:rPr>
        <w:drawing>
          <wp:anchor distT="0" distB="0" distL="114300" distR="114300" simplePos="0" relativeHeight="251658240" behindDoc="0" locked="0" layoutInCell="1" allowOverlap="1" wp14:anchorId="5354E044" wp14:editId="0DD136F4">
            <wp:simplePos x="0" y="0"/>
            <wp:positionH relativeFrom="margin">
              <wp:posOffset>3308246</wp:posOffset>
            </wp:positionH>
            <wp:positionV relativeFrom="margin">
              <wp:posOffset>-180975</wp:posOffset>
            </wp:positionV>
            <wp:extent cx="2691384" cy="722376"/>
            <wp:effectExtent l="0" t="0" r="0" b="190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1384" cy="722376"/>
                    </a:xfrm>
                    <a:prstGeom prst="rect">
                      <a:avLst/>
                    </a:prstGeom>
                  </pic:spPr>
                </pic:pic>
              </a:graphicData>
            </a:graphic>
          </wp:anchor>
        </w:drawing>
      </w:r>
    </w:p>
    <w:p w14:paraId="022EC57C" w14:textId="3B7B9334" w:rsidR="00564E93" w:rsidRDefault="00564E93" w:rsidP="00F721FD">
      <w:bookmarkStart w:id="0" w:name="_Hlk523899601"/>
      <w:bookmarkEnd w:id="0"/>
    </w:p>
    <w:p w14:paraId="1EF2CF05" w14:textId="540C6E51" w:rsidR="00172C6D" w:rsidRDefault="00172C6D" w:rsidP="00564E93">
      <w:pPr>
        <w:pStyle w:val="Mainbodytext"/>
        <w:rPr>
          <w:color w:val="0070C0"/>
          <w:sz w:val="72"/>
        </w:rPr>
      </w:pPr>
    </w:p>
    <w:p w14:paraId="7BF0F044" w14:textId="77777777" w:rsidR="00A870F9" w:rsidRDefault="00A870F9" w:rsidP="00564E93">
      <w:pPr>
        <w:pStyle w:val="Mainbodytext"/>
        <w:rPr>
          <w:color w:val="0070C0"/>
          <w:sz w:val="72"/>
        </w:rPr>
      </w:pPr>
    </w:p>
    <w:p w14:paraId="76788858" w14:textId="20635CFB" w:rsidR="00564E93" w:rsidRPr="00172C6D" w:rsidRDefault="00AD6E84" w:rsidP="00564E93">
      <w:pPr>
        <w:pStyle w:val="Mainbodytext"/>
        <w:rPr>
          <w:color w:val="0070C0"/>
          <w:sz w:val="72"/>
        </w:rPr>
      </w:pPr>
      <w:r w:rsidRPr="00172C6D">
        <w:rPr>
          <w:color w:val="0070C0"/>
          <w:sz w:val="72"/>
        </w:rPr>
        <w:t xml:space="preserve">Strategic Funding Review </w:t>
      </w:r>
    </w:p>
    <w:p w14:paraId="13ACC131" w14:textId="074AF26B" w:rsidR="00101F89" w:rsidRPr="00172C6D" w:rsidRDefault="000076CA" w:rsidP="00564E93">
      <w:pPr>
        <w:pStyle w:val="Mainbodytext"/>
        <w:rPr>
          <w:b/>
          <w:color w:val="0070C0"/>
          <w:sz w:val="56"/>
        </w:rPr>
      </w:pPr>
      <w:r w:rsidRPr="00172C6D">
        <w:rPr>
          <w:b/>
          <w:color w:val="0070C0"/>
          <w:sz w:val="48"/>
        </w:rPr>
        <w:t>Preliminary Findings Report</w:t>
      </w:r>
      <w:r w:rsidR="00AD17E1" w:rsidRPr="00172C6D">
        <w:rPr>
          <w:b/>
          <w:color w:val="0070C0"/>
          <w:sz w:val="48"/>
        </w:rPr>
        <w:t xml:space="preserve"> </w:t>
      </w:r>
    </w:p>
    <w:p w14:paraId="6142A36C" w14:textId="54845B0C" w:rsidR="00B0124F" w:rsidRDefault="00B0124F" w:rsidP="00564E93">
      <w:pPr>
        <w:pStyle w:val="Mainbodytext"/>
        <w:rPr>
          <w:sz w:val="36"/>
        </w:rPr>
      </w:pPr>
    </w:p>
    <w:p w14:paraId="4DEB8846" w14:textId="62FF2E00" w:rsidR="00E840AC" w:rsidRPr="00F721FD" w:rsidRDefault="00E840AC" w:rsidP="00F721FD">
      <w:r w:rsidRPr="00F721FD">
        <w:br w:type="page"/>
      </w:r>
    </w:p>
    <w:sdt>
      <w:sdtPr>
        <w:rPr>
          <w:rFonts w:eastAsiaTheme="minorHAnsi"/>
          <w:b w:val="0"/>
          <w:color w:val="auto"/>
          <w:sz w:val="22"/>
          <w:szCs w:val="22"/>
          <w:lang w:val="en-AU"/>
        </w:rPr>
        <w:id w:val="1183245256"/>
        <w:docPartObj>
          <w:docPartGallery w:val="Table of Contents"/>
          <w:docPartUnique/>
        </w:docPartObj>
      </w:sdtPr>
      <w:sdtEndPr>
        <w:rPr>
          <w:noProof/>
        </w:rPr>
      </w:sdtEndPr>
      <w:sdtContent>
        <w:p w14:paraId="15BD6984" w14:textId="1F8DC6C0" w:rsidR="0086559E" w:rsidRPr="00F721FD" w:rsidRDefault="0086559E" w:rsidP="004523E0">
          <w:pPr>
            <w:pStyle w:val="TOCHeading"/>
            <w:tabs>
              <w:tab w:val="left" w:pos="6975"/>
            </w:tabs>
          </w:pPr>
          <w:r w:rsidRPr="004523E0">
            <w:t>Contents</w:t>
          </w:r>
        </w:p>
        <w:p w14:paraId="47076A30" w14:textId="1A64C58B" w:rsidR="001F241E" w:rsidRDefault="0086559E">
          <w:pPr>
            <w:pStyle w:val="TOC1"/>
            <w:tabs>
              <w:tab w:val="right" w:leader="dot" w:pos="9016"/>
            </w:tabs>
            <w:rPr>
              <w:rFonts w:asciiTheme="minorHAnsi" w:eastAsiaTheme="minorEastAsia" w:hAnsiTheme="minorHAnsi" w:cstheme="minorBidi"/>
              <w:noProof/>
              <w:lang w:eastAsia="en-AU"/>
            </w:rPr>
          </w:pPr>
          <w:r w:rsidRPr="00F721FD">
            <w:rPr>
              <w:b/>
              <w:bCs/>
              <w:noProof/>
            </w:rPr>
            <w:fldChar w:fldCharType="begin"/>
          </w:r>
          <w:r w:rsidRPr="00F721FD">
            <w:rPr>
              <w:b/>
              <w:bCs/>
              <w:noProof/>
            </w:rPr>
            <w:instrText xml:space="preserve"> TOC \o "1-3" \h \z \u </w:instrText>
          </w:r>
          <w:r w:rsidRPr="00F721FD">
            <w:rPr>
              <w:b/>
              <w:bCs/>
              <w:noProof/>
            </w:rPr>
            <w:fldChar w:fldCharType="separate"/>
          </w:r>
          <w:hyperlink w:anchor="_Toc1571661" w:history="1">
            <w:r w:rsidR="001F241E" w:rsidRPr="0020298D">
              <w:rPr>
                <w:rStyle w:val="Hyperlink"/>
                <w:noProof/>
              </w:rPr>
              <w:t>Executive Summary</w:t>
            </w:r>
            <w:r w:rsidR="001F241E">
              <w:rPr>
                <w:noProof/>
                <w:webHidden/>
              </w:rPr>
              <w:tab/>
            </w:r>
            <w:r w:rsidR="001F241E">
              <w:rPr>
                <w:noProof/>
                <w:webHidden/>
              </w:rPr>
              <w:fldChar w:fldCharType="begin"/>
            </w:r>
            <w:r w:rsidR="001F241E">
              <w:rPr>
                <w:noProof/>
                <w:webHidden/>
              </w:rPr>
              <w:instrText xml:space="preserve"> PAGEREF _Toc1571661 \h </w:instrText>
            </w:r>
            <w:r w:rsidR="001F241E">
              <w:rPr>
                <w:noProof/>
                <w:webHidden/>
              </w:rPr>
            </w:r>
            <w:r w:rsidR="001F241E">
              <w:rPr>
                <w:noProof/>
                <w:webHidden/>
              </w:rPr>
              <w:fldChar w:fldCharType="separate"/>
            </w:r>
            <w:r w:rsidR="001F241E">
              <w:rPr>
                <w:noProof/>
                <w:webHidden/>
              </w:rPr>
              <w:t>4</w:t>
            </w:r>
            <w:r w:rsidR="001F241E">
              <w:rPr>
                <w:noProof/>
                <w:webHidden/>
              </w:rPr>
              <w:fldChar w:fldCharType="end"/>
            </w:r>
          </w:hyperlink>
        </w:p>
        <w:p w14:paraId="028191ED" w14:textId="346852A7" w:rsidR="001F241E" w:rsidRDefault="00525D6D">
          <w:pPr>
            <w:pStyle w:val="TOC2"/>
            <w:tabs>
              <w:tab w:val="right" w:leader="dot" w:pos="9016"/>
            </w:tabs>
            <w:rPr>
              <w:rFonts w:asciiTheme="minorHAnsi" w:eastAsiaTheme="minorEastAsia" w:hAnsiTheme="minorHAnsi" w:cstheme="minorBidi"/>
              <w:noProof/>
              <w:lang w:eastAsia="en-AU"/>
            </w:rPr>
          </w:pPr>
          <w:hyperlink w:anchor="_Toc1571662" w:history="1">
            <w:r w:rsidR="001F241E" w:rsidRPr="0020298D">
              <w:rPr>
                <w:rStyle w:val="Hyperlink"/>
                <w:noProof/>
              </w:rPr>
              <w:t>Next steps</w:t>
            </w:r>
            <w:r w:rsidR="001F241E">
              <w:rPr>
                <w:noProof/>
                <w:webHidden/>
              </w:rPr>
              <w:tab/>
            </w:r>
            <w:r w:rsidR="001F241E">
              <w:rPr>
                <w:noProof/>
                <w:webHidden/>
              </w:rPr>
              <w:fldChar w:fldCharType="begin"/>
            </w:r>
            <w:r w:rsidR="001F241E">
              <w:rPr>
                <w:noProof/>
                <w:webHidden/>
              </w:rPr>
              <w:instrText xml:space="preserve"> PAGEREF _Toc1571662 \h </w:instrText>
            </w:r>
            <w:r w:rsidR="001F241E">
              <w:rPr>
                <w:noProof/>
                <w:webHidden/>
              </w:rPr>
            </w:r>
            <w:r w:rsidR="001F241E">
              <w:rPr>
                <w:noProof/>
                <w:webHidden/>
              </w:rPr>
              <w:fldChar w:fldCharType="separate"/>
            </w:r>
            <w:r w:rsidR="001F241E">
              <w:rPr>
                <w:noProof/>
                <w:webHidden/>
              </w:rPr>
              <w:t>5</w:t>
            </w:r>
            <w:r w:rsidR="001F241E">
              <w:rPr>
                <w:noProof/>
                <w:webHidden/>
              </w:rPr>
              <w:fldChar w:fldCharType="end"/>
            </w:r>
          </w:hyperlink>
        </w:p>
        <w:p w14:paraId="3FC7E672" w14:textId="1FF600F3" w:rsidR="001F241E" w:rsidRDefault="00525D6D">
          <w:pPr>
            <w:pStyle w:val="TOC2"/>
            <w:tabs>
              <w:tab w:val="right" w:leader="dot" w:pos="9016"/>
            </w:tabs>
            <w:rPr>
              <w:rFonts w:asciiTheme="minorHAnsi" w:eastAsiaTheme="minorEastAsia" w:hAnsiTheme="minorHAnsi" w:cstheme="minorBidi"/>
              <w:noProof/>
              <w:lang w:eastAsia="en-AU"/>
            </w:rPr>
          </w:pPr>
          <w:hyperlink w:anchor="_Toc1571663" w:history="1">
            <w:r w:rsidR="001F241E" w:rsidRPr="0020298D">
              <w:rPr>
                <w:rStyle w:val="Hyperlink"/>
                <w:noProof/>
              </w:rPr>
              <w:t>Implementation of the Strategic Funding Review</w:t>
            </w:r>
            <w:r w:rsidR="001F241E">
              <w:rPr>
                <w:noProof/>
                <w:webHidden/>
              </w:rPr>
              <w:tab/>
            </w:r>
            <w:r w:rsidR="001F241E">
              <w:rPr>
                <w:noProof/>
                <w:webHidden/>
              </w:rPr>
              <w:fldChar w:fldCharType="begin"/>
            </w:r>
            <w:r w:rsidR="001F241E">
              <w:rPr>
                <w:noProof/>
                <w:webHidden/>
              </w:rPr>
              <w:instrText xml:space="preserve"> PAGEREF _Toc1571663 \h </w:instrText>
            </w:r>
            <w:r w:rsidR="001F241E">
              <w:rPr>
                <w:noProof/>
                <w:webHidden/>
              </w:rPr>
            </w:r>
            <w:r w:rsidR="001F241E">
              <w:rPr>
                <w:noProof/>
                <w:webHidden/>
              </w:rPr>
              <w:fldChar w:fldCharType="separate"/>
            </w:r>
            <w:r w:rsidR="001F241E">
              <w:rPr>
                <w:noProof/>
                <w:webHidden/>
              </w:rPr>
              <w:t>5</w:t>
            </w:r>
            <w:r w:rsidR="001F241E">
              <w:rPr>
                <w:noProof/>
                <w:webHidden/>
              </w:rPr>
              <w:fldChar w:fldCharType="end"/>
            </w:r>
          </w:hyperlink>
        </w:p>
        <w:p w14:paraId="72E089D7" w14:textId="0B398A52" w:rsidR="001F241E" w:rsidRDefault="00525D6D">
          <w:pPr>
            <w:pStyle w:val="TOC1"/>
            <w:tabs>
              <w:tab w:val="right" w:leader="dot" w:pos="9016"/>
            </w:tabs>
            <w:rPr>
              <w:rFonts w:asciiTheme="minorHAnsi" w:eastAsiaTheme="minorEastAsia" w:hAnsiTheme="minorHAnsi" w:cstheme="minorBidi"/>
              <w:noProof/>
              <w:lang w:eastAsia="en-AU"/>
            </w:rPr>
          </w:pPr>
          <w:hyperlink w:anchor="_Toc1571664" w:history="1">
            <w:r w:rsidR="001F241E" w:rsidRPr="0020298D">
              <w:rPr>
                <w:rStyle w:val="Hyperlink"/>
                <w:noProof/>
              </w:rPr>
              <w:t>Background</w:t>
            </w:r>
            <w:r w:rsidR="001F241E">
              <w:rPr>
                <w:noProof/>
                <w:webHidden/>
              </w:rPr>
              <w:tab/>
            </w:r>
            <w:r w:rsidR="001F241E">
              <w:rPr>
                <w:noProof/>
                <w:webHidden/>
              </w:rPr>
              <w:fldChar w:fldCharType="begin"/>
            </w:r>
            <w:r w:rsidR="001F241E">
              <w:rPr>
                <w:noProof/>
                <w:webHidden/>
              </w:rPr>
              <w:instrText xml:space="preserve"> PAGEREF _Toc1571664 \h </w:instrText>
            </w:r>
            <w:r w:rsidR="001F241E">
              <w:rPr>
                <w:noProof/>
                <w:webHidden/>
              </w:rPr>
            </w:r>
            <w:r w:rsidR="001F241E">
              <w:rPr>
                <w:noProof/>
                <w:webHidden/>
              </w:rPr>
              <w:fldChar w:fldCharType="separate"/>
            </w:r>
            <w:r w:rsidR="001F241E">
              <w:rPr>
                <w:noProof/>
                <w:webHidden/>
              </w:rPr>
              <w:t>5</w:t>
            </w:r>
            <w:r w:rsidR="001F241E">
              <w:rPr>
                <w:noProof/>
                <w:webHidden/>
              </w:rPr>
              <w:fldChar w:fldCharType="end"/>
            </w:r>
          </w:hyperlink>
        </w:p>
        <w:p w14:paraId="2B14F990" w14:textId="5591B498" w:rsidR="001F241E" w:rsidRDefault="00525D6D">
          <w:pPr>
            <w:pStyle w:val="TOC1"/>
            <w:tabs>
              <w:tab w:val="right" w:leader="dot" w:pos="9016"/>
            </w:tabs>
            <w:rPr>
              <w:rFonts w:asciiTheme="minorHAnsi" w:eastAsiaTheme="minorEastAsia" w:hAnsiTheme="minorHAnsi" w:cstheme="minorBidi"/>
              <w:noProof/>
              <w:lang w:eastAsia="en-AU"/>
            </w:rPr>
          </w:pPr>
          <w:hyperlink w:anchor="_Toc1571665" w:history="1">
            <w:r w:rsidR="001F241E" w:rsidRPr="0020298D">
              <w:rPr>
                <w:rStyle w:val="Hyperlink"/>
                <w:noProof/>
              </w:rPr>
              <w:t>Consultation period</w:t>
            </w:r>
            <w:r w:rsidR="001F241E">
              <w:rPr>
                <w:noProof/>
                <w:webHidden/>
              </w:rPr>
              <w:tab/>
            </w:r>
            <w:r w:rsidR="001F241E">
              <w:rPr>
                <w:noProof/>
                <w:webHidden/>
              </w:rPr>
              <w:fldChar w:fldCharType="begin"/>
            </w:r>
            <w:r w:rsidR="001F241E">
              <w:rPr>
                <w:noProof/>
                <w:webHidden/>
              </w:rPr>
              <w:instrText xml:space="preserve"> PAGEREF _Toc1571665 \h </w:instrText>
            </w:r>
            <w:r w:rsidR="001F241E">
              <w:rPr>
                <w:noProof/>
                <w:webHidden/>
              </w:rPr>
            </w:r>
            <w:r w:rsidR="001F241E">
              <w:rPr>
                <w:noProof/>
                <w:webHidden/>
              </w:rPr>
              <w:fldChar w:fldCharType="separate"/>
            </w:r>
            <w:r w:rsidR="001F241E">
              <w:rPr>
                <w:noProof/>
                <w:webHidden/>
              </w:rPr>
              <w:t>6</w:t>
            </w:r>
            <w:r w:rsidR="001F241E">
              <w:rPr>
                <w:noProof/>
                <w:webHidden/>
              </w:rPr>
              <w:fldChar w:fldCharType="end"/>
            </w:r>
          </w:hyperlink>
        </w:p>
        <w:p w14:paraId="5EB6D7E9" w14:textId="1938CEF0" w:rsidR="001F241E" w:rsidRDefault="00525D6D">
          <w:pPr>
            <w:pStyle w:val="TOC2"/>
            <w:tabs>
              <w:tab w:val="right" w:leader="dot" w:pos="9016"/>
            </w:tabs>
            <w:rPr>
              <w:rFonts w:asciiTheme="minorHAnsi" w:eastAsiaTheme="minorEastAsia" w:hAnsiTheme="minorHAnsi" w:cstheme="minorBidi"/>
              <w:noProof/>
              <w:lang w:eastAsia="en-AU"/>
            </w:rPr>
          </w:pPr>
          <w:hyperlink w:anchor="_Toc1571666" w:history="1">
            <w:r w:rsidR="001F241E" w:rsidRPr="0020298D">
              <w:rPr>
                <w:rStyle w:val="Hyperlink"/>
                <w:noProof/>
              </w:rPr>
              <w:t>Written responses</w:t>
            </w:r>
            <w:r w:rsidR="001F241E">
              <w:rPr>
                <w:noProof/>
                <w:webHidden/>
              </w:rPr>
              <w:tab/>
            </w:r>
            <w:r w:rsidR="001F241E">
              <w:rPr>
                <w:noProof/>
                <w:webHidden/>
              </w:rPr>
              <w:fldChar w:fldCharType="begin"/>
            </w:r>
            <w:r w:rsidR="001F241E">
              <w:rPr>
                <w:noProof/>
                <w:webHidden/>
              </w:rPr>
              <w:instrText xml:space="preserve"> PAGEREF _Toc1571666 \h </w:instrText>
            </w:r>
            <w:r w:rsidR="001F241E">
              <w:rPr>
                <w:noProof/>
                <w:webHidden/>
              </w:rPr>
            </w:r>
            <w:r w:rsidR="001F241E">
              <w:rPr>
                <w:noProof/>
                <w:webHidden/>
              </w:rPr>
              <w:fldChar w:fldCharType="separate"/>
            </w:r>
            <w:r w:rsidR="001F241E">
              <w:rPr>
                <w:noProof/>
                <w:webHidden/>
              </w:rPr>
              <w:t>7</w:t>
            </w:r>
            <w:r w:rsidR="001F241E">
              <w:rPr>
                <w:noProof/>
                <w:webHidden/>
              </w:rPr>
              <w:fldChar w:fldCharType="end"/>
            </w:r>
          </w:hyperlink>
        </w:p>
        <w:p w14:paraId="2785F43E" w14:textId="72E6E4DE" w:rsidR="001F241E" w:rsidRDefault="00525D6D">
          <w:pPr>
            <w:pStyle w:val="TOC2"/>
            <w:tabs>
              <w:tab w:val="right" w:leader="dot" w:pos="9016"/>
            </w:tabs>
            <w:rPr>
              <w:rFonts w:asciiTheme="minorHAnsi" w:eastAsiaTheme="minorEastAsia" w:hAnsiTheme="minorHAnsi" w:cstheme="minorBidi"/>
              <w:noProof/>
              <w:lang w:eastAsia="en-AU"/>
            </w:rPr>
          </w:pPr>
          <w:hyperlink w:anchor="_Toc1571667" w:history="1">
            <w:r w:rsidR="001F241E" w:rsidRPr="0020298D">
              <w:rPr>
                <w:rStyle w:val="Hyperlink"/>
                <w:noProof/>
              </w:rPr>
              <w:t>Workshops and leadership forums</w:t>
            </w:r>
            <w:r w:rsidR="001F241E">
              <w:rPr>
                <w:noProof/>
                <w:webHidden/>
              </w:rPr>
              <w:tab/>
            </w:r>
            <w:r w:rsidR="001F241E">
              <w:rPr>
                <w:noProof/>
                <w:webHidden/>
              </w:rPr>
              <w:fldChar w:fldCharType="begin"/>
            </w:r>
            <w:r w:rsidR="001F241E">
              <w:rPr>
                <w:noProof/>
                <w:webHidden/>
              </w:rPr>
              <w:instrText xml:space="preserve"> PAGEREF _Toc1571667 \h </w:instrText>
            </w:r>
            <w:r w:rsidR="001F241E">
              <w:rPr>
                <w:noProof/>
                <w:webHidden/>
              </w:rPr>
            </w:r>
            <w:r w:rsidR="001F241E">
              <w:rPr>
                <w:noProof/>
                <w:webHidden/>
              </w:rPr>
              <w:fldChar w:fldCharType="separate"/>
            </w:r>
            <w:r w:rsidR="001F241E">
              <w:rPr>
                <w:noProof/>
                <w:webHidden/>
              </w:rPr>
              <w:t>7</w:t>
            </w:r>
            <w:r w:rsidR="001F241E">
              <w:rPr>
                <w:noProof/>
                <w:webHidden/>
              </w:rPr>
              <w:fldChar w:fldCharType="end"/>
            </w:r>
          </w:hyperlink>
        </w:p>
        <w:p w14:paraId="58F7A5E5" w14:textId="1EE1BE4C" w:rsidR="001F241E" w:rsidRDefault="00525D6D">
          <w:pPr>
            <w:pStyle w:val="TOC3"/>
            <w:tabs>
              <w:tab w:val="right" w:leader="dot" w:pos="9016"/>
            </w:tabs>
            <w:rPr>
              <w:rFonts w:asciiTheme="minorHAnsi" w:eastAsiaTheme="minorEastAsia" w:hAnsiTheme="minorHAnsi" w:cstheme="minorBidi"/>
              <w:noProof/>
              <w:lang w:eastAsia="en-AU"/>
            </w:rPr>
          </w:pPr>
          <w:hyperlink w:anchor="_Toc1571668" w:history="1">
            <w:r w:rsidR="001F241E" w:rsidRPr="0020298D">
              <w:rPr>
                <w:rStyle w:val="Hyperlink"/>
                <w:noProof/>
              </w:rPr>
              <w:t>Workshop process</w:t>
            </w:r>
            <w:r w:rsidR="001F241E">
              <w:rPr>
                <w:noProof/>
                <w:webHidden/>
              </w:rPr>
              <w:tab/>
            </w:r>
            <w:r w:rsidR="001F241E">
              <w:rPr>
                <w:noProof/>
                <w:webHidden/>
              </w:rPr>
              <w:fldChar w:fldCharType="begin"/>
            </w:r>
            <w:r w:rsidR="001F241E">
              <w:rPr>
                <w:noProof/>
                <w:webHidden/>
              </w:rPr>
              <w:instrText xml:space="preserve"> PAGEREF _Toc1571668 \h </w:instrText>
            </w:r>
            <w:r w:rsidR="001F241E">
              <w:rPr>
                <w:noProof/>
                <w:webHidden/>
              </w:rPr>
            </w:r>
            <w:r w:rsidR="001F241E">
              <w:rPr>
                <w:noProof/>
                <w:webHidden/>
              </w:rPr>
              <w:fldChar w:fldCharType="separate"/>
            </w:r>
            <w:r w:rsidR="001F241E">
              <w:rPr>
                <w:noProof/>
                <w:webHidden/>
              </w:rPr>
              <w:t>7</w:t>
            </w:r>
            <w:r w:rsidR="001F241E">
              <w:rPr>
                <w:noProof/>
                <w:webHidden/>
              </w:rPr>
              <w:fldChar w:fldCharType="end"/>
            </w:r>
          </w:hyperlink>
        </w:p>
        <w:p w14:paraId="2FA424F3" w14:textId="6241C0C1" w:rsidR="001F241E" w:rsidRDefault="00525D6D">
          <w:pPr>
            <w:pStyle w:val="TOC1"/>
            <w:tabs>
              <w:tab w:val="right" w:leader="dot" w:pos="9016"/>
            </w:tabs>
            <w:rPr>
              <w:rFonts w:asciiTheme="minorHAnsi" w:eastAsiaTheme="minorEastAsia" w:hAnsiTheme="minorHAnsi" w:cstheme="minorBidi"/>
              <w:noProof/>
              <w:lang w:eastAsia="en-AU"/>
            </w:rPr>
          </w:pPr>
          <w:hyperlink w:anchor="_Toc1571669" w:history="1">
            <w:r w:rsidR="001F241E" w:rsidRPr="0020298D">
              <w:rPr>
                <w:rStyle w:val="Hyperlink"/>
                <w:noProof/>
              </w:rPr>
              <w:t>Review of areas for further discussion</w:t>
            </w:r>
            <w:r w:rsidR="001F241E">
              <w:rPr>
                <w:noProof/>
                <w:webHidden/>
              </w:rPr>
              <w:tab/>
            </w:r>
            <w:r w:rsidR="001F241E">
              <w:rPr>
                <w:noProof/>
                <w:webHidden/>
              </w:rPr>
              <w:fldChar w:fldCharType="begin"/>
            </w:r>
            <w:r w:rsidR="001F241E">
              <w:rPr>
                <w:noProof/>
                <w:webHidden/>
              </w:rPr>
              <w:instrText xml:space="preserve"> PAGEREF _Toc1571669 \h </w:instrText>
            </w:r>
            <w:r w:rsidR="001F241E">
              <w:rPr>
                <w:noProof/>
                <w:webHidden/>
              </w:rPr>
            </w:r>
            <w:r w:rsidR="001F241E">
              <w:rPr>
                <w:noProof/>
                <w:webHidden/>
              </w:rPr>
              <w:fldChar w:fldCharType="separate"/>
            </w:r>
            <w:r w:rsidR="001F241E">
              <w:rPr>
                <w:noProof/>
                <w:webHidden/>
              </w:rPr>
              <w:t>8</w:t>
            </w:r>
            <w:r w:rsidR="001F241E">
              <w:rPr>
                <w:noProof/>
                <w:webHidden/>
              </w:rPr>
              <w:fldChar w:fldCharType="end"/>
            </w:r>
          </w:hyperlink>
        </w:p>
        <w:p w14:paraId="472A4130" w14:textId="095AE8D6" w:rsidR="001F241E" w:rsidRDefault="00525D6D">
          <w:pPr>
            <w:pStyle w:val="TOC2"/>
            <w:tabs>
              <w:tab w:val="right" w:leader="dot" w:pos="9016"/>
            </w:tabs>
            <w:rPr>
              <w:rFonts w:asciiTheme="minorHAnsi" w:eastAsiaTheme="minorEastAsia" w:hAnsiTheme="minorHAnsi" w:cstheme="minorBidi"/>
              <w:noProof/>
              <w:lang w:eastAsia="en-AU"/>
            </w:rPr>
          </w:pPr>
          <w:hyperlink w:anchor="_Toc1571670" w:history="1">
            <w:r w:rsidR="001F241E" w:rsidRPr="0020298D">
              <w:rPr>
                <w:rStyle w:val="Hyperlink"/>
                <w:noProof/>
              </w:rPr>
              <w:t>Context</w:t>
            </w:r>
            <w:r w:rsidR="001F241E">
              <w:rPr>
                <w:noProof/>
                <w:webHidden/>
              </w:rPr>
              <w:tab/>
            </w:r>
            <w:r w:rsidR="001F241E">
              <w:rPr>
                <w:noProof/>
                <w:webHidden/>
              </w:rPr>
              <w:fldChar w:fldCharType="begin"/>
            </w:r>
            <w:r w:rsidR="001F241E">
              <w:rPr>
                <w:noProof/>
                <w:webHidden/>
              </w:rPr>
              <w:instrText xml:space="preserve"> PAGEREF _Toc1571670 \h </w:instrText>
            </w:r>
            <w:r w:rsidR="001F241E">
              <w:rPr>
                <w:noProof/>
                <w:webHidden/>
              </w:rPr>
            </w:r>
            <w:r w:rsidR="001F241E">
              <w:rPr>
                <w:noProof/>
                <w:webHidden/>
              </w:rPr>
              <w:fldChar w:fldCharType="separate"/>
            </w:r>
            <w:r w:rsidR="001F241E">
              <w:rPr>
                <w:noProof/>
                <w:webHidden/>
              </w:rPr>
              <w:t>8</w:t>
            </w:r>
            <w:r w:rsidR="001F241E">
              <w:rPr>
                <w:noProof/>
                <w:webHidden/>
              </w:rPr>
              <w:fldChar w:fldCharType="end"/>
            </w:r>
          </w:hyperlink>
        </w:p>
        <w:p w14:paraId="3B13B025" w14:textId="2380E22F" w:rsidR="001F241E" w:rsidRDefault="00525D6D">
          <w:pPr>
            <w:pStyle w:val="TOC2"/>
            <w:tabs>
              <w:tab w:val="right" w:leader="dot" w:pos="9016"/>
            </w:tabs>
            <w:rPr>
              <w:rFonts w:asciiTheme="minorHAnsi" w:eastAsiaTheme="minorEastAsia" w:hAnsiTheme="minorHAnsi" w:cstheme="minorBidi"/>
              <w:noProof/>
              <w:lang w:eastAsia="en-AU"/>
            </w:rPr>
          </w:pPr>
          <w:hyperlink w:anchor="_Toc1571671" w:history="1">
            <w:r w:rsidR="001F241E" w:rsidRPr="0020298D">
              <w:rPr>
                <w:rStyle w:val="Hyperlink"/>
                <w:noProof/>
              </w:rPr>
              <w:t>The relationship between the Department and Industry</w:t>
            </w:r>
            <w:r w:rsidR="001F241E">
              <w:rPr>
                <w:noProof/>
                <w:webHidden/>
              </w:rPr>
              <w:tab/>
            </w:r>
            <w:r w:rsidR="001F241E">
              <w:rPr>
                <w:noProof/>
                <w:webHidden/>
              </w:rPr>
              <w:fldChar w:fldCharType="begin"/>
            </w:r>
            <w:r w:rsidR="001F241E">
              <w:rPr>
                <w:noProof/>
                <w:webHidden/>
              </w:rPr>
              <w:instrText xml:space="preserve"> PAGEREF _Toc1571671 \h </w:instrText>
            </w:r>
            <w:r w:rsidR="001F241E">
              <w:rPr>
                <w:noProof/>
                <w:webHidden/>
              </w:rPr>
            </w:r>
            <w:r w:rsidR="001F241E">
              <w:rPr>
                <w:noProof/>
                <w:webHidden/>
              </w:rPr>
              <w:fldChar w:fldCharType="separate"/>
            </w:r>
            <w:r w:rsidR="001F241E">
              <w:rPr>
                <w:noProof/>
                <w:webHidden/>
              </w:rPr>
              <w:t>9</w:t>
            </w:r>
            <w:r w:rsidR="001F241E">
              <w:rPr>
                <w:noProof/>
                <w:webHidden/>
              </w:rPr>
              <w:fldChar w:fldCharType="end"/>
            </w:r>
          </w:hyperlink>
        </w:p>
        <w:p w14:paraId="7D594FE2" w14:textId="0CB9DE85" w:rsidR="001F241E" w:rsidRDefault="00525D6D">
          <w:pPr>
            <w:pStyle w:val="TOC3"/>
            <w:tabs>
              <w:tab w:val="right" w:leader="dot" w:pos="9016"/>
            </w:tabs>
            <w:rPr>
              <w:rFonts w:asciiTheme="minorHAnsi" w:eastAsiaTheme="minorEastAsia" w:hAnsiTheme="minorHAnsi" w:cstheme="minorBidi"/>
              <w:noProof/>
              <w:lang w:eastAsia="en-AU"/>
            </w:rPr>
          </w:pPr>
          <w:hyperlink w:anchor="_Toc1571672" w:history="1">
            <w:r w:rsidR="001F241E" w:rsidRPr="0020298D">
              <w:rPr>
                <w:rStyle w:val="Hyperlink"/>
                <w:noProof/>
              </w:rPr>
              <w:t>Are the department’s funding programs appropriate to make a difference to the industry?</w:t>
            </w:r>
            <w:r w:rsidR="001F241E">
              <w:rPr>
                <w:noProof/>
                <w:webHidden/>
              </w:rPr>
              <w:tab/>
            </w:r>
            <w:r w:rsidR="001F241E">
              <w:rPr>
                <w:noProof/>
                <w:webHidden/>
              </w:rPr>
              <w:fldChar w:fldCharType="begin"/>
            </w:r>
            <w:r w:rsidR="001F241E">
              <w:rPr>
                <w:noProof/>
                <w:webHidden/>
              </w:rPr>
              <w:instrText xml:space="preserve"> PAGEREF _Toc1571672 \h </w:instrText>
            </w:r>
            <w:r w:rsidR="001F241E">
              <w:rPr>
                <w:noProof/>
                <w:webHidden/>
              </w:rPr>
            </w:r>
            <w:r w:rsidR="001F241E">
              <w:rPr>
                <w:noProof/>
                <w:webHidden/>
              </w:rPr>
              <w:fldChar w:fldCharType="separate"/>
            </w:r>
            <w:r w:rsidR="001F241E">
              <w:rPr>
                <w:noProof/>
                <w:webHidden/>
              </w:rPr>
              <w:t>9</w:t>
            </w:r>
            <w:r w:rsidR="001F241E">
              <w:rPr>
                <w:noProof/>
                <w:webHidden/>
              </w:rPr>
              <w:fldChar w:fldCharType="end"/>
            </w:r>
          </w:hyperlink>
        </w:p>
        <w:p w14:paraId="665A8623" w14:textId="281AAD1E" w:rsidR="001F241E" w:rsidRDefault="00525D6D">
          <w:pPr>
            <w:pStyle w:val="TOC3"/>
            <w:tabs>
              <w:tab w:val="right" w:leader="dot" w:pos="9016"/>
            </w:tabs>
            <w:rPr>
              <w:rFonts w:asciiTheme="minorHAnsi" w:eastAsiaTheme="minorEastAsia" w:hAnsiTheme="minorHAnsi" w:cstheme="minorBidi"/>
              <w:noProof/>
              <w:lang w:eastAsia="en-AU"/>
            </w:rPr>
          </w:pPr>
          <w:hyperlink w:anchor="_Toc1571673" w:history="1">
            <w:r w:rsidR="001F241E" w:rsidRPr="0020298D">
              <w:rPr>
                <w:rStyle w:val="Hyperlink"/>
                <w:noProof/>
              </w:rPr>
              <w:t>Define and deliver core business</w:t>
            </w:r>
            <w:r w:rsidR="001F241E">
              <w:rPr>
                <w:noProof/>
                <w:webHidden/>
              </w:rPr>
              <w:tab/>
            </w:r>
            <w:r w:rsidR="001F241E">
              <w:rPr>
                <w:noProof/>
                <w:webHidden/>
              </w:rPr>
              <w:fldChar w:fldCharType="begin"/>
            </w:r>
            <w:r w:rsidR="001F241E">
              <w:rPr>
                <w:noProof/>
                <w:webHidden/>
              </w:rPr>
              <w:instrText xml:space="preserve"> PAGEREF _Toc1571673 \h </w:instrText>
            </w:r>
            <w:r w:rsidR="001F241E">
              <w:rPr>
                <w:noProof/>
                <w:webHidden/>
              </w:rPr>
            </w:r>
            <w:r w:rsidR="001F241E">
              <w:rPr>
                <w:noProof/>
                <w:webHidden/>
              </w:rPr>
              <w:fldChar w:fldCharType="separate"/>
            </w:r>
            <w:r w:rsidR="001F241E">
              <w:rPr>
                <w:noProof/>
                <w:webHidden/>
              </w:rPr>
              <w:t>10</w:t>
            </w:r>
            <w:r w:rsidR="001F241E">
              <w:rPr>
                <w:noProof/>
                <w:webHidden/>
              </w:rPr>
              <w:fldChar w:fldCharType="end"/>
            </w:r>
          </w:hyperlink>
        </w:p>
        <w:p w14:paraId="39D8E26E" w14:textId="6CC1FF7C" w:rsidR="001F241E" w:rsidRDefault="00525D6D">
          <w:pPr>
            <w:pStyle w:val="TOC3"/>
            <w:tabs>
              <w:tab w:val="right" w:leader="dot" w:pos="9016"/>
            </w:tabs>
            <w:rPr>
              <w:rFonts w:asciiTheme="minorHAnsi" w:eastAsiaTheme="minorEastAsia" w:hAnsiTheme="minorHAnsi" w:cstheme="minorBidi"/>
              <w:noProof/>
              <w:lang w:eastAsia="en-AU"/>
            </w:rPr>
          </w:pPr>
          <w:hyperlink w:anchor="_Toc1571674" w:history="1">
            <w:r w:rsidR="001F241E" w:rsidRPr="0020298D">
              <w:rPr>
                <w:rStyle w:val="Hyperlink"/>
                <w:noProof/>
              </w:rPr>
              <w:t>Customisation of approach</w:t>
            </w:r>
            <w:r w:rsidR="001F241E">
              <w:rPr>
                <w:noProof/>
                <w:webHidden/>
              </w:rPr>
              <w:tab/>
            </w:r>
            <w:r w:rsidR="001F241E">
              <w:rPr>
                <w:noProof/>
                <w:webHidden/>
              </w:rPr>
              <w:fldChar w:fldCharType="begin"/>
            </w:r>
            <w:r w:rsidR="001F241E">
              <w:rPr>
                <w:noProof/>
                <w:webHidden/>
              </w:rPr>
              <w:instrText xml:space="preserve"> PAGEREF _Toc1571674 \h </w:instrText>
            </w:r>
            <w:r w:rsidR="001F241E">
              <w:rPr>
                <w:noProof/>
                <w:webHidden/>
              </w:rPr>
            </w:r>
            <w:r w:rsidR="001F241E">
              <w:rPr>
                <w:noProof/>
                <w:webHidden/>
              </w:rPr>
              <w:fldChar w:fldCharType="separate"/>
            </w:r>
            <w:r w:rsidR="001F241E">
              <w:rPr>
                <w:noProof/>
                <w:webHidden/>
              </w:rPr>
              <w:t>11</w:t>
            </w:r>
            <w:r w:rsidR="001F241E">
              <w:rPr>
                <w:noProof/>
                <w:webHidden/>
              </w:rPr>
              <w:fldChar w:fldCharType="end"/>
            </w:r>
          </w:hyperlink>
        </w:p>
        <w:p w14:paraId="50735726" w14:textId="371DC1BF" w:rsidR="001F241E" w:rsidRDefault="00525D6D">
          <w:pPr>
            <w:pStyle w:val="TOC3"/>
            <w:tabs>
              <w:tab w:val="right" w:leader="dot" w:pos="9016"/>
            </w:tabs>
            <w:rPr>
              <w:rFonts w:asciiTheme="minorHAnsi" w:eastAsiaTheme="minorEastAsia" w:hAnsiTheme="minorHAnsi" w:cstheme="minorBidi"/>
              <w:noProof/>
              <w:lang w:eastAsia="en-AU"/>
            </w:rPr>
          </w:pPr>
          <w:hyperlink w:anchor="_Toc1571675" w:history="1">
            <w:r w:rsidR="001F241E" w:rsidRPr="0020298D">
              <w:rPr>
                <w:rStyle w:val="Hyperlink"/>
                <w:noProof/>
              </w:rPr>
              <w:t>Simplification of process and minimising of effort</w:t>
            </w:r>
            <w:r w:rsidR="001F241E">
              <w:rPr>
                <w:noProof/>
                <w:webHidden/>
              </w:rPr>
              <w:tab/>
            </w:r>
            <w:r w:rsidR="001F241E">
              <w:rPr>
                <w:noProof/>
                <w:webHidden/>
              </w:rPr>
              <w:fldChar w:fldCharType="begin"/>
            </w:r>
            <w:r w:rsidR="001F241E">
              <w:rPr>
                <w:noProof/>
                <w:webHidden/>
              </w:rPr>
              <w:instrText xml:space="preserve"> PAGEREF _Toc1571675 \h </w:instrText>
            </w:r>
            <w:r w:rsidR="001F241E">
              <w:rPr>
                <w:noProof/>
                <w:webHidden/>
              </w:rPr>
            </w:r>
            <w:r w:rsidR="001F241E">
              <w:rPr>
                <w:noProof/>
                <w:webHidden/>
              </w:rPr>
              <w:fldChar w:fldCharType="separate"/>
            </w:r>
            <w:r w:rsidR="001F241E">
              <w:rPr>
                <w:noProof/>
                <w:webHidden/>
              </w:rPr>
              <w:t>12</w:t>
            </w:r>
            <w:r w:rsidR="001F241E">
              <w:rPr>
                <w:noProof/>
                <w:webHidden/>
              </w:rPr>
              <w:fldChar w:fldCharType="end"/>
            </w:r>
          </w:hyperlink>
        </w:p>
        <w:p w14:paraId="73E327B1" w14:textId="489FF0CF" w:rsidR="001F241E" w:rsidRDefault="00525D6D">
          <w:pPr>
            <w:pStyle w:val="TOC2"/>
            <w:tabs>
              <w:tab w:val="right" w:leader="dot" w:pos="9016"/>
            </w:tabs>
            <w:rPr>
              <w:rFonts w:asciiTheme="minorHAnsi" w:eastAsiaTheme="minorEastAsia" w:hAnsiTheme="minorHAnsi" w:cstheme="minorBidi"/>
              <w:noProof/>
              <w:lang w:eastAsia="en-AU"/>
            </w:rPr>
          </w:pPr>
          <w:hyperlink w:anchor="_Toc1571676" w:history="1">
            <w:r w:rsidR="001F241E" w:rsidRPr="0020298D">
              <w:rPr>
                <w:rStyle w:val="Hyperlink"/>
                <w:noProof/>
              </w:rPr>
              <w:t>The wider context and external influences</w:t>
            </w:r>
            <w:r w:rsidR="001F241E">
              <w:rPr>
                <w:noProof/>
                <w:webHidden/>
              </w:rPr>
              <w:tab/>
            </w:r>
            <w:r w:rsidR="001F241E">
              <w:rPr>
                <w:noProof/>
                <w:webHidden/>
              </w:rPr>
              <w:fldChar w:fldCharType="begin"/>
            </w:r>
            <w:r w:rsidR="001F241E">
              <w:rPr>
                <w:noProof/>
                <w:webHidden/>
              </w:rPr>
              <w:instrText xml:space="preserve"> PAGEREF _Toc1571676 \h </w:instrText>
            </w:r>
            <w:r w:rsidR="001F241E">
              <w:rPr>
                <w:noProof/>
                <w:webHidden/>
              </w:rPr>
            </w:r>
            <w:r w:rsidR="001F241E">
              <w:rPr>
                <w:noProof/>
                <w:webHidden/>
              </w:rPr>
              <w:fldChar w:fldCharType="separate"/>
            </w:r>
            <w:r w:rsidR="001F241E">
              <w:rPr>
                <w:noProof/>
                <w:webHidden/>
              </w:rPr>
              <w:t>13</w:t>
            </w:r>
            <w:r w:rsidR="001F241E">
              <w:rPr>
                <w:noProof/>
                <w:webHidden/>
              </w:rPr>
              <w:fldChar w:fldCharType="end"/>
            </w:r>
          </w:hyperlink>
        </w:p>
        <w:p w14:paraId="6C7697CD" w14:textId="28161204" w:rsidR="001F241E" w:rsidRDefault="00525D6D">
          <w:pPr>
            <w:pStyle w:val="TOC3"/>
            <w:tabs>
              <w:tab w:val="right" w:leader="dot" w:pos="9016"/>
            </w:tabs>
            <w:rPr>
              <w:rFonts w:asciiTheme="minorHAnsi" w:eastAsiaTheme="minorEastAsia" w:hAnsiTheme="minorHAnsi" w:cstheme="minorBidi"/>
              <w:noProof/>
              <w:lang w:eastAsia="en-AU"/>
            </w:rPr>
          </w:pPr>
          <w:hyperlink w:anchor="_Toc1571677" w:history="1">
            <w:r w:rsidR="001F241E" w:rsidRPr="0020298D">
              <w:rPr>
                <w:rStyle w:val="Hyperlink"/>
                <w:noProof/>
              </w:rPr>
              <w:t>How does the sport and recreation sector engage with the health and education sectors in a more meaningful way?</w:t>
            </w:r>
            <w:r w:rsidR="001F241E">
              <w:rPr>
                <w:noProof/>
                <w:webHidden/>
              </w:rPr>
              <w:tab/>
            </w:r>
            <w:r w:rsidR="001F241E">
              <w:rPr>
                <w:noProof/>
                <w:webHidden/>
              </w:rPr>
              <w:fldChar w:fldCharType="begin"/>
            </w:r>
            <w:r w:rsidR="001F241E">
              <w:rPr>
                <w:noProof/>
                <w:webHidden/>
              </w:rPr>
              <w:instrText xml:space="preserve"> PAGEREF _Toc1571677 \h </w:instrText>
            </w:r>
            <w:r w:rsidR="001F241E">
              <w:rPr>
                <w:noProof/>
                <w:webHidden/>
              </w:rPr>
            </w:r>
            <w:r w:rsidR="001F241E">
              <w:rPr>
                <w:noProof/>
                <w:webHidden/>
              </w:rPr>
              <w:fldChar w:fldCharType="separate"/>
            </w:r>
            <w:r w:rsidR="001F241E">
              <w:rPr>
                <w:noProof/>
                <w:webHidden/>
              </w:rPr>
              <w:t>13</w:t>
            </w:r>
            <w:r w:rsidR="001F241E">
              <w:rPr>
                <w:noProof/>
                <w:webHidden/>
              </w:rPr>
              <w:fldChar w:fldCharType="end"/>
            </w:r>
          </w:hyperlink>
        </w:p>
        <w:p w14:paraId="1CAA7FE5" w14:textId="4123B644" w:rsidR="001F241E" w:rsidRDefault="00525D6D">
          <w:pPr>
            <w:pStyle w:val="TOC3"/>
            <w:tabs>
              <w:tab w:val="right" w:leader="dot" w:pos="9016"/>
            </w:tabs>
            <w:rPr>
              <w:rFonts w:asciiTheme="minorHAnsi" w:eastAsiaTheme="minorEastAsia" w:hAnsiTheme="minorHAnsi" w:cstheme="minorBidi"/>
              <w:noProof/>
              <w:lang w:eastAsia="en-AU"/>
            </w:rPr>
          </w:pPr>
          <w:hyperlink w:anchor="_Toc1571678" w:history="1">
            <w:r w:rsidR="001F241E" w:rsidRPr="0020298D">
              <w:rPr>
                <w:rStyle w:val="Hyperlink"/>
                <w:noProof/>
              </w:rPr>
              <w:t>Participation in a changing environment</w:t>
            </w:r>
            <w:r w:rsidR="001F241E">
              <w:rPr>
                <w:noProof/>
                <w:webHidden/>
              </w:rPr>
              <w:tab/>
            </w:r>
            <w:r w:rsidR="001F241E">
              <w:rPr>
                <w:noProof/>
                <w:webHidden/>
              </w:rPr>
              <w:fldChar w:fldCharType="begin"/>
            </w:r>
            <w:r w:rsidR="001F241E">
              <w:rPr>
                <w:noProof/>
                <w:webHidden/>
              </w:rPr>
              <w:instrText xml:space="preserve"> PAGEREF _Toc1571678 \h </w:instrText>
            </w:r>
            <w:r w:rsidR="001F241E">
              <w:rPr>
                <w:noProof/>
                <w:webHidden/>
              </w:rPr>
            </w:r>
            <w:r w:rsidR="001F241E">
              <w:rPr>
                <w:noProof/>
                <w:webHidden/>
              </w:rPr>
              <w:fldChar w:fldCharType="separate"/>
            </w:r>
            <w:r w:rsidR="001F241E">
              <w:rPr>
                <w:noProof/>
                <w:webHidden/>
              </w:rPr>
              <w:t>13</w:t>
            </w:r>
            <w:r w:rsidR="001F241E">
              <w:rPr>
                <w:noProof/>
                <w:webHidden/>
              </w:rPr>
              <w:fldChar w:fldCharType="end"/>
            </w:r>
          </w:hyperlink>
        </w:p>
        <w:p w14:paraId="53F947BC" w14:textId="45F6C72B" w:rsidR="001F241E" w:rsidRDefault="00525D6D">
          <w:pPr>
            <w:pStyle w:val="TOC3"/>
            <w:tabs>
              <w:tab w:val="right" w:leader="dot" w:pos="9016"/>
            </w:tabs>
            <w:rPr>
              <w:rFonts w:asciiTheme="minorHAnsi" w:eastAsiaTheme="minorEastAsia" w:hAnsiTheme="minorHAnsi" w:cstheme="minorBidi"/>
              <w:noProof/>
              <w:lang w:eastAsia="en-AU"/>
            </w:rPr>
          </w:pPr>
          <w:hyperlink w:anchor="_Toc1571679" w:history="1">
            <w:r w:rsidR="001F241E" w:rsidRPr="0020298D">
              <w:rPr>
                <w:rStyle w:val="Hyperlink"/>
                <w:noProof/>
              </w:rPr>
              <w:t>WA challenges</w:t>
            </w:r>
            <w:r w:rsidR="001F241E">
              <w:rPr>
                <w:noProof/>
                <w:webHidden/>
              </w:rPr>
              <w:tab/>
            </w:r>
            <w:r w:rsidR="001F241E">
              <w:rPr>
                <w:noProof/>
                <w:webHidden/>
              </w:rPr>
              <w:fldChar w:fldCharType="begin"/>
            </w:r>
            <w:r w:rsidR="001F241E">
              <w:rPr>
                <w:noProof/>
                <w:webHidden/>
              </w:rPr>
              <w:instrText xml:space="preserve"> PAGEREF _Toc1571679 \h </w:instrText>
            </w:r>
            <w:r w:rsidR="001F241E">
              <w:rPr>
                <w:noProof/>
                <w:webHidden/>
              </w:rPr>
            </w:r>
            <w:r w:rsidR="001F241E">
              <w:rPr>
                <w:noProof/>
                <w:webHidden/>
              </w:rPr>
              <w:fldChar w:fldCharType="separate"/>
            </w:r>
            <w:r w:rsidR="001F241E">
              <w:rPr>
                <w:noProof/>
                <w:webHidden/>
              </w:rPr>
              <w:t>14</w:t>
            </w:r>
            <w:r w:rsidR="001F241E">
              <w:rPr>
                <w:noProof/>
                <w:webHidden/>
              </w:rPr>
              <w:fldChar w:fldCharType="end"/>
            </w:r>
          </w:hyperlink>
        </w:p>
        <w:p w14:paraId="1D41E572" w14:textId="42B4E018" w:rsidR="001F241E" w:rsidRDefault="00525D6D">
          <w:pPr>
            <w:pStyle w:val="TOC1"/>
            <w:tabs>
              <w:tab w:val="right" w:leader="dot" w:pos="9016"/>
            </w:tabs>
            <w:rPr>
              <w:rFonts w:asciiTheme="minorHAnsi" w:eastAsiaTheme="minorEastAsia" w:hAnsiTheme="minorHAnsi" w:cstheme="minorBidi"/>
              <w:noProof/>
              <w:lang w:eastAsia="en-AU"/>
            </w:rPr>
          </w:pPr>
          <w:hyperlink w:anchor="_Toc1571680" w:history="1">
            <w:r w:rsidR="001F241E" w:rsidRPr="0020298D">
              <w:rPr>
                <w:rStyle w:val="Hyperlink"/>
                <w:noProof/>
              </w:rPr>
              <w:t>Review of Department’s current funding programs</w:t>
            </w:r>
            <w:r w:rsidR="001F241E">
              <w:rPr>
                <w:noProof/>
                <w:webHidden/>
              </w:rPr>
              <w:tab/>
            </w:r>
            <w:r w:rsidR="001F241E">
              <w:rPr>
                <w:noProof/>
                <w:webHidden/>
              </w:rPr>
              <w:fldChar w:fldCharType="begin"/>
            </w:r>
            <w:r w:rsidR="001F241E">
              <w:rPr>
                <w:noProof/>
                <w:webHidden/>
              </w:rPr>
              <w:instrText xml:space="preserve"> PAGEREF _Toc1571680 \h </w:instrText>
            </w:r>
            <w:r w:rsidR="001F241E">
              <w:rPr>
                <w:noProof/>
                <w:webHidden/>
              </w:rPr>
            </w:r>
            <w:r w:rsidR="001F241E">
              <w:rPr>
                <w:noProof/>
                <w:webHidden/>
              </w:rPr>
              <w:fldChar w:fldCharType="separate"/>
            </w:r>
            <w:r w:rsidR="001F241E">
              <w:rPr>
                <w:noProof/>
                <w:webHidden/>
              </w:rPr>
              <w:t>15</w:t>
            </w:r>
            <w:r w:rsidR="001F241E">
              <w:rPr>
                <w:noProof/>
                <w:webHidden/>
              </w:rPr>
              <w:fldChar w:fldCharType="end"/>
            </w:r>
          </w:hyperlink>
        </w:p>
        <w:p w14:paraId="040BFA58" w14:textId="1B78A586" w:rsidR="001F241E" w:rsidRDefault="00525D6D">
          <w:pPr>
            <w:pStyle w:val="TOC2"/>
            <w:tabs>
              <w:tab w:val="right" w:leader="dot" w:pos="9016"/>
            </w:tabs>
            <w:rPr>
              <w:rFonts w:asciiTheme="minorHAnsi" w:eastAsiaTheme="minorEastAsia" w:hAnsiTheme="minorHAnsi" w:cstheme="minorBidi"/>
              <w:noProof/>
              <w:lang w:eastAsia="en-AU"/>
            </w:rPr>
          </w:pPr>
          <w:hyperlink w:anchor="_Toc1571681" w:history="1">
            <w:r w:rsidR="001F241E" w:rsidRPr="0020298D">
              <w:rPr>
                <w:rStyle w:val="Hyperlink"/>
                <w:noProof/>
              </w:rPr>
              <w:t>Context</w:t>
            </w:r>
            <w:r w:rsidR="001F241E">
              <w:rPr>
                <w:noProof/>
                <w:webHidden/>
              </w:rPr>
              <w:tab/>
            </w:r>
            <w:r w:rsidR="001F241E">
              <w:rPr>
                <w:noProof/>
                <w:webHidden/>
              </w:rPr>
              <w:fldChar w:fldCharType="begin"/>
            </w:r>
            <w:r w:rsidR="001F241E">
              <w:rPr>
                <w:noProof/>
                <w:webHidden/>
              </w:rPr>
              <w:instrText xml:space="preserve"> PAGEREF _Toc1571681 \h </w:instrText>
            </w:r>
            <w:r w:rsidR="001F241E">
              <w:rPr>
                <w:noProof/>
                <w:webHidden/>
              </w:rPr>
            </w:r>
            <w:r w:rsidR="001F241E">
              <w:rPr>
                <w:noProof/>
                <w:webHidden/>
              </w:rPr>
              <w:fldChar w:fldCharType="separate"/>
            </w:r>
            <w:r w:rsidR="001F241E">
              <w:rPr>
                <w:noProof/>
                <w:webHidden/>
              </w:rPr>
              <w:t>15</w:t>
            </w:r>
            <w:r w:rsidR="001F241E">
              <w:rPr>
                <w:noProof/>
                <w:webHidden/>
              </w:rPr>
              <w:fldChar w:fldCharType="end"/>
            </w:r>
          </w:hyperlink>
        </w:p>
        <w:p w14:paraId="5A8FB0B9" w14:textId="7E2A3CC8" w:rsidR="001F241E" w:rsidRDefault="00525D6D">
          <w:pPr>
            <w:pStyle w:val="TOC3"/>
            <w:tabs>
              <w:tab w:val="right" w:leader="dot" w:pos="9016"/>
            </w:tabs>
            <w:rPr>
              <w:rFonts w:asciiTheme="minorHAnsi" w:eastAsiaTheme="minorEastAsia" w:hAnsiTheme="minorHAnsi" w:cstheme="minorBidi"/>
              <w:noProof/>
              <w:lang w:eastAsia="en-AU"/>
            </w:rPr>
          </w:pPr>
          <w:hyperlink w:anchor="_Toc1571682" w:history="1">
            <w:r w:rsidR="001F241E" w:rsidRPr="0020298D">
              <w:rPr>
                <w:rStyle w:val="Hyperlink"/>
                <w:noProof/>
              </w:rPr>
              <w:t>Industry Investment Program</w:t>
            </w:r>
            <w:r w:rsidR="001F241E">
              <w:rPr>
                <w:noProof/>
                <w:webHidden/>
              </w:rPr>
              <w:tab/>
            </w:r>
            <w:r w:rsidR="001F241E">
              <w:rPr>
                <w:noProof/>
                <w:webHidden/>
              </w:rPr>
              <w:fldChar w:fldCharType="begin"/>
            </w:r>
            <w:r w:rsidR="001F241E">
              <w:rPr>
                <w:noProof/>
                <w:webHidden/>
              </w:rPr>
              <w:instrText xml:space="preserve"> PAGEREF _Toc1571682 \h </w:instrText>
            </w:r>
            <w:r w:rsidR="001F241E">
              <w:rPr>
                <w:noProof/>
                <w:webHidden/>
              </w:rPr>
            </w:r>
            <w:r w:rsidR="001F241E">
              <w:rPr>
                <w:noProof/>
                <w:webHidden/>
              </w:rPr>
              <w:fldChar w:fldCharType="separate"/>
            </w:r>
            <w:r w:rsidR="001F241E">
              <w:rPr>
                <w:noProof/>
                <w:webHidden/>
              </w:rPr>
              <w:t>15</w:t>
            </w:r>
            <w:r w:rsidR="001F241E">
              <w:rPr>
                <w:noProof/>
                <w:webHidden/>
              </w:rPr>
              <w:fldChar w:fldCharType="end"/>
            </w:r>
          </w:hyperlink>
        </w:p>
        <w:p w14:paraId="557B903C" w14:textId="16C506A4" w:rsidR="001F241E" w:rsidRDefault="00525D6D">
          <w:pPr>
            <w:pStyle w:val="TOC3"/>
            <w:tabs>
              <w:tab w:val="right" w:leader="dot" w:pos="9016"/>
            </w:tabs>
            <w:rPr>
              <w:rFonts w:asciiTheme="minorHAnsi" w:eastAsiaTheme="minorEastAsia" w:hAnsiTheme="minorHAnsi" w:cstheme="minorBidi"/>
              <w:noProof/>
              <w:lang w:eastAsia="en-AU"/>
            </w:rPr>
          </w:pPr>
          <w:hyperlink w:anchor="_Toc1571683" w:history="1">
            <w:r w:rsidR="001F241E" w:rsidRPr="0020298D">
              <w:rPr>
                <w:rStyle w:val="Hyperlink"/>
                <w:noProof/>
              </w:rPr>
              <w:t>Targeted Participation Program</w:t>
            </w:r>
            <w:r w:rsidR="001F241E">
              <w:rPr>
                <w:noProof/>
                <w:webHidden/>
              </w:rPr>
              <w:tab/>
            </w:r>
            <w:r w:rsidR="001F241E">
              <w:rPr>
                <w:noProof/>
                <w:webHidden/>
              </w:rPr>
              <w:fldChar w:fldCharType="begin"/>
            </w:r>
            <w:r w:rsidR="001F241E">
              <w:rPr>
                <w:noProof/>
                <w:webHidden/>
              </w:rPr>
              <w:instrText xml:space="preserve"> PAGEREF _Toc1571683 \h </w:instrText>
            </w:r>
            <w:r w:rsidR="001F241E">
              <w:rPr>
                <w:noProof/>
                <w:webHidden/>
              </w:rPr>
            </w:r>
            <w:r w:rsidR="001F241E">
              <w:rPr>
                <w:noProof/>
                <w:webHidden/>
              </w:rPr>
              <w:fldChar w:fldCharType="separate"/>
            </w:r>
            <w:r w:rsidR="001F241E">
              <w:rPr>
                <w:noProof/>
                <w:webHidden/>
              </w:rPr>
              <w:t>17</w:t>
            </w:r>
            <w:r w:rsidR="001F241E">
              <w:rPr>
                <w:noProof/>
                <w:webHidden/>
              </w:rPr>
              <w:fldChar w:fldCharType="end"/>
            </w:r>
          </w:hyperlink>
        </w:p>
        <w:p w14:paraId="00591E46" w14:textId="63995C7C" w:rsidR="001F241E" w:rsidRDefault="00525D6D">
          <w:pPr>
            <w:pStyle w:val="TOC3"/>
            <w:tabs>
              <w:tab w:val="right" w:leader="dot" w:pos="9016"/>
            </w:tabs>
            <w:rPr>
              <w:rFonts w:asciiTheme="minorHAnsi" w:eastAsiaTheme="minorEastAsia" w:hAnsiTheme="minorHAnsi" w:cstheme="minorBidi"/>
              <w:noProof/>
              <w:lang w:eastAsia="en-AU"/>
            </w:rPr>
          </w:pPr>
          <w:hyperlink w:anchor="_Toc1571684" w:history="1">
            <w:r w:rsidR="001F241E" w:rsidRPr="0020298D">
              <w:rPr>
                <w:rStyle w:val="Hyperlink"/>
                <w:noProof/>
              </w:rPr>
              <w:t>Every Club</w:t>
            </w:r>
            <w:r w:rsidR="001F241E">
              <w:rPr>
                <w:noProof/>
                <w:webHidden/>
              </w:rPr>
              <w:tab/>
            </w:r>
            <w:r w:rsidR="001F241E">
              <w:rPr>
                <w:noProof/>
                <w:webHidden/>
              </w:rPr>
              <w:fldChar w:fldCharType="begin"/>
            </w:r>
            <w:r w:rsidR="001F241E">
              <w:rPr>
                <w:noProof/>
                <w:webHidden/>
              </w:rPr>
              <w:instrText xml:space="preserve"> PAGEREF _Toc1571684 \h </w:instrText>
            </w:r>
            <w:r w:rsidR="001F241E">
              <w:rPr>
                <w:noProof/>
                <w:webHidden/>
              </w:rPr>
            </w:r>
            <w:r w:rsidR="001F241E">
              <w:rPr>
                <w:noProof/>
                <w:webHidden/>
              </w:rPr>
              <w:fldChar w:fldCharType="separate"/>
            </w:r>
            <w:r w:rsidR="001F241E">
              <w:rPr>
                <w:noProof/>
                <w:webHidden/>
              </w:rPr>
              <w:t>18</w:t>
            </w:r>
            <w:r w:rsidR="001F241E">
              <w:rPr>
                <w:noProof/>
                <w:webHidden/>
              </w:rPr>
              <w:fldChar w:fldCharType="end"/>
            </w:r>
          </w:hyperlink>
        </w:p>
        <w:p w14:paraId="75EB1A0D" w14:textId="6DA96BF4" w:rsidR="001F241E" w:rsidRDefault="00525D6D">
          <w:pPr>
            <w:pStyle w:val="TOC3"/>
            <w:tabs>
              <w:tab w:val="right" w:leader="dot" w:pos="9016"/>
            </w:tabs>
            <w:rPr>
              <w:rFonts w:asciiTheme="minorHAnsi" w:eastAsiaTheme="minorEastAsia" w:hAnsiTheme="minorHAnsi" w:cstheme="minorBidi"/>
              <w:noProof/>
              <w:lang w:eastAsia="en-AU"/>
            </w:rPr>
          </w:pPr>
          <w:hyperlink w:anchor="_Toc1571685" w:history="1">
            <w:r w:rsidR="001F241E" w:rsidRPr="0020298D">
              <w:rPr>
                <w:rStyle w:val="Hyperlink"/>
                <w:noProof/>
              </w:rPr>
              <w:t>KidSport</w:t>
            </w:r>
            <w:r w:rsidR="001F241E">
              <w:rPr>
                <w:noProof/>
                <w:webHidden/>
              </w:rPr>
              <w:tab/>
            </w:r>
            <w:r w:rsidR="001F241E">
              <w:rPr>
                <w:noProof/>
                <w:webHidden/>
              </w:rPr>
              <w:fldChar w:fldCharType="begin"/>
            </w:r>
            <w:r w:rsidR="001F241E">
              <w:rPr>
                <w:noProof/>
                <w:webHidden/>
              </w:rPr>
              <w:instrText xml:space="preserve"> PAGEREF _Toc1571685 \h </w:instrText>
            </w:r>
            <w:r w:rsidR="001F241E">
              <w:rPr>
                <w:noProof/>
                <w:webHidden/>
              </w:rPr>
            </w:r>
            <w:r w:rsidR="001F241E">
              <w:rPr>
                <w:noProof/>
                <w:webHidden/>
              </w:rPr>
              <w:fldChar w:fldCharType="separate"/>
            </w:r>
            <w:r w:rsidR="001F241E">
              <w:rPr>
                <w:noProof/>
                <w:webHidden/>
              </w:rPr>
              <w:t>18</w:t>
            </w:r>
            <w:r w:rsidR="001F241E">
              <w:rPr>
                <w:noProof/>
                <w:webHidden/>
              </w:rPr>
              <w:fldChar w:fldCharType="end"/>
            </w:r>
          </w:hyperlink>
        </w:p>
        <w:p w14:paraId="57534E86" w14:textId="1CA2B45C" w:rsidR="001F241E" w:rsidRDefault="00525D6D">
          <w:pPr>
            <w:pStyle w:val="TOC3"/>
            <w:tabs>
              <w:tab w:val="right" w:leader="dot" w:pos="9016"/>
            </w:tabs>
            <w:rPr>
              <w:rFonts w:asciiTheme="minorHAnsi" w:eastAsiaTheme="minorEastAsia" w:hAnsiTheme="minorHAnsi" w:cstheme="minorBidi"/>
              <w:noProof/>
              <w:lang w:eastAsia="en-AU"/>
            </w:rPr>
          </w:pPr>
          <w:hyperlink w:anchor="_Toc1571686" w:history="1">
            <w:r w:rsidR="001F241E" w:rsidRPr="0020298D">
              <w:rPr>
                <w:rStyle w:val="Hyperlink"/>
                <w:noProof/>
              </w:rPr>
              <w:t>Regional Based Grants</w:t>
            </w:r>
            <w:r w:rsidR="001F241E">
              <w:rPr>
                <w:noProof/>
                <w:webHidden/>
              </w:rPr>
              <w:tab/>
            </w:r>
            <w:r w:rsidR="001F241E">
              <w:rPr>
                <w:noProof/>
                <w:webHidden/>
              </w:rPr>
              <w:fldChar w:fldCharType="begin"/>
            </w:r>
            <w:r w:rsidR="001F241E">
              <w:rPr>
                <w:noProof/>
                <w:webHidden/>
              </w:rPr>
              <w:instrText xml:space="preserve"> PAGEREF _Toc1571686 \h </w:instrText>
            </w:r>
            <w:r w:rsidR="001F241E">
              <w:rPr>
                <w:noProof/>
                <w:webHidden/>
              </w:rPr>
            </w:r>
            <w:r w:rsidR="001F241E">
              <w:rPr>
                <w:noProof/>
                <w:webHidden/>
              </w:rPr>
              <w:fldChar w:fldCharType="separate"/>
            </w:r>
            <w:r w:rsidR="001F241E">
              <w:rPr>
                <w:noProof/>
                <w:webHidden/>
              </w:rPr>
              <w:t>19</w:t>
            </w:r>
            <w:r w:rsidR="001F241E">
              <w:rPr>
                <w:noProof/>
                <w:webHidden/>
              </w:rPr>
              <w:fldChar w:fldCharType="end"/>
            </w:r>
          </w:hyperlink>
        </w:p>
        <w:p w14:paraId="31F83ED3" w14:textId="73CBEF98" w:rsidR="001F241E" w:rsidRDefault="00525D6D">
          <w:pPr>
            <w:pStyle w:val="TOC3"/>
            <w:tabs>
              <w:tab w:val="right" w:leader="dot" w:pos="9016"/>
            </w:tabs>
            <w:rPr>
              <w:rFonts w:asciiTheme="minorHAnsi" w:eastAsiaTheme="minorEastAsia" w:hAnsiTheme="minorHAnsi" w:cstheme="minorBidi"/>
              <w:noProof/>
              <w:lang w:eastAsia="en-AU"/>
            </w:rPr>
          </w:pPr>
          <w:hyperlink w:anchor="_Toc1571687" w:history="1">
            <w:r w:rsidR="001F241E" w:rsidRPr="0020298D">
              <w:rPr>
                <w:rStyle w:val="Hyperlink"/>
                <w:noProof/>
              </w:rPr>
              <w:t>Infrastructure Grants</w:t>
            </w:r>
            <w:r w:rsidR="001F241E">
              <w:rPr>
                <w:noProof/>
                <w:webHidden/>
              </w:rPr>
              <w:tab/>
            </w:r>
            <w:r w:rsidR="001F241E">
              <w:rPr>
                <w:noProof/>
                <w:webHidden/>
              </w:rPr>
              <w:fldChar w:fldCharType="begin"/>
            </w:r>
            <w:r w:rsidR="001F241E">
              <w:rPr>
                <w:noProof/>
                <w:webHidden/>
              </w:rPr>
              <w:instrText xml:space="preserve"> PAGEREF _Toc1571687 \h </w:instrText>
            </w:r>
            <w:r w:rsidR="001F241E">
              <w:rPr>
                <w:noProof/>
                <w:webHidden/>
              </w:rPr>
            </w:r>
            <w:r w:rsidR="001F241E">
              <w:rPr>
                <w:noProof/>
                <w:webHidden/>
              </w:rPr>
              <w:fldChar w:fldCharType="separate"/>
            </w:r>
            <w:r w:rsidR="001F241E">
              <w:rPr>
                <w:noProof/>
                <w:webHidden/>
              </w:rPr>
              <w:t>20</w:t>
            </w:r>
            <w:r w:rsidR="001F241E">
              <w:rPr>
                <w:noProof/>
                <w:webHidden/>
              </w:rPr>
              <w:fldChar w:fldCharType="end"/>
            </w:r>
          </w:hyperlink>
        </w:p>
        <w:p w14:paraId="1B8EFDD2" w14:textId="1CEFF39B" w:rsidR="001F241E" w:rsidRDefault="00525D6D">
          <w:pPr>
            <w:pStyle w:val="TOC1"/>
            <w:tabs>
              <w:tab w:val="right" w:leader="dot" w:pos="9016"/>
            </w:tabs>
            <w:rPr>
              <w:rFonts w:asciiTheme="minorHAnsi" w:eastAsiaTheme="minorEastAsia" w:hAnsiTheme="minorHAnsi" w:cstheme="minorBidi"/>
              <w:noProof/>
              <w:lang w:eastAsia="en-AU"/>
            </w:rPr>
          </w:pPr>
          <w:hyperlink w:anchor="_Toc1571688" w:history="1">
            <w:r w:rsidR="001F241E" w:rsidRPr="0020298D">
              <w:rPr>
                <w:rStyle w:val="Hyperlink"/>
                <w:noProof/>
              </w:rPr>
              <w:t>Gaps in current service provision</w:t>
            </w:r>
            <w:r w:rsidR="001F241E">
              <w:rPr>
                <w:noProof/>
                <w:webHidden/>
              </w:rPr>
              <w:tab/>
            </w:r>
            <w:r w:rsidR="001F241E">
              <w:rPr>
                <w:noProof/>
                <w:webHidden/>
              </w:rPr>
              <w:fldChar w:fldCharType="begin"/>
            </w:r>
            <w:r w:rsidR="001F241E">
              <w:rPr>
                <w:noProof/>
                <w:webHidden/>
              </w:rPr>
              <w:instrText xml:space="preserve"> PAGEREF _Toc1571688 \h </w:instrText>
            </w:r>
            <w:r w:rsidR="001F241E">
              <w:rPr>
                <w:noProof/>
                <w:webHidden/>
              </w:rPr>
            </w:r>
            <w:r w:rsidR="001F241E">
              <w:rPr>
                <w:noProof/>
                <w:webHidden/>
              </w:rPr>
              <w:fldChar w:fldCharType="separate"/>
            </w:r>
            <w:r w:rsidR="001F241E">
              <w:rPr>
                <w:noProof/>
                <w:webHidden/>
              </w:rPr>
              <w:t>21</w:t>
            </w:r>
            <w:r w:rsidR="001F241E">
              <w:rPr>
                <w:noProof/>
                <w:webHidden/>
              </w:rPr>
              <w:fldChar w:fldCharType="end"/>
            </w:r>
          </w:hyperlink>
        </w:p>
        <w:p w14:paraId="57AC1A9C" w14:textId="302FCDE8" w:rsidR="001F241E" w:rsidRDefault="00525D6D">
          <w:pPr>
            <w:pStyle w:val="TOC1"/>
            <w:tabs>
              <w:tab w:val="right" w:leader="dot" w:pos="9016"/>
            </w:tabs>
            <w:rPr>
              <w:rFonts w:asciiTheme="minorHAnsi" w:eastAsiaTheme="minorEastAsia" w:hAnsiTheme="minorHAnsi" w:cstheme="minorBidi"/>
              <w:noProof/>
              <w:lang w:eastAsia="en-AU"/>
            </w:rPr>
          </w:pPr>
          <w:hyperlink w:anchor="_Toc1571689" w:history="1">
            <w:r w:rsidR="001F241E" w:rsidRPr="0020298D">
              <w:rPr>
                <w:rStyle w:val="Hyperlink"/>
                <w:noProof/>
              </w:rPr>
              <w:t>Next steps</w:t>
            </w:r>
            <w:r w:rsidR="001F241E">
              <w:rPr>
                <w:noProof/>
                <w:webHidden/>
              </w:rPr>
              <w:tab/>
            </w:r>
            <w:r w:rsidR="001F241E">
              <w:rPr>
                <w:noProof/>
                <w:webHidden/>
              </w:rPr>
              <w:fldChar w:fldCharType="begin"/>
            </w:r>
            <w:r w:rsidR="001F241E">
              <w:rPr>
                <w:noProof/>
                <w:webHidden/>
              </w:rPr>
              <w:instrText xml:space="preserve"> PAGEREF _Toc1571689 \h </w:instrText>
            </w:r>
            <w:r w:rsidR="001F241E">
              <w:rPr>
                <w:noProof/>
                <w:webHidden/>
              </w:rPr>
            </w:r>
            <w:r w:rsidR="001F241E">
              <w:rPr>
                <w:noProof/>
                <w:webHidden/>
              </w:rPr>
              <w:fldChar w:fldCharType="separate"/>
            </w:r>
            <w:r w:rsidR="001F241E">
              <w:rPr>
                <w:noProof/>
                <w:webHidden/>
              </w:rPr>
              <w:t>22</w:t>
            </w:r>
            <w:r w:rsidR="001F241E">
              <w:rPr>
                <w:noProof/>
                <w:webHidden/>
              </w:rPr>
              <w:fldChar w:fldCharType="end"/>
            </w:r>
          </w:hyperlink>
        </w:p>
        <w:p w14:paraId="0085AACB" w14:textId="054811DA" w:rsidR="001F241E" w:rsidRDefault="00525D6D">
          <w:pPr>
            <w:pStyle w:val="TOC2"/>
            <w:tabs>
              <w:tab w:val="right" w:leader="dot" w:pos="9016"/>
            </w:tabs>
            <w:rPr>
              <w:rFonts w:asciiTheme="minorHAnsi" w:eastAsiaTheme="minorEastAsia" w:hAnsiTheme="minorHAnsi" w:cstheme="minorBidi"/>
              <w:noProof/>
              <w:lang w:eastAsia="en-AU"/>
            </w:rPr>
          </w:pPr>
          <w:hyperlink w:anchor="_Toc1571690" w:history="1">
            <w:r w:rsidR="001F241E" w:rsidRPr="0020298D">
              <w:rPr>
                <w:rStyle w:val="Hyperlink"/>
                <w:noProof/>
              </w:rPr>
              <w:t>Consultation process</w:t>
            </w:r>
            <w:r w:rsidR="001F241E">
              <w:rPr>
                <w:noProof/>
                <w:webHidden/>
              </w:rPr>
              <w:tab/>
            </w:r>
            <w:r w:rsidR="001F241E">
              <w:rPr>
                <w:noProof/>
                <w:webHidden/>
              </w:rPr>
              <w:fldChar w:fldCharType="begin"/>
            </w:r>
            <w:r w:rsidR="001F241E">
              <w:rPr>
                <w:noProof/>
                <w:webHidden/>
              </w:rPr>
              <w:instrText xml:space="preserve"> PAGEREF _Toc1571690 \h </w:instrText>
            </w:r>
            <w:r w:rsidR="001F241E">
              <w:rPr>
                <w:noProof/>
                <w:webHidden/>
              </w:rPr>
            </w:r>
            <w:r w:rsidR="001F241E">
              <w:rPr>
                <w:noProof/>
                <w:webHidden/>
              </w:rPr>
              <w:fldChar w:fldCharType="separate"/>
            </w:r>
            <w:r w:rsidR="001F241E">
              <w:rPr>
                <w:noProof/>
                <w:webHidden/>
              </w:rPr>
              <w:t>22</w:t>
            </w:r>
            <w:r w:rsidR="001F241E">
              <w:rPr>
                <w:noProof/>
                <w:webHidden/>
              </w:rPr>
              <w:fldChar w:fldCharType="end"/>
            </w:r>
          </w:hyperlink>
        </w:p>
        <w:p w14:paraId="22F5D23D" w14:textId="566A8961" w:rsidR="001F241E" w:rsidRDefault="00525D6D">
          <w:pPr>
            <w:pStyle w:val="TOC3"/>
            <w:tabs>
              <w:tab w:val="right" w:leader="dot" w:pos="9016"/>
            </w:tabs>
            <w:rPr>
              <w:rFonts w:asciiTheme="minorHAnsi" w:eastAsiaTheme="minorEastAsia" w:hAnsiTheme="minorHAnsi" w:cstheme="minorBidi"/>
              <w:noProof/>
              <w:lang w:eastAsia="en-AU"/>
            </w:rPr>
          </w:pPr>
          <w:hyperlink w:anchor="_Toc1571691" w:history="1">
            <w:r w:rsidR="001F241E" w:rsidRPr="0020298D">
              <w:rPr>
                <w:rStyle w:val="Hyperlink"/>
                <w:noProof/>
              </w:rPr>
              <w:t>Workshops</w:t>
            </w:r>
            <w:r w:rsidR="001F241E">
              <w:rPr>
                <w:noProof/>
                <w:webHidden/>
              </w:rPr>
              <w:tab/>
            </w:r>
            <w:r w:rsidR="001F241E">
              <w:rPr>
                <w:noProof/>
                <w:webHidden/>
              </w:rPr>
              <w:fldChar w:fldCharType="begin"/>
            </w:r>
            <w:r w:rsidR="001F241E">
              <w:rPr>
                <w:noProof/>
                <w:webHidden/>
              </w:rPr>
              <w:instrText xml:space="preserve"> PAGEREF _Toc1571691 \h </w:instrText>
            </w:r>
            <w:r w:rsidR="001F241E">
              <w:rPr>
                <w:noProof/>
                <w:webHidden/>
              </w:rPr>
            </w:r>
            <w:r w:rsidR="001F241E">
              <w:rPr>
                <w:noProof/>
                <w:webHidden/>
              </w:rPr>
              <w:fldChar w:fldCharType="separate"/>
            </w:r>
            <w:r w:rsidR="001F241E">
              <w:rPr>
                <w:noProof/>
                <w:webHidden/>
              </w:rPr>
              <w:t>22</w:t>
            </w:r>
            <w:r w:rsidR="001F241E">
              <w:rPr>
                <w:noProof/>
                <w:webHidden/>
              </w:rPr>
              <w:fldChar w:fldCharType="end"/>
            </w:r>
          </w:hyperlink>
        </w:p>
        <w:p w14:paraId="4B8F333F" w14:textId="734BB1CE" w:rsidR="001F241E" w:rsidRDefault="00525D6D">
          <w:pPr>
            <w:pStyle w:val="TOC3"/>
            <w:tabs>
              <w:tab w:val="right" w:leader="dot" w:pos="9016"/>
            </w:tabs>
            <w:rPr>
              <w:rFonts w:asciiTheme="minorHAnsi" w:eastAsiaTheme="minorEastAsia" w:hAnsiTheme="minorHAnsi" w:cstheme="minorBidi"/>
              <w:noProof/>
              <w:lang w:eastAsia="en-AU"/>
            </w:rPr>
          </w:pPr>
          <w:hyperlink w:anchor="_Toc1571692" w:history="1">
            <w:r w:rsidR="001F241E" w:rsidRPr="0020298D">
              <w:rPr>
                <w:rStyle w:val="Hyperlink"/>
                <w:noProof/>
              </w:rPr>
              <w:t>Survey</w:t>
            </w:r>
            <w:r w:rsidR="001F241E">
              <w:rPr>
                <w:noProof/>
                <w:webHidden/>
              </w:rPr>
              <w:tab/>
            </w:r>
            <w:r w:rsidR="001F241E">
              <w:rPr>
                <w:noProof/>
                <w:webHidden/>
              </w:rPr>
              <w:fldChar w:fldCharType="begin"/>
            </w:r>
            <w:r w:rsidR="001F241E">
              <w:rPr>
                <w:noProof/>
                <w:webHidden/>
              </w:rPr>
              <w:instrText xml:space="preserve"> PAGEREF _Toc1571692 \h </w:instrText>
            </w:r>
            <w:r w:rsidR="001F241E">
              <w:rPr>
                <w:noProof/>
                <w:webHidden/>
              </w:rPr>
            </w:r>
            <w:r w:rsidR="001F241E">
              <w:rPr>
                <w:noProof/>
                <w:webHidden/>
              </w:rPr>
              <w:fldChar w:fldCharType="separate"/>
            </w:r>
            <w:r w:rsidR="001F241E">
              <w:rPr>
                <w:noProof/>
                <w:webHidden/>
              </w:rPr>
              <w:t>22</w:t>
            </w:r>
            <w:r w:rsidR="001F241E">
              <w:rPr>
                <w:noProof/>
                <w:webHidden/>
              </w:rPr>
              <w:fldChar w:fldCharType="end"/>
            </w:r>
          </w:hyperlink>
        </w:p>
        <w:p w14:paraId="4FADC8FF" w14:textId="08E8D345" w:rsidR="001F241E" w:rsidRDefault="00525D6D">
          <w:pPr>
            <w:pStyle w:val="TOC3"/>
            <w:tabs>
              <w:tab w:val="right" w:leader="dot" w:pos="9016"/>
            </w:tabs>
            <w:rPr>
              <w:rFonts w:asciiTheme="minorHAnsi" w:eastAsiaTheme="minorEastAsia" w:hAnsiTheme="minorHAnsi" w:cstheme="minorBidi"/>
              <w:noProof/>
              <w:lang w:eastAsia="en-AU"/>
            </w:rPr>
          </w:pPr>
          <w:hyperlink w:anchor="_Toc1571693" w:history="1">
            <w:r w:rsidR="001F241E" w:rsidRPr="0020298D">
              <w:rPr>
                <w:rStyle w:val="Hyperlink"/>
                <w:noProof/>
              </w:rPr>
              <w:t>Written responses</w:t>
            </w:r>
            <w:r w:rsidR="001F241E">
              <w:rPr>
                <w:noProof/>
                <w:webHidden/>
              </w:rPr>
              <w:tab/>
            </w:r>
            <w:r w:rsidR="001F241E">
              <w:rPr>
                <w:noProof/>
                <w:webHidden/>
              </w:rPr>
              <w:fldChar w:fldCharType="begin"/>
            </w:r>
            <w:r w:rsidR="001F241E">
              <w:rPr>
                <w:noProof/>
                <w:webHidden/>
              </w:rPr>
              <w:instrText xml:space="preserve"> PAGEREF _Toc1571693 \h </w:instrText>
            </w:r>
            <w:r w:rsidR="001F241E">
              <w:rPr>
                <w:noProof/>
                <w:webHidden/>
              </w:rPr>
            </w:r>
            <w:r w:rsidR="001F241E">
              <w:rPr>
                <w:noProof/>
                <w:webHidden/>
              </w:rPr>
              <w:fldChar w:fldCharType="separate"/>
            </w:r>
            <w:r w:rsidR="001F241E">
              <w:rPr>
                <w:noProof/>
                <w:webHidden/>
              </w:rPr>
              <w:t>22</w:t>
            </w:r>
            <w:r w:rsidR="001F241E">
              <w:rPr>
                <w:noProof/>
                <w:webHidden/>
              </w:rPr>
              <w:fldChar w:fldCharType="end"/>
            </w:r>
          </w:hyperlink>
        </w:p>
        <w:p w14:paraId="5904BD58" w14:textId="6A663269" w:rsidR="001F241E" w:rsidRDefault="00525D6D">
          <w:pPr>
            <w:pStyle w:val="TOC2"/>
            <w:tabs>
              <w:tab w:val="right" w:leader="dot" w:pos="9016"/>
            </w:tabs>
            <w:rPr>
              <w:rFonts w:asciiTheme="minorHAnsi" w:eastAsiaTheme="minorEastAsia" w:hAnsiTheme="minorHAnsi" w:cstheme="minorBidi"/>
              <w:noProof/>
              <w:lang w:eastAsia="en-AU"/>
            </w:rPr>
          </w:pPr>
          <w:hyperlink w:anchor="_Toc1571694" w:history="1">
            <w:r w:rsidR="001F241E" w:rsidRPr="0020298D">
              <w:rPr>
                <w:rStyle w:val="Hyperlink"/>
                <w:noProof/>
              </w:rPr>
              <w:t>Implementation of the Strategic Funding Review</w:t>
            </w:r>
            <w:r w:rsidR="001F241E">
              <w:rPr>
                <w:noProof/>
                <w:webHidden/>
              </w:rPr>
              <w:tab/>
            </w:r>
            <w:r w:rsidR="001F241E">
              <w:rPr>
                <w:noProof/>
                <w:webHidden/>
              </w:rPr>
              <w:fldChar w:fldCharType="begin"/>
            </w:r>
            <w:r w:rsidR="001F241E">
              <w:rPr>
                <w:noProof/>
                <w:webHidden/>
              </w:rPr>
              <w:instrText xml:space="preserve"> PAGEREF _Toc1571694 \h </w:instrText>
            </w:r>
            <w:r w:rsidR="001F241E">
              <w:rPr>
                <w:noProof/>
                <w:webHidden/>
              </w:rPr>
            </w:r>
            <w:r w:rsidR="001F241E">
              <w:rPr>
                <w:noProof/>
                <w:webHidden/>
              </w:rPr>
              <w:fldChar w:fldCharType="separate"/>
            </w:r>
            <w:r w:rsidR="001F241E">
              <w:rPr>
                <w:noProof/>
                <w:webHidden/>
              </w:rPr>
              <w:t>22</w:t>
            </w:r>
            <w:r w:rsidR="001F241E">
              <w:rPr>
                <w:noProof/>
                <w:webHidden/>
              </w:rPr>
              <w:fldChar w:fldCharType="end"/>
            </w:r>
          </w:hyperlink>
        </w:p>
        <w:p w14:paraId="25E0C996" w14:textId="62965DC3" w:rsidR="001F241E" w:rsidRDefault="00525D6D">
          <w:pPr>
            <w:pStyle w:val="TOC1"/>
            <w:tabs>
              <w:tab w:val="right" w:leader="dot" w:pos="9016"/>
            </w:tabs>
            <w:rPr>
              <w:rFonts w:asciiTheme="minorHAnsi" w:eastAsiaTheme="minorEastAsia" w:hAnsiTheme="minorHAnsi" w:cstheme="minorBidi"/>
              <w:noProof/>
              <w:lang w:eastAsia="en-AU"/>
            </w:rPr>
          </w:pPr>
          <w:hyperlink w:anchor="_Toc1571695" w:history="1">
            <w:r w:rsidR="001F241E" w:rsidRPr="0020298D">
              <w:rPr>
                <w:rStyle w:val="Hyperlink"/>
                <w:noProof/>
              </w:rPr>
              <w:t>Appendix A: Findings and Recommendations</w:t>
            </w:r>
            <w:r w:rsidR="001F241E">
              <w:rPr>
                <w:noProof/>
                <w:webHidden/>
              </w:rPr>
              <w:tab/>
            </w:r>
            <w:r w:rsidR="001F241E">
              <w:rPr>
                <w:noProof/>
                <w:webHidden/>
              </w:rPr>
              <w:fldChar w:fldCharType="begin"/>
            </w:r>
            <w:r w:rsidR="001F241E">
              <w:rPr>
                <w:noProof/>
                <w:webHidden/>
              </w:rPr>
              <w:instrText xml:space="preserve"> PAGEREF _Toc1571695 \h </w:instrText>
            </w:r>
            <w:r w:rsidR="001F241E">
              <w:rPr>
                <w:noProof/>
                <w:webHidden/>
              </w:rPr>
            </w:r>
            <w:r w:rsidR="001F241E">
              <w:rPr>
                <w:noProof/>
                <w:webHidden/>
              </w:rPr>
              <w:fldChar w:fldCharType="separate"/>
            </w:r>
            <w:r w:rsidR="001F241E">
              <w:rPr>
                <w:noProof/>
                <w:webHidden/>
              </w:rPr>
              <w:t>23</w:t>
            </w:r>
            <w:r w:rsidR="001F241E">
              <w:rPr>
                <w:noProof/>
                <w:webHidden/>
              </w:rPr>
              <w:fldChar w:fldCharType="end"/>
            </w:r>
          </w:hyperlink>
        </w:p>
        <w:p w14:paraId="3BA2598E" w14:textId="26CDE5F2" w:rsidR="001F241E" w:rsidRDefault="00525D6D">
          <w:pPr>
            <w:pStyle w:val="TOC2"/>
            <w:tabs>
              <w:tab w:val="right" w:leader="dot" w:pos="9016"/>
            </w:tabs>
            <w:rPr>
              <w:rFonts w:asciiTheme="minorHAnsi" w:eastAsiaTheme="minorEastAsia" w:hAnsiTheme="minorHAnsi" w:cstheme="minorBidi"/>
              <w:noProof/>
              <w:lang w:eastAsia="en-AU"/>
            </w:rPr>
          </w:pPr>
          <w:hyperlink w:anchor="_Toc1571696" w:history="1">
            <w:r w:rsidR="001F241E" w:rsidRPr="0020298D">
              <w:rPr>
                <w:rStyle w:val="Hyperlink"/>
                <w:noProof/>
              </w:rPr>
              <w:t>Findings</w:t>
            </w:r>
            <w:r w:rsidR="001F241E">
              <w:rPr>
                <w:noProof/>
                <w:webHidden/>
              </w:rPr>
              <w:tab/>
            </w:r>
            <w:r w:rsidR="001F241E">
              <w:rPr>
                <w:noProof/>
                <w:webHidden/>
              </w:rPr>
              <w:fldChar w:fldCharType="begin"/>
            </w:r>
            <w:r w:rsidR="001F241E">
              <w:rPr>
                <w:noProof/>
                <w:webHidden/>
              </w:rPr>
              <w:instrText xml:space="preserve"> PAGEREF _Toc1571696 \h </w:instrText>
            </w:r>
            <w:r w:rsidR="001F241E">
              <w:rPr>
                <w:noProof/>
                <w:webHidden/>
              </w:rPr>
            </w:r>
            <w:r w:rsidR="001F241E">
              <w:rPr>
                <w:noProof/>
                <w:webHidden/>
              </w:rPr>
              <w:fldChar w:fldCharType="separate"/>
            </w:r>
            <w:r w:rsidR="001F241E">
              <w:rPr>
                <w:noProof/>
                <w:webHidden/>
              </w:rPr>
              <w:t>23</w:t>
            </w:r>
            <w:r w:rsidR="001F241E">
              <w:rPr>
                <w:noProof/>
                <w:webHidden/>
              </w:rPr>
              <w:fldChar w:fldCharType="end"/>
            </w:r>
          </w:hyperlink>
        </w:p>
        <w:p w14:paraId="5E528329" w14:textId="30DF8514" w:rsidR="001F241E" w:rsidRDefault="00525D6D">
          <w:pPr>
            <w:pStyle w:val="TOC2"/>
            <w:tabs>
              <w:tab w:val="right" w:leader="dot" w:pos="9016"/>
            </w:tabs>
            <w:rPr>
              <w:rFonts w:asciiTheme="minorHAnsi" w:eastAsiaTheme="minorEastAsia" w:hAnsiTheme="minorHAnsi" w:cstheme="minorBidi"/>
              <w:noProof/>
              <w:lang w:eastAsia="en-AU"/>
            </w:rPr>
          </w:pPr>
          <w:hyperlink w:anchor="_Toc1571697" w:history="1">
            <w:r w:rsidR="001F241E" w:rsidRPr="0020298D">
              <w:rPr>
                <w:rStyle w:val="Hyperlink"/>
                <w:noProof/>
              </w:rPr>
              <w:t>Recommendations</w:t>
            </w:r>
            <w:r w:rsidR="001F241E">
              <w:rPr>
                <w:noProof/>
                <w:webHidden/>
              </w:rPr>
              <w:tab/>
            </w:r>
            <w:r w:rsidR="001F241E">
              <w:rPr>
                <w:noProof/>
                <w:webHidden/>
              </w:rPr>
              <w:fldChar w:fldCharType="begin"/>
            </w:r>
            <w:r w:rsidR="001F241E">
              <w:rPr>
                <w:noProof/>
                <w:webHidden/>
              </w:rPr>
              <w:instrText xml:space="preserve"> PAGEREF _Toc1571697 \h </w:instrText>
            </w:r>
            <w:r w:rsidR="001F241E">
              <w:rPr>
                <w:noProof/>
                <w:webHidden/>
              </w:rPr>
            </w:r>
            <w:r w:rsidR="001F241E">
              <w:rPr>
                <w:noProof/>
                <w:webHidden/>
              </w:rPr>
              <w:fldChar w:fldCharType="separate"/>
            </w:r>
            <w:r w:rsidR="001F241E">
              <w:rPr>
                <w:noProof/>
                <w:webHidden/>
              </w:rPr>
              <w:t>25</w:t>
            </w:r>
            <w:r w:rsidR="001F241E">
              <w:rPr>
                <w:noProof/>
                <w:webHidden/>
              </w:rPr>
              <w:fldChar w:fldCharType="end"/>
            </w:r>
          </w:hyperlink>
        </w:p>
        <w:p w14:paraId="1E7EAF49" w14:textId="444E635B" w:rsidR="001F241E" w:rsidRDefault="00525D6D">
          <w:pPr>
            <w:pStyle w:val="TOC1"/>
            <w:tabs>
              <w:tab w:val="right" w:leader="dot" w:pos="9016"/>
            </w:tabs>
            <w:rPr>
              <w:rFonts w:asciiTheme="minorHAnsi" w:eastAsiaTheme="minorEastAsia" w:hAnsiTheme="minorHAnsi" w:cstheme="minorBidi"/>
              <w:noProof/>
              <w:lang w:eastAsia="en-AU"/>
            </w:rPr>
          </w:pPr>
          <w:hyperlink w:anchor="_Toc1571698" w:history="1">
            <w:r w:rsidR="001F241E" w:rsidRPr="0020298D">
              <w:rPr>
                <w:rStyle w:val="Hyperlink"/>
                <w:noProof/>
              </w:rPr>
              <w:t>Appendix B: Industry Investment Program -Categorisation</w:t>
            </w:r>
            <w:r w:rsidR="001F241E">
              <w:rPr>
                <w:noProof/>
                <w:webHidden/>
              </w:rPr>
              <w:tab/>
            </w:r>
            <w:r w:rsidR="001F241E">
              <w:rPr>
                <w:noProof/>
                <w:webHidden/>
              </w:rPr>
              <w:fldChar w:fldCharType="begin"/>
            </w:r>
            <w:r w:rsidR="001F241E">
              <w:rPr>
                <w:noProof/>
                <w:webHidden/>
              </w:rPr>
              <w:instrText xml:space="preserve"> PAGEREF _Toc1571698 \h </w:instrText>
            </w:r>
            <w:r w:rsidR="001F241E">
              <w:rPr>
                <w:noProof/>
                <w:webHidden/>
              </w:rPr>
            </w:r>
            <w:r w:rsidR="001F241E">
              <w:rPr>
                <w:noProof/>
                <w:webHidden/>
              </w:rPr>
              <w:fldChar w:fldCharType="separate"/>
            </w:r>
            <w:r w:rsidR="001F241E">
              <w:rPr>
                <w:noProof/>
                <w:webHidden/>
              </w:rPr>
              <w:t>27</w:t>
            </w:r>
            <w:r w:rsidR="001F241E">
              <w:rPr>
                <w:noProof/>
                <w:webHidden/>
              </w:rPr>
              <w:fldChar w:fldCharType="end"/>
            </w:r>
          </w:hyperlink>
        </w:p>
        <w:p w14:paraId="7D1752DD" w14:textId="1F0C0A4A" w:rsidR="001F241E" w:rsidRDefault="00525D6D">
          <w:pPr>
            <w:pStyle w:val="TOC2"/>
            <w:tabs>
              <w:tab w:val="right" w:leader="dot" w:pos="9016"/>
            </w:tabs>
            <w:rPr>
              <w:rFonts w:asciiTheme="minorHAnsi" w:eastAsiaTheme="minorEastAsia" w:hAnsiTheme="minorHAnsi" w:cstheme="minorBidi"/>
              <w:noProof/>
              <w:lang w:eastAsia="en-AU"/>
            </w:rPr>
          </w:pPr>
          <w:hyperlink w:anchor="_Toc1571699" w:history="1">
            <w:r w:rsidR="001F241E" w:rsidRPr="0020298D">
              <w:rPr>
                <w:rStyle w:val="Hyperlink"/>
                <w:rFonts w:eastAsia="Times New Roman"/>
                <w:noProof/>
              </w:rPr>
              <w:t>Categories</w:t>
            </w:r>
            <w:r w:rsidR="001F241E">
              <w:rPr>
                <w:noProof/>
                <w:webHidden/>
              </w:rPr>
              <w:tab/>
            </w:r>
            <w:r w:rsidR="001F241E">
              <w:rPr>
                <w:noProof/>
                <w:webHidden/>
              </w:rPr>
              <w:fldChar w:fldCharType="begin"/>
            </w:r>
            <w:r w:rsidR="001F241E">
              <w:rPr>
                <w:noProof/>
                <w:webHidden/>
              </w:rPr>
              <w:instrText xml:space="preserve"> PAGEREF _Toc1571699 \h </w:instrText>
            </w:r>
            <w:r w:rsidR="001F241E">
              <w:rPr>
                <w:noProof/>
                <w:webHidden/>
              </w:rPr>
            </w:r>
            <w:r w:rsidR="001F241E">
              <w:rPr>
                <w:noProof/>
                <w:webHidden/>
              </w:rPr>
              <w:fldChar w:fldCharType="separate"/>
            </w:r>
            <w:r w:rsidR="001F241E">
              <w:rPr>
                <w:noProof/>
                <w:webHidden/>
              </w:rPr>
              <w:t>27</w:t>
            </w:r>
            <w:r w:rsidR="001F241E">
              <w:rPr>
                <w:noProof/>
                <w:webHidden/>
              </w:rPr>
              <w:fldChar w:fldCharType="end"/>
            </w:r>
          </w:hyperlink>
        </w:p>
        <w:p w14:paraId="02D2F634" w14:textId="01A0502A" w:rsidR="001F241E" w:rsidRDefault="00525D6D">
          <w:pPr>
            <w:pStyle w:val="TOC2"/>
            <w:tabs>
              <w:tab w:val="right" w:leader="dot" w:pos="9016"/>
            </w:tabs>
            <w:rPr>
              <w:rFonts w:asciiTheme="minorHAnsi" w:eastAsiaTheme="minorEastAsia" w:hAnsiTheme="minorHAnsi" w:cstheme="minorBidi"/>
              <w:noProof/>
              <w:lang w:eastAsia="en-AU"/>
            </w:rPr>
          </w:pPr>
          <w:hyperlink w:anchor="_Toc1571700" w:history="1">
            <w:r w:rsidR="001F241E" w:rsidRPr="0020298D">
              <w:rPr>
                <w:rStyle w:val="Hyperlink"/>
                <w:noProof/>
              </w:rPr>
              <w:t>Category descriptors</w:t>
            </w:r>
            <w:r w:rsidR="001F241E">
              <w:rPr>
                <w:noProof/>
                <w:webHidden/>
              </w:rPr>
              <w:tab/>
            </w:r>
            <w:r w:rsidR="001F241E">
              <w:rPr>
                <w:noProof/>
                <w:webHidden/>
              </w:rPr>
              <w:fldChar w:fldCharType="begin"/>
            </w:r>
            <w:r w:rsidR="001F241E">
              <w:rPr>
                <w:noProof/>
                <w:webHidden/>
              </w:rPr>
              <w:instrText xml:space="preserve"> PAGEREF _Toc1571700 \h </w:instrText>
            </w:r>
            <w:r w:rsidR="001F241E">
              <w:rPr>
                <w:noProof/>
                <w:webHidden/>
              </w:rPr>
            </w:r>
            <w:r w:rsidR="001F241E">
              <w:rPr>
                <w:noProof/>
                <w:webHidden/>
              </w:rPr>
              <w:fldChar w:fldCharType="separate"/>
            </w:r>
            <w:r w:rsidR="001F241E">
              <w:rPr>
                <w:noProof/>
                <w:webHidden/>
              </w:rPr>
              <w:t>35</w:t>
            </w:r>
            <w:r w:rsidR="001F241E">
              <w:rPr>
                <w:noProof/>
                <w:webHidden/>
              </w:rPr>
              <w:fldChar w:fldCharType="end"/>
            </w:r>
          </w:hyperlink>
        </w:p>
        <w:p w14:paraId="1E859844" w14:textId="1BA5E9CF" w:rsidR="0086559E" w:rsidRPr="00F721FD" w:rsidRDefault="0086559E" w:rsidP="00F721FD">
          <w:r w:rsidRPr="00F721FD">
            <w:rPr>
              <w:noProof/>
            </w:rPr>
            <w:fldChar w:fldCharType="end"/>
          </w:r>
        </w:p>
      </w:sdtContent>
    </w:sdt>
    <w:p w14:paraId="29240DA7" w14:textId="5FE7F849" w:rsidR="0086559E" w:rsidRPr="00F721FD" w:rsidRDefault="0086559E" w:rsidP="00F721FD"/>
    <w:p w14:paraId="2FBFFED0" w14:textId="0DDEBD8F" w:rsidR="0086559E" w:rsidRPr="00F721FD" w:rsidRDefault="0086559E" w:rsidP="00F721FD">
      <w:r w:rsidRPr="00F721FD">
        <w:br w:type="page"/>
      </w:r>
    </w:p>
    <w:p w14:paraId="4FC62354" w14:textId="472D5441" w:rsidR="00B10696" w:rsidRDefault="00B10696" w:rsidP="003559AA">
      <w:pPr>
        <w:pStyle w:val="Heading1"/>
      </w:pPr>
      <w:bookmarkStart w:id="1" w:name="_Toc1571661"/>
      <w:r>
        <w:lastRenderedPageBreak/>
        <w:t>Executive Summary</w:t>
      </w:r>
      <w:bookmarkEnd w:id="1"/>
    </w:p>
    <w:p w14:paraId="51E7CBF3" w14:textId="32F0F488" w:rsidR="00F924CE" w:rsidRDefault="003C5248" w:rsidP="007A3AE7">
      <w:r>
        <w:t>In March 2018 t</w:t>
      </w:r>
      <w:r w:rsidR="00236611">
        <w:t xml:space="preserve">he Department of Local Government, Sport and Cultural Industries (the department) </w:t>
      </w:r>
      <w:r w:rsidR="00C1311E">
        <w:t xml:space="preserve">announced </w:t>
      </w:r>
      <w:r w:rsidR="00B31037">
        <w:t xml:space="preserve">the </w:t>
      </w:r>
      <w:r w:rsidR="007706D6" w:rsidRPr="00F721FD">
        <w:t xml:space="preserve">Sport and Recreation Strategic </w:t>
      </w:r>
      <w:r w:rsidR="007706D6">
        <w:t xml:space="preserve">Funding </w:t>
      </w:r>
      <w:r w:rsidR="007706D6" w:rsidRPr="00F721FD">
        <w:t>Review</w:t>
      </w:r>
      <w:r w:rsidR="00F924CE">
        <w:t xml:space="preserve">. </w:t>
      </w:r>
    </w:p>
    <w:p w14:paraId="384C02A0" w14:textId="60E1C71E" w:rsidR="00C34566" w:rsidRDefault="00F924CE" w:rsidP="007A3AE7">
      <w:r>
        <w:t xml:space="preserve">The purpose of the </w:t>
      </w:r>
      <w:r w:rsidR="00304E87" w:rsidRPr="00F721FD">
        <w:t xml:space="preserve">Strategic </w:t>
      </w:r>
      <w:r w:rsidR="00304E87">
        <w:t xml:space="preserve">Funding </w:t>
      </w:r>
      <w:r w:rsidR="00304E87" w:rsidRPr="00F721FD">
        <w:t>Review</w:t>
      </w:r>
      <w:r w:rsidR="00304E87">
        <w:t xml:space="preserve"> </w:t>
      </w:r>
      <w:r>
        <w:t>was</w:t>
      </w:r>
      <w:r w:rsidR="00873AF9">
        <w:t xml:space="preserve"> to </w:t>
      </w:r>
      <w:r w:rsidR="00C34566">
        <w:t xml:space="preserve">look at </w:t>
      </w:r>
      <w:r w:rsidR="00866641">
        <w:t>the department</w:t>
      </w:r>
      <w:r w:rsidR="00406186">
        <w:t>’</w:t>
      </w:r>
      <w:r w:rsidR="00866641">
        <w:t xml:space="preserve">s </w:t>
      </w:r>
      <w:r w:rsidR="00C34566">
        <w:t xml:space="preserve">investment </w:t>
      </w:r>
      <w:r w:rsidR="00866641">
        <w:t xml:space="preserve">into </w:t>
      </w:r>
      <w:r>
        <w:t xml:space="preserve">Western Australia’s </w:t>
      </w:r>
      <w:r w:rsidR="00866641">
        <w:t>sport and recreation industry,</w:t>
      </w:r>
      <w:r w:rsidR="00C34566">
        <w:t xml:space="preserve"> and </w:t>
      </w:r>
      <w:r w:rsidR="00866641">
        <w:t xml:space="preserve">to </w:t>
      </w:r>
      <w:r w:rsidR="00C34566">
        <w:t xml:space="preserve">address </w:t>
      </w:r>
      <w:r w:rsidR="00F54828">
        <w:t xml:space="preserve">upcoming </w:t>
      </w:r>
      <w:r w:rsidR="00C34566">
        <w:t>opportunities and challenges</w:t>
      </w:r>
      <w:r w:rsidR="00F54828">
        <w:t xml:space="preserve"> within the portfolio</w:t>
      </w:r>
      <w:r w:rsidR="00C34566">
        <w:t xml:space="preserve">. </w:t>
      </w:r>
    </w:p>
    <w:p w14:paraId="6246155A" w14:textId="0ABFA9D4" w:rsidR="00094DCD" w:rsidRDefault="00CE6067" w:rsidP="003E02EA">
      <w:r>
        <w:t xml:space="preserve">This </w:t>
      </w:r>
      <w:r w:rsidR="00812C24">
        <w:t xml:space="preserve">document </w:t>
      </w:r>
      <w:r w:rsidR="008B4792">
        <w:t xml:space="preserve">has been informed by </w:t>
      </w:r>
      <w:r w:rsidR="00812C24">
        <w:t xml:space="preserve">responses </w:t>
      </w:r>
      <w:r w:rsidR="00CE0CB5">
        <w:t xml:space="preserve">to </w:t>
      </w:r>
      <w:r w:rsidR="00812C24">
        <w:t>the c</w:t>
      </w:r>
      <w:r w:rsidR="00010DC4">
        <w:t xml:space="preserve">onsultation period </w:t>
      </w:r>
      <w:r w:rsidR="00812C24">
        <w:t xml:space="preserve">that </w:t>
      </w:r>
      <w:r w:rsidR="00C56C87">
        <w:t>was</w:t>
      </w:r>
      <w:r w:rsidR="00C27549">
        <w:t xml:space="preserve"> held between October and December 2018</w:t>
      </w:r>
      <w:r w:rsidR="00D25519">
        <w:t xml:space="preserve"> with </w:t>
      </w:r>
      <w:r w:rsidR="00C6636A">
        <w:t xml:space="preserve">feedback </w:t>
      </w:r>
      <w:r w:rsidR="00550116">
        <w:t xml:space="preserve">collated into </w:t>
      </w:r>
      <w:r w:rsidR="00A914B3" w:rsidRPr="00712345">
        <w:t>2</w:t>
      </w:r>
      <w:r w:rsidR="003D4477" w:rsidRPr="00712345">
        <w:t>2</w:t>
      </w:r>
      <w:r w:rsidR="00550116" w:rsidRPr="00712345">
        <w:t xml:space="preserve"> strategic findings and </w:t>
      </w:r>
      <w:r w:rsidR="00A914B3" w:rsidRPr="00712345">
        <w:t>1</w:t>
      </w:r>
      <w:r w:rsidR="00712345" w:rsidRPr="00712345">
        <w:t>2</w:t>
      </w:r>
      <w:r w:rsidR="00550116">
        <w:t xml:space="preserve"> </w:t>
      </w:r>
      <w:r w:rsidR="00C6636A">
        <w:t>preliminary operational recommendations</w:t>
      </w:r>
      <w:r w:rsidR="00F34909">
        <w:rPr>
          <w:rStyle w:val="FootnoteReference"/>
        </w:rPr>
        <w:footnoteReference w:id="1"/>
      </w:r>
      <w:r w:rsidR="00C6636A">
        <w:t xml:space="preserve">. </w:t>
      </w:r>
    </w:p>
    <w:p w14:paraId="6E01D607" w14:textId="32EB863A" w:rsidR="007A4C1C" w:rsidRPr="00D52C24" w:rsidRDefault="007A4C1C" w:rsidP="003E02EA">
      <w:pPr>
        <w:rPr>
          <w:b/>
        </w:rPr>
      </w:pPr>
      <w:r w:rsidRPr="00D52C24">
        <w:rPr>
          <w:b/>
        </w:rPr>
        <w:t xml:space="preserve">Strategic findings </w:t>
      </w:r>
    </w:p>
    <w:p w14:paraId="29CE71B7" w14:textId="47822A18" w:rsidR="002B1378" w:rsidRDefault="002B1378" w:rsidP="002B1378">
      <w:r>
        <w:t xml:space="preserve">The </w:t>
      </w:r>
      <w:r w:rsidR="00CB24F7">
        <w:t xml:space="preserve">strategic </w:t>
      </w:r>
      <w:r>
        <w:t xml:space="preserve">findings have been derived from discussions relating </w:t>
      </w:r>
      <w:r w:rsidR="00D1023E">
        <w:t xml:space="preserve">to </w:t>
      </w:r>
      <w:r>
        <w:t xml:space="preserve">the </w:t>
      </w:r>
      <w:r w:rsidR="00F924CE">
        <w:t>‘</w:t>
      </w:r>
      <w:r w:rsidRPr="00196819">
        <w:t>17 Areas for Further Discussion</w:t>
      </w:r>
      <w:r w:rsidR="00F924CE">
        <w:t>’</w:t>
      </w:r>
      <w:r w:rsidR="00EE0101">
        <w:t>, ide</w:t>
      </w:r>
      <w:r>
        <w:t>ntified in the Common Ground discussion paper.</w:t>
      </w:r>
      <w:r w:rsidR="00CB24F7">
        <w:t xml:space="preserve"> </w:t>
      </w:r>
      <w:r w:rsidR="00F924CE">
        <w:t>They</w:t>
      </w:r>
      <w:r>
        <w:t xml:space="preserve"> have been grouped into two themes</w:t>
      </w:r>
      <w:r w:rsidR="000C6B4C">
        <w:t xml:space="preserve">, with </w:t>
      </w:r>
      <w:r w:rsidR="00680120">
        <w:t xml:space="preserve">the following </w:t>
      </w:r>
      <w:r w:rsidR="000C6B4C">
        <w:t xml:space="preserve">key discussion points </w:t>
      </w:r>
      <w:r w:rsidR="00680120">
        <w:t xml:space="preserve">emerging: </w:t>
      </w:r>
    </w:p>
    <w:p w14:paraId="6FED4EAC" w14:textId="583E1DB9" w:rsidR="002B1378" w:rsidRPr="00D52C24" w:rsidRDefault="002B1378" w:rsidP="00E06782">
      <w:pPr>
        <w:pStyle w:val="ListParagraph"/>
        <w:numPr>
          <w:ilvl w:val="0"/>
          <w:numId w:val="11"/>
        </w:numPr>
        <w:rPr>
          <w:b/>
        </w:rPr>
      </w:pPr>
      <w:r w:rsidRPr="00D52C24">
        <w:rPr>
          <w:b/>
        </w:rPr>
        <w:t>The relationship between the department and the</w:t>
      </w:r>
      <w:r w:rsidR="00EE0101" w:rsidRPr="00D52C24">
        <w:rPr>
          <w:b/>
        </w:rPr>
        <w:t xml:space="preserve"> sport and recreation</w:t>
      </w:r>
      <w:r w:rsidRPr="00D52C24">
        <w:rPr>
          <w:b/>
        </w:rPr>
        <w:t xml:space="preserve"> industry. </w:t>
      </w:r>
    </w:p>
    <w:p w14:paraId="7579859B" w14:textId="629B1CD2" w:rsidR="00D1023E" w:rsidRPr="00F721FD" w:rsidRDefault="00EE0101" w:rsidP="00D1023E">
      <w:pPr>
        <w:pStyle w:val="DotPoints-level1"/>
      </w:pPr>
      <w:r>
        <w:t>W</w:t>
      </w:r>
      <w:r w:rsidR="00D1023E">
        <w:t>hile the</w:t>
      </w:r>
      <w:r w:rsidR="00D1023E" w:rsidRPr="00F721FD">
        <w:t xml:space="preserve"> department’s programs</w:t>
      </w:r>
      <w:r w:rsidR="0091493D">
        <w:t xml:space="preserve"> are</w:t>
      </w:r>
      <w:r w:rsidR="00D1023E" w:rsidRPr="00F721FD">
        <w:t xml:space="preserve"> mak</w:t>
      </w:r>
      <w:r w:rsidR="00D1023E">
        <w:t>ing</w:t>
      </w:r>
      <w:r w:rsidR="00D1023E" w:rsidRPr="00F721FD">
        <w:t xml:space="preserve"> a difference to the industry</w:t>
      </w:r>
      <w:r w:rsidR="00D1023E">
        <w:t xml:space="preserve"> and community, </w:t>
      </w:r>
      <w:r>
        <w:t>areas for improvement have been identified</w:t>
      </w:r>
      <w:r w:rsidR="00D1023E" w:rsidRPr="00F721FD">
        <w:t>.</w:t>
      </w:r>
    </w:p>
    <w:p w14:paraId="52078418" w14:textId="77777777" w:rsidR="00D1023E" w:rsidRPr="00F721FD" w:rsidRDefault="00D1023E" w:rsidP="00D1023E">
      <w:pPr>
        <w:pStyle w:val="DotPoints-level1"/>
      </w:pPr>
      <w:r w:rsidRPr="00F721FD">
        <w:t>There is a need</w:t>
      </w:r>
      <w:r>
        <w:t xml:space="preserve"> for the department and the industry</w:t>
      </w:r>
      <w:r w:rsidRPr="00F721FD">
        <w:t xml:space="preserve"> to work more collaboratively </w:t>
      </w:r>
      <w:r>
        <w:t xml:space="preserve">and have a </w:t>
      </w:r>
      <w:r w:rsidRPr="00F721FD">
        <w:t>clearer definition of roles and responsibilitie</w:t>
      </w:r>
      <w:r>
        <w:t>s.</w:t>
      </w:r>
    </w:p>
    <w:p w14:paraId="05635F12" w14:textId="73AD8445" w:rsidR="00D1023E" w:rsidRPr="00F721FD" w:rsidRDefault="00D1023E" w:rsidP="00D1023E">
      <w:pPr>
        <w:pStyle w:val="DotPoints-level1"/>
      </w:pPr>
      <w:r w:rsidRPr="00F721FD">
        <w:t xml:space="preserve">There </w:t>
      </w:r>
      <w:r w:rsidR="004F710A">
        <w:t xml:space="preserve">is a </w:t>
      </w:r>
      <w:r w:rsidRPr="00F721FD">
        <w:t>need</w:t>
      </w:r>
      <w:r w:rsidR="004F710A">
        <w:t xml:space="preserve"> </w:t>
      </w:r>
      <w:r w:rsidR="00EE0101">
        <w:t>for</w:t>
      </w:r>
      <w:r w:rsidR="004F710A">
        <w:t xml:space="preserve"> a</w:t>
      </w:r>
      <w:r w:rsidRPr="00F721FD">
        <w:t xml:space="preserve"> </w:t>
      </w:r>
      <w:r w:rsidR="000D4BC0">
        <w:t xml:space="preserve">consistent </w:t>
      </w:r>
      <w:r w:rsidRPr="00F721FD">
        <w:t>customis</w:t>
      </w:r>
      <w:r w:rsidR="00C55DE7">
        <w:t xml:space="preserve">ed </w:t>
      </w:r>
      <w:r w:rsidRPr="00F721FD">
        <w:t>approach</w:t>
      </w:r>
      <w:r w:rsidR="00C55DE7">
        <w:t xml:space="preserve"> from the </w:t>
      </w:r>
      <w:r w:rsidR="00F924CE">
        <w:t>d</w:t>
      </w:r>
      <w:r w:rsidR="00C55DE7">
        <w:t>epartment</w:t>
      </w:r>
      <w:r w:rsidRPr="00F721FD">
        <w:t xml:space="preserve"> to recognise the range of capacities and capabilities</w:t>
      </w:r>
      <w:r w:rsidR="000B721A">
        <w:t xml:space="preserve"> of organisations</w:t>
      </w:r>
      <w:r w:rsidRPr="00F721FD">
        <w:t xml:space="preserve"> </w:t>
      </w:r>
      <w:r w:rsidR="00B56DA9">
        <w:t>within</w:t>
      </w:r>
      <w:r w:rsidRPr="00F721FD">
        <w:t xml:space="preserve"> the </w:t>
      </w:r>
      <w:r w:rsidR="00FA4902">
        <w:t>industry</w:t>
      </w:r>
      <w:r w:rsidRPr="00F721FD">
        <w:t xml:space="preserve">. </w:t>
      </w:r>
    </w:p>
    <w:p w14:paraId="6C0154C3" w14:textId="06E9338A" w:rsidR="00D1023E" w:rsidRDefault="007B6E8C" w:rsidP="00D1023E">
      <w:pPr>
        <w:pStyle w:val="DotPoints-level1"/>
      </w:pPr>
      <w:r>
        <w:t>T</w:t>
      </w:r>
      <w:r w:rsidR="00D1023E">
        <w:t xml:space="preserve">here </w:t>
      </w:r>
      <w:r>
        <w:t xml:space="preserve">is a </w:t>
      </w:r>
      <w:r w:rsidR="00D1023E">
        <w:t>need to simplif</w:t>
      </w:r>
      <w:r>
        <w:t>y</w:t>
      </w:r>
      <w:r w:rsidR="00D1023E">
        <w:t xml:space="preserve"> </w:t>
      </w:r>
      <w:r w:rsidR="00C55DE7">
        <w:t xml:space="preserve">and consolidate </w:t>
      </w:r>
      <w:r w:rsidR="00F924CE">
        <w:t xml:space="preserve">departmental </w:t>
      </w:r>
      <w:r w:rsidR="00D1023E">
        <w:t>processes</w:t>
      </w:r>
      <w:r w:rsidR="00F924CE">
        <w:t xml:space="preserve">. </w:t>
      </w:r>
      <w:r>
        <w:t xml:space="preserve"> </w:t>
      </w:r>
    </w:p>
    <w:p w14:paraId="7DF00A7A" w14:textId="6FFDF5B6" w:rsidR="002B1378" w:rsidRPr="00D52C24" w:rsidRDefault="002B1378" w:rsidP="00E06782">
      <w:pPr>
        <w:pStyle w:val="ListParagraph"/>
        <w:numPr>
          <w:ilvl w:val="0"/>
          <w:numId w:val="11"/>
        </w:numPr>
        <w:rPr>
          <w:b/>
        </w:rPr>
      </w:pPr>
      <w:r w:rsidRPr="00D52C24">
        <w:rPr>
          <w:b/>
        </w:rPr>
        <w:t xml:space="preserve">The wider context and external influences. </w:t>
      </w:r>
    </w:p>
    <w:p w14:paraId="67A2D519" w14:textId="65D9988D" w:rsidR="00D1023E" w:rsidRPr="00F721FD" w:rsidRDefault="00B56DA9" w:rsidP="00796024">
      <w:pPr>
        <w:pStyle w:val="DotPoints-level1"/>
      </w:pPr>
      <w:r>
        <w:t xml:space="preserve">There is a need to </w:t>
      </w:r>
      <w:r w:rsidR="00D1023E" w:rsidRPr="00F721FD">
        <w:t xml:space="preserve">discuss how the sport and recreation </w:t>
      </w:r>
      <w:r w:rsidR="00406186">
        <w:t>industry</w:t>
      </w:r>
      <w:r w:rsidR="00D1023E" w:rsidRPr="00F721FD">
        <w:t xml:space="preserve"> </w:t>
      </w:r>
      <w:r>
        <w:t>can engage</w:t>
      </w:r>
      <w:r w:rsidR="00D1023E" w:rsidRPr="00F721FD">
        <w:t xml:space="preserve"> with the health</w:t>
      </w:r>
      <w:r>
        <w:t xml:space="preserve"> and education</w:t>
      </w:r>
      <w:r w:rsidR="00D1023E" w:rsidRPr="00F721FD">
        <w:t xml:space="preserve"> sector</w:t>
      </w:r>
      <w:r>
        <w:t>s</w:t>
      </w:r>
      <w:r w:rsidR="00D1023E" w:rsidRPr="00F721FD">
        <w:t xml:space="preserve"> in a more meaningful way</w:t>
      </w:r>
      <w:r>
        <w:t>.</w:t>
      </w:r>
    </w:p>
    <w:p w14:paraId="719039B3" w14:textId="4575A317" w:rsidR="00094DCD" w:rsidRPr="00F721FD" w:rsidRDefault="00CE235B" w:rsidP="00094DCD">
      <w:pPr>
        <w:pStyle w:val="DotPoints-level1"/>
      </w:pPr>
      <w:r>
        <w:t>There is a need to ad</w:t>
      </w:r>
      <w:r w:rsidR="00FD2B14">
        <w:t>dress the changing landscape of</w:t>
      </w:r>
      <w:r w:rsidR="00D1023E" w:rsidRPr="00F721FD">
        <w:t xml:space="preserve"> participation </w:t>
      </w:r>
      <w:r w:rsidR="00D1023E">
        <w:t xml:space="preserve">opportunities, especially </w:t>
      </w:r>
      <w:r w:rsidR="00FD2B14">
        <w:t>from</w:t>
      </w:r>
      <w:r w:rsidR="00D1023E">
        <w:t xml:space="preserve"> a </w:t>
      </w:r>
      <w:r w:rsidR="000217E8" w:rsidRPr="00F721FD">
        <w:t>regional perspective</w:t>
      </w:r>
      <w:r w:rsidR="00D1023E" w:rsidRPr="00F721FD">
        <w:t xml:space="preserve">. </w:t>
      </w:r>
    </w:p>
    <w:p w14:paraId="1074E4C5" w14:textId="77777777" w:rsidR="007A4C1C" w:rsidRPr="00D52C24" w:rsidRDefault="007A4C1C" w:rsidP="00D1023E">
      <w:pPr>
        <w:rPr>
          <w:b/>
        </w:rPr>
      </w:pPr>
      <w:r w:rsidRPr="00D52C24">
        <w:rPr>
          <w:b/>
        </w:rPr>
        <w:t xml:space="preserve">Operational recommendations </w:t>
      </w:r>
    </w:p>
    <w:p w14:paraId="7CC846A4" w14:textId="064B01C7" w:rsidR="00D1023E" w:rsidRDefault="007A4C1C" w:rsidP="00D1023E">
      <w:r>
        <w:t>O</w:t>
      </w:r>
      <w:r w:rsidR="0059629A">
        <w:t xml:space="preserve">perational recommendations </w:t>
      </w:r>
      <w:r w:rsidR="00B90A90">
        <w:t xml:space="preserve">contained in this document </w:t>
      </w:r>
      <w:r w:rsidR="0059629A">
        <w:t xml:space="preserve">are a result of </w:t>
      </w:r>
      <w:r w:rsidR="00177DD0">
        <w:t>the consultation process and an internal review of existing</w:t>
      </w:r>
      <w:r w:rsidR="009E0199">
        <w:t xml:space="preserve"> funding programs and gaps in current services. </w:t>
      </w:r>
      <w:r w:rsidR="0059629A">
        <w:t xml:space="preserve"> </w:t>
      </w:r>
    </w:p>
    <w:p w14:paraId="7AEAE241" w14:textId="3B6AD73A" w:rsidR="003753AE" w:rsidRDefault="003753AE" w:rsidP="003753AE">
      <w:r>
        <w:t xml:space="preserve">Key </w:t>
      </w:r>
      <w:r w:rsidR="00F35AE6">
        <w:t>discussion points</w:t>
      </w:r>
      <w:r>
        <w:t xml:space="preserve"> that</w:t>
      </w:r>
      <w:r w:rsidR="00B90A90">
        <w:t xml:space="preserve"> have emerged include: </w:t>
      </w:r>
      <w:r>
        <w:t xml:space="preserve"> </w:t>
      </w:r>
    </w:p>
    <w:p w14:paraId="35446FFB" w14:textId="30F0C833" w:rsidR="004F42E0" w:rsidRDefault="00B90A90" w:rsidP="00E06782">
      <w:pPr>
        <w:pStyle w:val="DotPoints-level1"/>
      </w:pPr>
      <w:r>
        <w:t xml:space="preserve">the </w:t>
      </w:r>
      <w:r w:rsidR="003753AE">
        <w:t xml:space="preserve">need to have extended grant terms </w:t>
      </w:r>
      <w:r w:rsidR="00AA2B49">
        <w:t xml:space="preserve">with the </w:t>
      </w:r>
      <w:r>
        <w:t xml:space="preserve">department’s </w:t>
      </w:r>
      <w:r w:rsidR="00630EC1">
        <w:t>Industry Investment Program</w:t>
      </w:r>
      <w:r w:rsidR="00E57503">
        <w:t>.</w:t>
      </w:r>
    </w:p>
    <w:p w14:paraId="722896B1" w14:textId="1068F79C" w:rsidR="00BF010C" w:rsidRPr="00B62DC4" w:rsidRDefault="00B90A90" w:rsidP="002D21AE">
      <w:pPr>
        <w:pStyle w:val="DotPoints-level1"/>
      </w:pPr>
      <w:r>
        <w:t>t</w:t>
      </w:r>
      <w:r w:rsidR="003753AE">
        <w:t>he need to examine</w:t>
      </w:r>
      <w:r w:rsidR="004F42E0">
        <w:t xml:space="preserve"> and streamline</w:t>
      </w:r>
      <w:r w:rsidR="003753AE">
        <w:t xml:space="preserve"> funding opportunities for </w:t>
      </w:r>
      <w:r w:rsidR="005F2359">
        <w:t xml:space="preserve">events, participation and </w:t>
      </w:r>
      <w:r w:rsidR="003753AE">
        <w:t xml:space="preserve">active recreation </w:t>
      </w:r>
      <w:r w:rsidR="00E32C35">
        <w:t>opportunities.</w:t>
      </w:r>
    </w:p>
    <w:p w14:paraId="3EABCF39" w14:textId="3718953F" w:rsidR="00ED331D" w:rsidRPr="00091183" w:rsidRDefault="00ED331D" w:rsidP="003E02EA">
      <w:pPr>
        <w:pStyle w:val="Heading2"/>
      </w:pPr>
      <w:bookmarkStart w:id="2" w:name="_Toc1571662"/>
      <w:r w:rsidRPr="00B62952">
        <w:lastRenderedPageBreak/>
        <w:t xml:space="preserve">Next </w:t>
      </w:r>
      <w:r w:rsidR="007C1C29">
        <w:t>s</w:t>
      </w:r>
      <w:r w:rsidRPr="00B62952">
        <w:t>teps</w:t>
      </w:r>
      <w:bookmarkEnd w:id="2"/>
    </w:p>
    <w:p w14:paraId="14EBA650" w14:textId="2E0D3A21" w:rsidR="00996372" w:rsidRDefault="007A4C1C" w:rsidP="00E4637F">
      <w:r w:rsidRPr="00F450DC">
        <w:t xml:space="preserve">The </w:t>
      </w:r>
      <w:r w:rsidR="002708ED">
        <w:t>next stage of consultation will</w:t>
      </w:r>
      <w:r w:rsidRPr="00F450DC">
        <w:t xml:space="preserve"> provide a platform for feedback to:  </w:t>
      </w:r>
      <w:r w:rsidR="00996372">
        <w:t xml:space="preserve"> </w:t>
      </w:r>
    </w:p>
    <w:p w14:paraId="357FF719" w14:textId="742AE791" w:rsidR="00EB3378" w:rsidRDefault="007A4C1C" w:rsidP="00996372">
      <w:pPr>
        <w:pStyle w:val="ListParagraph"/>
        <w:numPr>
          <w:ilvl w:val="0"/>
          <w:numId w:val="16"/>
        </w:numPr>
      </w:pPr>
      <w:r>
        <w:t xml:space="preserve">ensure the findings </w:t>
      </w:r>
      <w:r w:rsidR="00EB3378">
        <w:t xml:space="preserve">accurately reflect what was discussed during the consultation period. </w:t>
      </w:r>
    </w:p>
    <w:p w14:paraId="19A6D193" w14:textId="10E2C0D7" w:rsidR="00795996" w:rsidRPr="00E4637F" w:rsidRDefault="002F5986" w:rsidP="00D52C24">
      <w:pPr>
        <w:pStyle w:val="ListParagraph"/>
        <w:numPr>
          <w:ilvl w:val="0"/>
          <w:numId w:val="16"/>
        </w:numPr>
      </w:pPr>
      <w:r w:rsidRPr="00E4637F">
        <w:t>test the</w:t>
      </w:r>
      <w:r w:rsidR="00800788">
        <w:t xml:space="preserve"> industry’s support towards the</w:t>
      </w:r>
      <w:r w:rsidRPr="00E4637F">
        <w:t xml:space="preserve"> proposed recommendations</w:t>
      </w:r>
      <w:r w:rsidR="00800788">
        <w:t xml:space="preserve">. </w:t>
      </w:r>
    </w:p>
    <w:p w14:paraId="43E4E75B" w14:textId="10D71104" w:rsidR="002F5986" w:rsidRPr="00463209" w:rsidRDefault="002F5986" w:rsidP="00463209">
      <w:pPr>
        <w:rPr>
          <w:lang w:val="en-US"/>
        </w:rPr>
      </w:pPr>
      <w:r w:rsidRPr="00555F5B">
        <w:rPr>
          <w:lang w:val="en-US"/>
        </w:rPr>
        <w:t>Th</w:t>
      </w:r>
      <w:r w:rsidR="007A4C1C">
        <w:rPr>
          <w:lang w:val="en-US"/>
        </w:rPr>
        <w:t>e feedback</w:t>
      </w:r>
      <w:r w:rsidRPr="00555F5B">
        <w:rPr>
          <w:lang w:val="en-US"/>
        </w:rPr>
        <w:t xml:space="preserve"> process </w:t>
      </w:r>
      <w:r w:rsidR="007A4C1C">
        <w:rPr>
          <w:lang w:val="en-US"/>
        </w:rPr>
        <w:t xml:space="preserve">is part of a final round of consultations, which </w:t>
      </w:r>
      <w:r w:rsidRPr="00555F5B">
        <w:rPr>
          <w:lang w:val="en-US"/>
        </w:rPr>
        <w:t xml:space="preserve">will include further workshops, a survey and an invitation for </w:t>
      </w:r>
      <w:r w:rsidR="007A4C1C">
        <w:rPr>
          <w:lang w:val="en-US"/>
        </w:rPr>
        <w:t>feedback</w:t>
      </w:r>
      <w:r w:rsidR="007A4C1C" w:rsidRPr="00555F5B">
        <w:rPr>
          <w:lang w:val="en-US"/>
        </w:rPr>
        <w:t xml:space="preserve"> </w:t>
      </w:r>
      <w:r w:rsidRPr="00555F5B">
        <w:rPr>
          <w:lang w:val="en-US"/>
        </w:rPr>
        <w:t>on this document.</w:t>
      </w:r>
    </w:p>
    <w:p w14:paraId="6B08A39B" w14:textId="7CC0A3A1" w:rsidR="00ED331D" w:rsidRDefault="002F5986" w:rsidP="002F5986">
      <w:pPr>
        <w:rPr>
          <w:b/>
        </w:rPr>
      </w:pPr>
      <w:r w:rsidRPr="003E02EA">
        <w:t>T</w:t>
      </w:r>
      <w:r w:rsidR="00ED331D" w:rsidRPr="00B62952">
        <w:t>his document will be open for comment u</w:t>
      </w:r>
      <w:r w:rsidR="00ED331D" w:rsidRPr="00475AB6">
        <w:t>ntil</w:t>
      </w:r>
      <w:r w:rsidR="00475AB6" w:rsidRPr="00475AB6">
        <w:t xml:space="preserve"> Thursday</w:t>
      </w:r>
      <w:r w:rsidR="00ED331D" w:rsidRPr="00475AB6">
        <w:t xml:space="preserve"> </w:t>
      </w:r>
      <w:r w:rsidR="00475AB6" w:rsidRPr="00475AB6">
        <w:t xml:space="preserve">21 March </w:t>
      </w:r>
      <w:r w:rsidR="00BD2F94">
        <w:t>2019</w:t>
      </w:r>
      <w:r w:rsidR="00ED331D" w:rsidRPr="00475AB6">
        <w:t>.</w:t>
      </w:r>
      <w:r w:rsidR="00ED331D" w:rsidRPr="00091183">
        <w:rPr>
          <w:b/>
        </w:rPr>
        <w:t xml:space="preserve"> </w:t>
      </w:r>
    </w:p>
    <w:p w14:paraId="0E19C283" w14:textId="77777777" w:rsidR="00587B1F" w:rsidRDefault="00587B1F" w:rsidP="00587B1F"/>
    <w:p w14:paraId="4579593C" w14:textId="7307D23F" w:rsidR="00ED331D" w:rsidRPr="00091183" w:rsidRDefault="00ED331D" w:rsidP="000D2A8E">
      <w:pPr>
        <w:pStyle w:val="Heading2"/>
      </w:pPr>
      <w:bookmarkStart w:id="3" w:name="_Toc1571663"/>
      <w:r w:rsidRPr="00091183">
        <w:t>Implementation of the Strategic Funding Review</w:t>
      </w:r>
      <w:bookmarkEnd w:id="3"/>
      <w:r w:rsidRPr="00091183">
        <w:t xml:space="preserve"> </w:t>
      </w:r>
    </w:p>
    <w:p w14:paraId="1C8EA198" w14:textId="25B48F23" w:rsidR="002F5986" w:rsidRDefault="002F5986" w:rsidP="002F5986">
      <w:pPr>
        <w:rPr>
          <w:lang w:val="en-US"/>
        </w:rPr>
      </w:pPr>
      <w:r w:rsidRPr="00F721FD">
        <w:rPr>
          <w:lang w:val="en-US"/>
        </w:rPr>
        <w:t>The findings and recommendations will be incorporated into a final report for endorsement and implementation in the 2019</w:t>
      </w:r>
      <w:r w:rsidR="007A4C1C">
        <w:rPr>
          <w:lang w:val="en-US"/>
        </w:rPr>
        <w:t>-</w:t>
      </w:r>
      <w:r w:rsidRPr="00F721FD">
        <w:rPr>
          <w:lang w:val="en-US"/>
        </w:rPr>
        <w:t>20 financial year.</w:t>
      </w:r>
    </w:p>
    <w:p w14:paraId="07E52288" w14:textId="25CB94DD" w:rsidR="00463209" w:rsidRDefault="007A4C1C" w:rsidP="00463209">
      <w:r>
        <w:t>It is evident from the consultation process</w:t>
      </w:r>
      <w:r w:rsidR="00463209" w:rsidRPr="005F2359">
        <w:t xml:space="preserve"> that </w:t>
      </w:r>
      <w:r w:rsidR="00463209">
        <w:t xml:space="preserve">this is just the start of the conversation. </w:t>
      </w:r>
      <w:r>
        <w:t>C</w:t>
      </w:r>
      <w:r w:rsidR="00463209" w:rsidRPr="005F2359">
        <w:t>ontinual review and engagement with the industry is</w:t>
      </w:r>
      <w:r w:rsidR="00463209">
        <w:t xml:space="preserve"> </w:t>
      </w:r>
      <w:r w:rsidR="00463209" w:rsidRPr="005F2359">
        <w:t xml:space="preserve">required to ensure that positive sport and recreation opportunities are available </w:t>
      </w:r>
      <w:r w:rsidR="00463209">
        <w:t>to</w:t>
      </w:r>
      <w:r w:rsidR="00463209" w:rsidRPr="005F2359">
        <w:t xml:space="preserve"> all members of the community. </w:t>
      </w:r>
    </w:p>
    <w:p w14:paraId="7C6A764C" w14:textId="4EB16A0B" w:rsidR="00463209" w:rsidRPr="005F2359" w:rsidRDefault="00463209" w:rsidP="00463209">
      <w:r w:rsidRPr="005F2359">
        <w:t>The department is committed to reset</w:t>
      </w:r>
      <w:r>
        <w:t xml:space="preserve">ting its relationship with the sport and recreation industry. It is </w:t>
      </w:r>
      <w:r w:rsidRPr="005F2359">
        <w:t xml:space="preserve">excited at </w:t>
      </w:r>
      <w:r>
        <w:t xml:space="preserve">the prospect of </w:t>
      </w:r>
      <w:r w:rsidRPr="005F2359">
        <w:t>future opportunities and partnerships</w:t>
      </w:r>
      <w:r>
        <w:t xml:space="preserve">, with a commitment to being </w:t>
      </w:r>
      <w:r w:rsidR="003C1F93">
        <w:t>open and transparen</w:t>
      </w:r>
      <w:r w:rsidR="00BA487E">
        <w:t>t</w:t>
      </w:r>
      <w:r w:rsidR="003C1F93">
        <w:t>.</w:t>
      </w:r>
    </w:p>
    <w:p w14:paraId="3F684974" w14:textId="6D8B7DB8" w:rsidR="002F5986" w:rsidRDefault="002F5986">
      <w:pPr>
        <w:jc w:val="left"/>
      </w:pPr>
    </w:p>
    <w:p w14:paraId="09DAF752" w14:textId="3B91C6AF" w:rsidR="00743BCF" w:rsidRPr="003559AA" w:rsidRDefault="00B10696" w:rsidP="003559AA">
      <w:pPr>
        <w:pStyle w:val="Heading1"/>
      </w:pPr>
      <w:bookmarkStart w:id="4" w:name="_Toc1571664"/>
      <w:r w:rsidRPr="003559AA">
        <w:t>Background</w:t>
      </w:r>
      <w:bookmarkEnd w:id="4"/>
    </w:p>
    <w:p w14:paraId="5CE4D484" w14:textId="60BC104C" w:rsidR="00AF1FF5" w:rsidRPr="00F721FD" w:rsidRDefault="00AF1FF5" w:rsidP="00CD1EFE">
      <w:r w:rsidRPr="00F721FD">
        <w:t>In March 2018, Minister for Sport and Recreation</w:t>
      </w:r>
      <w:r w:rsidR="00953E3B">
        <w:t xml:space="preserve"> Mick Murray</w:t>
      </w:r>
      <w:r w:rsidRPr="00F721FD">
        <w:t xml:space="preserve"> </w:t>
      </w:r>
      <w:r w:rsidR="004F5592">
        <w:t>hosted</w:t>
      </w:r>
      <w:r w:rsidR="004F5592" w:rsidRPr="00F721FD">
        <w:t xml:space="preserve"> </w:t>
      </w:r>
      <w:r w:rsidRPr="00F721FD">
        <w:t xml:space="preserve">a </w:t>
      </w:r>
      <w:r w:rsidR="003C1F93">
        <w:t xml:space="preserve">sport and recreation </w:t>
      </w:r>
      <w:r w:rsidRPr="00F721FD">
        <w:t>sector briefing</w:t>
      </w:r>
      <w:r w:rsidR="00523A97">
        <w:t xml:space="preserve"> that outlined</w:t>
      </w:r>
      <w:r w:rsidRPr="00F721FD">
        <w:t xml:space="preserve"> the successes of the previous 12 months, as well as challenges and priorities</w:t>
      </w:r>
      <w:r w:rsidR="00885988">
        <w:t xml:space="preserve"> </w:t>
      </w:r>
      <w:r w:rsidR="00226829">
        <w:t xml:space="preserve">identified </w:t>
      </w:r>
      <w:r w:rsidR="000218FC">
        <w:t>within the Sport and Recreation portfolio</w:t>
      </w:r>
      <w:r w:rsidR="00885988">
        <w:t>.</w:t>
      </w:r>
      <w:r w:rsidR="00F721FD">
        <w:rPr>
          <w:rStyle w:val="FootnoteReference"/>
        </w:rPr>
        <w:footnoteReference w:id="2"/>
      </w:r>
      <w:r w:rsidRPr="00F721FD">
        <w:t>.</w:t>
      </w:r>
    </w:p>
    <w:p w14:paraId="51B9ACE9" w14:textId="406B3A33" w:rsidR="00AF1FF5" w:rsidRPr="00F721FD" w:rsidRDefault="0007590A" w:rsidP="00F721FD">
      <w:r>
        <w:t>Key p</w:t>
      </w:r>
      <w:r w:rsidR="00AF1FF5" w:rsidRPr="00F721FD">
        <w:t>riorities</w:t>
      </w:r>
      <w:r>
        <w:t xml:space="preserve"> included</w:t>
      </w:r>
      <w:r w:rsidR="00AF1FF5" w:rsidRPr="00F721FD">
        <w:t>:</w:t>
      </w:r>
    </w:p>
    <w:p w14:paraId="5B2B4221" w14:textId="23B83B97" w:rsidR="00AF1FF5" w:rsidRPr="00F721FD" w:rsidRDefault="00953E3B" w:rsidP="003E02EA">
      <w:pPr>
        <w:pStyle w:val="DotPoints-level1"/>
      </w:pPr>
      <w:r>
        <w:t>s</w:t>
      </w:r>
      <w:r w:rsidRPr="00F721FD">
        <w:t xml:space="preserve">upporting </w:t>
      </w:r>
      <w:r w:rsidR="00AF1FF5" w:rsidRPr="00F721FD">
        <w:t>a balanced, value-based distribution of State Government funding to State Sporting Associations</w:t>
      </w:r>
    </w:p>
    <w:p w14:paraId="49EC6CFB" w14:textId="2A91E769" w:rsidR="003A0991" w:rsidRPr="00F721FD" w:rsidRDefault="000F2370" w:rsidP="003E02EA">
      <w:pPr>
        <w:pStyle w:val="DotPoints-level1"/>
      </w:pPr>
      <w:r>
        <w:t>p</w:t>
      </w:r>
      <w:r w:rsidRPr="00F721FD">
        <w:t xml:space="preserve">romoting </w:t>
      </w:r>
      <w:r w:rsidR="00AF1FF5" w:rsidRPr="00F721FD">
        <w:t>the value of a physically active lifestyle as a principal contributor to preventative health</w:t>
      </w:r>
    </w:p>
    <w:p w14:paraId="2729427C" w14:textId="48DFD606" w:rsidR="00AF1FF5" w:rsidRPr="00F721FD" w:rsidRDefault="00F44888" w:rsidP="003E02EA">
      <w:pPr>
        <w:pStyle w:val="DotPoints-level1"/>
      </w:pPr>
      <w:r>
        <w:t>p</w:t>
      </w:r>
      <w:r w:rsidRPr="00F721FD">
        <w:t xml:space="preserve">romoting </w:t>
      </w:r>
      <w:r w:rsidR="00AF1FF5" w:rsidRPr="00F721FD">
        <w:t>and protecting the ground-up nature of Western Australian sport and recreation, reinforcing the importance of grassroots and community-level participation within the wider</w:t>
      </w:r>
      <w:r w:rsidR="00130810">
        <w:t xml:space="preserve"> </w:t>
      </w:r>
      <w:r w:rsidR="00D156A6">
        <w:t>S</w:t>
      </w:r>
      <w:r w:rsidR="00AF1FF5" w:rsidRPr="00F721FD">
        <w:t>tate and national landscape.</w:t>
      </w:r>
    </w:p>
    <w:p w14:paraId="39F90FEA" w14:textId="77777777" w:rsidR="00192692" w:rsidRDefault="00192692">
      <w:pPr>
        <w:jc w:val="left"/>
      </w:pPr>
      <w:r>
        <w:br w:type="page"/>
      </w:r>
    </w:p>
    <w:p w14:paraId="74E85A0C" w14:textId="64F8DB11" w:rsidR="00AF1FF5" w:rsidRPr="00F721FD" w:rsidRDefault="004266ED" w:rsidP="003E02EA">
      <w:r>
        <w:lastRenderedPageBreak/>
        <w:t>Key c</w:t>
      </w:r>
      <w:r w:rsidR="00AF1FF5" w:rsidRPr="00F721FD">
        <w:t>hallenges</w:t>
      </w:r>
      <w:r w:rsidR="006A1847">
        <w:t xml:space="preserve"> identified</w:t>
      </w:r>
      <w:r>
        <w:t xml:space="preserve"> </w:t>
      </w:r>
      <w:r w:rsidR="00262143">
        <w:t>by the Minister</w:t>
      </w:r>
      <w:r w:rsidR="000C66C4">
        <w:t xml:space="preserve"> for Sport and Recreation</w:t>
      </w:r>
      <w:r w:rsidR="00262143">
        <w:t xml:space="preserve"> included</w:t>
      </w:r>
      <w:r w:rsidR="00AF1FF5" w:rsidRPr="00F721FD">
        <w:t>:</w:t>
      </w:r>
    </w:p>
    <w:p w14:paraId="10D377BF" w14:textId="661B6785" w:rsidR="00AF1FF5" w:rsidRPr="003A0991" w:rsidRDefault="00F3495E" w:rsidP="003E02EA">
      <w:pPr>
        <w:pStyle w:val="DotPoints-level1"/>
      </w:pPr>
      <w:r w:rsidRPr="00CD1EFE">
        <w:t>The s</w:t>
      </w:r>
      <w:r w:rsidR="00AF1FF5" w:rsidRPr="00CD1EFE">
        <w:t xml:space="preserve">port and recreation </w:t>
      </w:r>
      <w:r w:rsidR="004817FC">
        <w:t>industry</w:t>
      </w:r>
      <w:r w:rsidR="00AF1FF5" w:rsidRPr="008632C5">
        <w:t xml:space="preserve"> </w:t>
      </w:r>
      <w:proofErr w:type="gramStart"/>
      <w:r w:rsidR="00BA4E8D" w:rsidRPr="008632C5">
        <w:t>face</w:t>
      </w:r>
      <w:r w:rsidR="003C1F93">
        <w:t>s</w:t>
      </w:r>
      <w:proofErr w:type="gramEnd"/>
      <w:r w:rsidR="00AF1FF5" w:rsidRPr="008632C5">
        <w:t xml:space="preserve"> a challenging financial environment regarding the amount of funding available from all levels of government. </w:t>
      </w:r>
      <w:r w:rsidR="00F44888" w:rsidRPr="000D2A8E">
        <w:t>State</w:t>
      </w:r>
      <w:r w:rsidR="00AF1FF5" w:rsidRPr="003A0991">
        <w:t xml:space="preserve"> Government funding derived from traditional sources is being challenged by competition in the lotteries and sports wagering marketplaces</w:t>
      </w:r>
      <w:r w:rsidR="00F22B08">
        <w:rPr>
          <w:rStyle w:val="FootnoteReference"/>
        </w:rPr>
        <w:footnoteReference w:id="3"/>
      </w:r>
      <w:r w:rsidR="00AF1FF5" w:rsidRPr="003A0991">
        <w:t>. “</w:t>
      </w:r>
      <w:r w:rsidR="00AF1FF5" w:rsidRPr="00BF2988">
        <w:rPr>
          <w:i/>
        </w:rPr>
        <w:t>We must understand and focus our financial resources into essential areas that provide sport and recreation with the greatest value.</w:t>
      </w:r>
      <w:r w:rsidR="00AF1FF5" w:rsidRPr="003A0991">
        <w:t>”</w:t>
      </w:r>
    </w:p>
    <w:p w14:paraId="1BA597C1" w14:textId="4B9051DD" w:rsidR="00AF1FF5" w:rsidRPr="00CD1EFE" w:rsidRDefault="008507F9" w:rsidP="003E02EA">
      <w:pPr>
        <w:pStyle w:val="DotPoints-level1"/>
      </w:pPr>
      <w:r w:rsidRPr="003A0991">
        <w:t>The s</w:t>
      </w:r>
      <w:r w:rsidR="00AF1FF5" w:rsidRPr="003A0991">
        <w:t>port and recreation</w:t>
      </w:r>
      <w:r w:rsidRPr="003A0991">
        <w:t xml:space="preserve"> industry</w:t>
      </w:r>
      <w:r w:rsidR="00AF1FF5" w:rsidRPr="003A0991">
        <w:t xml:space="preserve"> must adapt to the challenging financial environment and be more independently self-sufficient. “</w:t>
      </w:r>
      <w:r w:rsidR="00AF1FF5" w:rsidRPr="003A0991">
        <w:rPr>
          <w:i/>
        </w:rPr>
        <w:t>The hand-out culture can no longer be supported by Government</w:t>
      </w:r>
      <w:r w:rsidR="00AF1FF5" w:rsidRPr="003E02EA">
        <w:rPr>
          <w:i/>
        </w:rPr>
        <w:t>.</w:t>
      </w:r>
      <w:r w:rsidR="00AF1FF5" w:rsidRPr="00CD1EFE">
        <w:t>”</w:t>
      </w:r>
    </w:p>
    <w:p w14:paraId="3ABB97E3" w14:textId="77777777" w:rsidR="00AF1FF5" w:rsidRPr="00CD1EFE" w:rsidRDefault="00AF1FF5" w:rsidP="003E02EA">
      <w:pPr>
        <w:pStyle w:val="DotPoints-level1"/>
      </w:pPr>
      <w:r w:rsidRPr="008632C5">
        <w:t>The commercialisation of sport is challenging the sustainability of smaller sports, as revenues and media exposure becomes increasingly concentrated. “</w:t>
      </w:r>
      <w:r w:rsidRPr="000D2A8E">
        <w:rPr>
          <w:i/>
        </w:rPr>
        <w:t>Sport in Western Australia thrives in its diversity and its variety of choice. A greater balance in the funding of, exposure for and promotion of all sports, big and small is required</w:t>
      </w:r>
      <w:r w:rsidRPr="003E02EA">
        <w:rPr>
          <w:i/>
        </w:rPr>
        <w:t>.</w:t>
      </w:r>
      <w:r w:rsidRPr="00CD1EFE">
        <w:t xml:space="preserve">” </w:t>
      </w:r>
    </w:p>
    <w:p w14:paraId="6611104A" w14:textId="13CEFDED" w:rsidR="00E840AC" w:rsidRPr="00F721FD" w:rsidRDefault="003C1F93" w:rsidP="00F721FD">
      <w:r>
        <w:t>Since the Minister’s sector briefing, t</w:t>
      </w:r>
      <w:r w:rsidR="00C637B8">
        <w:t xml:space="preserve">he </w:t>
      </w:r>
      <w:r w:rsidR="00304E87" w:rsidRPr="00F721FD">
        <w:t xml:space="preserve">Strategic </w:t>
      </w:r>
      <w:r w:rsidR="00304E87">
        <w:t xml:space="preserve">Funding </w:t>
      </w:r>
      <w:r w:rsidR="00304E87" w:rsidRPr="00F721FD">
        <w:t>Review</w:t>
      </w:r>
      <w:r w:rsidR="00304E87">
        <w:t xml:space="preserve"> </w:t>
      </w:r>
      <w:r w:rsidR="00C637B8">
        <w:t xml:space="preserve">has </w:t>
      </w:r>
      <w:r>
        <w:t xml:space="preserve">commenced and has </w:t>
      </w:r>
      <w:r w:rsidR="00E840AC" w:rsidRPr="00F721FD">
        <w:t xml:space="preserve">progressed with a series of meetings and workshops with the </w:t>
      </w:r>
      <w:r w:rsidR="00E04144">
        <w:t>sport and recreation industry</w:t>
      </w:r>
      <w:r w:rsidR="00E840AC" w:rsidRPr="00F721FD">
        <w:t>.</w:t>
      </w:r>
    </w:p>
    <w:p w14:paraId="2A245C68" w14:textId="06F01E41" w:rsidR="005327CB" w:rsidRDefault="00B92C18" w:rsidP="00B92C18">
      <w:r>
        <w:t xml:space="preserve">The first major step occurred in October 2018 with the </w:t>
      </w:r>
      <w:r w:rsidR="00962144">
        <w:t>release</w:t>
      </w:r>
      <w:r>
        <w:t xml:space="preserve"> of the Common Ground</w:t>
      </w:r>
      <w:r w:rsidR="00C637B8">
        <w:t xml:space="preserve"> </w:t>
      </w:r>
      <w:r w:rsidR="005B1FF3">
        <w:t>discussion paper</w:t>
      </w:r>
      <w:r>
        <w:t xml:space="preserve">. </w:t>
      </w:r>
      <w:r w:rsidR="003C1F93">
        <w:t>Common Ground</w:t>
      </w:r>
      <w:r>
        <w:t xml:space="preserve"> outlined the areas of agreement </w:t>
      </w:r>
      <w:r w:rsidR="005327CB">
        <w:t xml:space="preserve">and areas </w:t>
      </w:r>
      <w:r w:rsidR="005B1FF3">
        <w:t xml:space="preserve">for </w:t>
      </w:r>
      <w:r w:rsidR="005327CB">
        <w:t xml:space="preserve">further discussion </w:t>
      </w:r>
      <w:r>
        <w:t xml:space="preserve">between the </w:t>
      </w:r>
      <w:r w:rsidR="00D156A6">
        <w:t xml:space="preserve">sport and recreation </w:t>
      </w:r>
      <w:r>
        <w:t xml:space="preserve">industry and the </w:t>
      </w:r>
      <w:r w:rsidR="00FD16EF">
        <w:t>d</w:t>
      </w:r>
      <w:r>
        <w:t xml:space="preserve">epartment. </w:t>
      </w:r>
    </w:p>
    <w:p w14:paraId="5C40BDC5" w14:textId="596EFBF3" w:rsidR="00B92C18" w:rsidRDefault="00B92C18" w:rsidP="00B92C18">
      <w:r>
        <w:t xml:space="preserve">Common Ground was the precursor to a </w:t>
      </w:r>
      <w:r w:rsidR="00575C44">
        <w:t xml:space="preserve">consultation period </w:t>
      </w:r>
      <w:r w:rsidR="003E5C74">
        <w:t>held in October and November 2018</w:t>
      </w:r>
      <w:r w:rsidR="00F50C36">
        <w:t xml:space="preserve">. </w:t>
      </w:r>
    </w:p>
    <w:p w14:paraId="26DAD896" w14:textId="58E23188" w:rsidR="00D53022" w:rsidRDefault="00B92C18" w:rsidP="00F721FD">
      <w:r>
        <w:t xml:space="preserve">This </w:t>
      </w:r>
      <w:r w:rsidR="005B1FF3">
        <w:t xml:space="preserve">report </w:t>
      </w:r>
      <w:r>
        <w:t xml:space="preserve">marks the next major step </w:t>
      </w:r>
      <w:r w:rsidR="00D50F24">
        <w:t xml:space="preserve">of the </w:t>
      </w:r>
      <w:r w:rsidR="00304E87" w:rsidRPr="00F721FD">
        <w:t xml:space="preserve">Strategic </w:t>
      </w:r>
      <w:r w:rsidR="00304E87">
        <w:t xml:space="preserve">Funding </w:t>
      </w:r>
      <w:r w:rsidR="00304E87" w:rsidRPr="00F721FD">
        <w:t>Review</w:t>
      </w:r>
      <w:r w:rsidR="00304E87">
        <w:t xml:space="preserve"> </w:t>
      </w:r>
      <w:r>
        <w:t xml:space="preserve">with the publication of the preliminary </w:t>
      </w:r>
      <w:r w:rsidR="00C66804">
        <w:t xml:space="preserve">strategic </w:t>
      </w:r>
      <w:r>
        <w:t>findings</w:t>
      </w:r>
      <w:r w:rsidR="005327CB">
        <w:t xml:space="preserve"> </w:t>
      </w:r>
      <w:r w:rsidR="00C66804">
        <w:t xml:space="preserve">and operational recommendations. </w:t>
      </w:r>
    </w:p>
    <w:p w14:paraId="78932504" w14:textId="77777777" w:rsidR="00E80736" w:rsidRPr="00F721FD" w:rsidRDefault="00E80736" w:rsidP="00F721FD"/>
    <w:p w14:paraId="25E016F0" w14:textId="59FC5F80" w:rsidR="00E13B69" w:rsidRDefault="00E13B69" w:rsidP="003559AA">
      <w:pPr>
        <w:pStyle w:val="Heading1"/>
      </w:pPr>
      <w:bookmarkStart w:id="5" w:name="_Toc1571665"/>
      <w:r w:rsidRPr="00CA6D39">
        <w:t>Consultation</w:t>
      </w:r>
      <w:r>
        <w:t xml:space="preserve"> </w:t>
      </w:r>
      <w:r w:rsidR="00E80736">
        <w:t>p</w:t>
      </w:r>
      <w:r w:rsidR="00C66804" w:rsidRPr="000D2A8E">
        <w:t>erio</w:t>
      </w:r>
      <w:r w:rsidR="00C66804" w:rsidRPr="005E702B">
        <w:t>d</w:t>
      </w:r>
      <w:bookmarkEnd w:id="5"/>
    </w:p>
    <w:p w14:paraId="29B9DCA6" w14:textId="78440EA9" w:rsidR="00E13B69" w:rsidRDefault="00E13B69" w:rsidP="00B62952">
      <w:r>
        <w:t xml:space="preserve">The Common Ground </w:t>
      </w:r>
      <w:r w:rsidR="00DF1E75">
        <w:t>discussion paper</w:t>
      </w:r>
      <w:r w:rsidR="00891BD5">
        <w:t xml:space="preserve">, </w:t>
      </w:r>
      <w:r>
        <w:t>released in October 2018</w:t>
      </w:r>
      <w:r w:rsidR="00891BD5">
        <w:t>,</w:t>
      </w:r>
      <w:r>
        <w:t xml:space="preserve"> provided a consolidated response to the areas of agreement between the </w:t>
      </w:r>
      <w:r w:rsidR="00D156A6">
        <w:t xml:space="preserve">sport and recreation </w:t>
      </w:r>
      <w:r>
        <w:t xml:space="preserve">industry and the department, and </w:t>
      </w:r>
      <w:r w:rsidR="00C637B8">
        <w:t>identified</w:t>
      </w:r>
      <w:r w:rsidR="00C756A4">
        <w:t xml:space="preserve"> </w:t>
      </w:r>
      <w:r w:rsidR="002A2F2F">
        <w:t>areas for further</w:t>
      </w:r>
      <w:r>
        <w:t xml:space="preserve"> discussion</w:t>
      </w:r>
      <w:r w:rsidR="002A2F2F">
        <w:t>.</w:t>
      </w:r>
    </w:p>
    <w:p w14:paraId="7639C9C0" w14:textId="6F9136FA" w:rsidR="00F970F8" w:rsidRDefault="00E13B69" w:rsidP="003E02EA">
      <w:r>
        <w:t xml:space="preserve">The industry was invited to provide feedback </w:t>
      </w:r>
      <w:r w:rsidR="007A1D92">
        <w:t>to</w:t>
      </w:r>
      <w:r w:rsidR="00D156A6">
        <w:t xml:space="preserve"> the </w:t>
      </w:r>
      <w:r>
        <w:t>Common Ground</w:t>
      </w:r>
      <w:r w:rsidR="00D156A6">
        <w:t xml:space="preserve"> document</w:t>
      </w:r>
      <w:r>
        <w:t xml:space="preserve"> through either a written response </w:t>
      </w:r>
      <w:r w:rsidR="00F970F8">
        <w:t xml:space="preserve">and / </w:t>
      </w:r>
      <w:r>
        <w:t xml:space="preserve">or </w:t>
      </w:r>
      <w:r w:rsidR="00FE764C">
        <w:t xml:space="preserve">by </w:t>
      </w:r>
      <w:r w:rsidR="00C56461">
        <w:t>attend</w:t>
      </w:r>
      <w:r w:rsidR="00FE764C">
        <w:t>ing</w:t>
      </w:r>
      <w:r w:rsidR="00C56461">
        <w:t xml:space="preserve"> a</w:t>
      </w:r>
      <w:r>
        <w:t xml:space="preserve"> workshop</w:t>
      </w:r>
      <w:r w:rsidR="009F4991">
        <w:t>.</w:t>
      </w:r>
    </w:p>
    <w:p w14:paraId="1CF22F37" w14:textId="77777777" w:rsidR="00086BB8" w:rsidRPr="00CD1EFE" w:rsidRDefault="00086BB8" w:rsidP="003E02EA"/>
    <w:p w14:paraId="261A6583" w14:textId="77777777" w:rsidR="00086BB8" w:rsidRDefault="00086BB8">
      <w:pPr>
        <w:jc w:val="left"/>
        <w:rPr>
          <w:rFonts w:eastAsiaTheme="majorEastAsia"/>
          <w:color w:val="0070C0"/>
          <w:sz w:val="28"/>
          <w:szCs w:val="26"/>
        </w:rPr>
      </w:pPr>
      <w:r>
        <w:br w:type="page"/>
      </w:r>
    </w:p>
    <w:p w14:paraId="03F862BD" w14:textId="51E14EB8" w:rsidR="00503470" w:rsidRPr="00CA6D39" w:rsidRDefault="001A01F1">
      <w:pPr>
        <w:pStyle w:val="Heading2"/>
      </w:pPr>
      <w:bookmarkStart w:id="6" w:name="_Toc1571666"/>
      <w:r w:rsidRPr="00CA6D39">
        <w:lastRenderedPageBreak/>
        <w:t xml:space="preserve">Written </w:t>
      </w:r>
      <w:r w:rsidR="005711FE">
        <w:t>r</w:t>
      </w:r>
      <w:r w:rsidRPr="00CA6D39">
        <w:t>esponses</w:t>
      </w:r>
      <w:bookmarkEnd w:id="6"/>
    </w:p>
    <w:p w14:paraId="2DC38F8B" w14:textId="4568AE3B" w:rsidR="005645A6" w:rsidRPr="00F721FD" w:rsidRDefault="001A01F1" w:rsidP="00F721FD">
      <w:r>
        <w:t>T</w:t>
      </w:r>
      <w:r w:rsidR="00F927DE" w:rsidRPr="00F721FD">
        <w:t>he industry</w:t>
      </w:r>
      <w:r>
        <w:t xml:space="preserve"> </w:t>
      </w:r>
      <w:r w:rsidR="002A2F2F">
        <w:t>was</w:t>
      </w:r>
      <w:r w:rsidR="009650BF">
        <w:t xml:space="preserve"> </w:t>
      </w:r>
      <w:r>
        <w:t>invited</w:t>
      </w:r>
      <w:r w:rsidR="00F927DE" w:rsidRPr="00F721FD">
        <w:t xml:space="preserve"> to provide written responses </w:t>
      </w:r>
      <w:r>
        <w:t xml:space="preserve">to Common Ground </w:t>
      </w:r>
      <w:r w:rsidR="00F927DE" w:rsidRPr="00F721FD">
        <w:t xml:space="preserve">by Friday 23 November, with extensions being granted </w:t>
      </w:r>
      <w:r>
        <w:t xml:space="preserve">to </w:t>
      </w:r>
      <w:r w:rsidR="00443CB1" w:rsidRPr="00F721FD">
        <w:t>7 December</w:t>
      </w:r>
      <w:r>
        <w:t xml:space="preserve"> 2018</w:t>
      </w:r>
      <w:r w:rsidR="001B4B52" w:rsidRPr="00F721FD">
        <w:t>.</w:t>
      </w:r>
    </w:p>
    <w:p w14:paraId="68EB9874" w14:textId="5CAE24C0" w:rsidR="00ED3797" w:rsidRPr="00F721FD" w:rsidRDefault="001A01F1" w:rsidP="00F721FD">
      <w:r>
        <w:t>W</w:t>
      </w:r>
      <w:r w:rsidR="00ED3797" w:rsidRPr="00F721FD">
        <w:t>orkshop</w:t>
      </w:r>
      <w:r>
        <w:t xml:space="preserve"> participants</w:t>
      </w:r>
      <w:r w:rsidR="00ED3797" w:rsidRPr="00F721FD">
        <w:t xml:space="preserve"> were </w:t>
      </w:r>
      <w:r>
        <w:t xml:space="preserve">also </w:t>
      </w:r>
      <w:r w:rsidR="00ED3797" w:rsidRPr="00F721FD">
        <w:t xml:space="preserve">encouraged to provide written responses, if they felt that their contributions needed further </w:t>
      </w:r>
      <w:r w:rsidR="005478F7">
        <w:t xml:space="preserve">elaboration or consideration. </w:t>
      </w:r>
    </w:p>
    <w:p w14:paraId="75AC1CE1" w14:textId="5BF0DC08" w:rsidR="001B4B52" w:rsidRPr="00F721FD" w:rsidRDefault="00DF1E75" w:rsidP="00F721FD">
      <w:r>
        <w:t>Written r</w:t>
      </w:r>
      <w:r w:rsidR="001B4B52" w:rsidRPr="00F721FD">
        <w:t>esponses were received from the following</w:t>
      </w:r>
      <w:r w:rsidR="00E65049" w:rsidRPr="00F721FD">
        <w:t xml:space="preserve"> </w:t>
      </w:r>
      <w:r w:rsidR="00C637B8">
        <w:t xml:space="preserve">10 </w:t>
      </w:r>
      <w:r w:rsidR="00E65049" w:rsidRPr="00F721FD">
        <w:t>organisations</w:t>
      </w:r>
      <w:r w:rsidR="001B4B52" w:rsidRPr="00F721FD">
        <w:t>:</w:t>
      </w:r>
    </w:p>
    <w:p w14:paraId="3A24878C" w14:textId="77777777" w:rsidR="00172CFB" w:rsidRDefault="00172CFB" w:rsidP="00E06782">
      <w:pPr>
        <w:pStyle w:val="ListParagraph"/>
        <w:numPr>
          <w:ilvl w:val="0"/>
          <w:numId w:val="1"/>
        </w:numPr>
        <w:sectPr w:rsidR="00172CFB">
          <w:headerReference w:type="default" r:id="rId9"/>
          <w:footerReference w:type="default" r:id="rId10"/>
          <w:pgSz w:w="11906" w:h="16838"/>
          <w:pgMar w:top="1440" w:right="1440" w:bottom="1440" w:left="1440" w:header="708" w:footer="708" w:gutter="0"/>
          <w:cols w:space="708"/>
          <w:docGrid w:linePitch="360"/>
        </w:sectPr>
      </w:pPr>
    </w:p>
    <w:p w14:paraId="026C8C2F" w14:textId="42360D80" w:rsidR="001B4B52" w:rsidRPr="00F721FD" w:rsidRDefault="001B4B52" w:rsidP="00E06782">
      <w:pPr>
        <w:pStyle w:val="ListParagraph"/>
        <w:numPr>
          <w:ilvl w:val="0"/>
          <w:numId w:val="1"/>
        </w:numPr>
      </w:pPr>
      <w:r w:rsidRPr="00F721FD">
        <w:t>Swimming WA</w:t>
      </w:r>
      <w:r w:rsidR="00C637B8">
        <w:t>.</w:t>
      </w:r>
    </w:p>
    <w:p w14:paraId="0FAA922D" w14:textId="2EB0C53D" w:rsidR="001B4B52" w:rsidRPr="00F721FD" w:rsidRDefault="001B4B52" w:rsidP="00E06782">
      <w:pPr>
        <w:pStyle w:val="ListParagraph"/>
        <w:numPr>
          <w:ilvl w:val="0"/>
          <w:numId w:val="1"/>
        </w:numPr>
      </w:pPr>
      <w:r w:rsidRPr="00F721FD">
        <w:t>WA Speedway Commission</w:t>
      </w:r>
      <w:r w:rsidR="00C637B8">
        <w:t>.</w:t>
      </w:r>
    </w:p>
    <w:p w14:paraId="02F773C9" w14:textId="4E8B718D" w:rsidR="001B4B52" w:rsidRPr="00F721FD" w:rsidRDefault="001B4B52" w:rsidP="00E06782">
      <w:pPr>
        <w:pStyle w:val="ListParagraph"/>
        <w:numPr>
          <w:ilvl w:val="0"/>
          <w:numId w:val="1"/>
        </w:numPr>
      </w:pPr>
      <w:r w:rsidRPr="00F721FD">
        <w:t>Westcycl</w:t>
      </w:r>
      <w:r w:rsidR="00C637B8">
        <w:t>e.</w:t>
      </w:r>
    </w:p>
    <w:p w14:paraId="23C5AAB1" w14:textId="5690177F" w:rsidR="001B4B52" w:rsidRPr="00F721FD" w:rsidRDefault="001B4B52" w:rsidP="00E06782">
      <w:pPr>
        <w:pStyle w:val="ListParagraph"/>
        <w:numPr>
          <w:ilvl w:val="0"/>
          <w:numId w:val="1"/>
        </w:numPr>
      </w:pPr>
      <w:r w:rsidRPr="00F721FD">
        <w:t>Motorcycling WA</w:t>
      </w:r>
      <w:r w:rsidR="00C637B8">
        <w:t>.</w:t>
      </w:r>
    </w:p>
    <w:p w14:paraId="0F31370A" w14:textId="70E244D7" w:rsidR="001B4B52" w:rsidRPr="00F721FD" w:rsidRDefault="00881301" w:rsidP="00E06782">
      <w:pPr>
        <w:pStyle w:val="ListParagraph"/>
        <w:numPr>
          <w:ilvl w:val="0"/>
          <w:numId w:val="1"/>
        </w:numPr>
      </w:pPr>
      <w:r w:rsidRPr="00F721FD">
        <w:t>Town of Port Headland</w:t>
      </w:r>
      <w:r w:rsidR="00C637B8">
        <w:t>.</w:t>
      </w:r>
    </w:p>
    <w:p w14:paraId="76AC0F7C" w14:textId="3377E6EA" w:rsidR="00881301" w:rsidRPr="00F721FD" w:rsidRDefault="00881301" w:rsidP="00E06782">
      <w:pPr>
        <w:pStyle w:val="ListParagraph"/>
        <w:numPr>
          <w:ilvl w:val="0"/>
          <w:numId w:val="1"/>
        </w:numPr>
      </w:pPr>
      <w:r w:rsidRPr="00F721FD">
        <w:t>Outdoors WA</w:t>
      </w:r>
      <w:r w:rsidR="00C637B8">
        <w:t>.</w:t>
      </w:r>
    </w:p>
    <w:p w14:paraId="7D0CA21C" w14:textId="19E26DC3" w:rsidR="00881301" w:rsidRPr="00F721FD" w:rsidRDefault="00881301" w:rsidP="00E06782">
      <w:pPr>
        <w:pStyle w:val="ListParagraph"/>
        <w:numPr>
          <w:ilvl w:val="0"/>
          <w:numId w:val="1"/>
        </w:numPr>
      </w:pPr>
      <w:r w:rsidRPr="00F721FD">
        <w:t>Parks and Leisure (WA)</w:t>
      </w:r>
      <w:r w:rsidR="00C637B8">
        <w:t>.</w:t>
      </w:r>
    </w:p>
    <w:p w14:paraId="1D58BBFD" w14:textId="1E9981A5" w:rsidR="00881301" w:rsidRPr="00F721FD" w:rsidRDefault="00881301" w:rsidP="00E06782">
      <w:pPr>
        <w:pStyle w:val="ListParagraph"/>
        <w:numPr>
          <w:ilvl w:val="0"/>
          <w:numId w:val="1"/>
        </w:numPr>
      </w:pPr>
      <w:r w:rsidRPr="00F721FD">
        <w:t>WA Sports Federation</w:t>
      </w:r>
      <w:r w:rsidR="00C637B8">
        <w:t>.</w:t>
      </w:r>
    </w:p>
    <w:p w14:paraId="675D0629" w14:textId="24BFC1D5" w:rsidR="00EC5DCA" w:rsidRPr="00F721FD" w:rsidRDefault="00EC5DCA" w:rsidP="00E06782">
      <w:pPr>
        <w:pStyle w:val="ListParagraph"/>
        <w:numPr>
          <w:ilvl w:val="0"/>
          <w:numId w:val="1"/>
        </w:numPr>
      </w:pPr>
      <w:r w:rsidRPr="00F721FD">
        <w:t>City of Bunbury</w:t>
      </w:r>
      <w:r w:rsidR="00C637B8">
        <w:t>.</w:t>
      </w:r>
    </w:p>
    <w:p w14:paraId="6FC1B2EB" w14:textId="160456F5" w:rsidR="00881301" w:rsidRDefault="00FD7161" w:rsidP="00E06782">
      <w:pPr>
        <w:pStyle w:val="ListParagraph"/>
        <w:numPr>
          <w:ilvl w:val="0"/>
          <w:numId w:val="1"/>
        </w:numPr>
      </w:pPr>
      <w:r w:rsidRPr="00F721FD">
        <w:t>Bushwalking WA.</w:t>
      </w:r>
    </w:p>
    <w:p w14:paraId="53CF815D" w14:textId="77777777" w:rsidR="00172CFB" w:rsidRDefault="00172CFB">
      <w:pPr>
        <w:sectPr w:rsidR="00172CFB" w:rsidSect="003E02EA">
          <w:type w:val="continuous"/>
          <w:pgSz w:w="11906" w:h="16838"/>
          <w:pgMar w:top="1440" w:right="1440" w:bottom="1440" w:left="1440" w:header="708" w:footer="708" w:gutter="0"/>
          <w:cols w:num="2" w:space="708"/>
          <w:docGrid w:linePitch="360"/>
        </w:sectPr>
      </w:pPr>
    </w:p>
    <w:p w14:paraId="3F88C374" w14:textId="2670E35F" w:rsidR="002E1F2F" w:rsidRPr="00F721FD" w:rsidRDefault="002E1F2F" w:rsidP="003E02EA"/>
    <w:p w14:paraId="62466309" w14:textId="455AAC9E" w:rsidR="005645A6" w:rsidRPr="00F721FD" w:rsidRDefault="005645A6" w:rsidP="003E02EA">
      <w:pPr>
        <w:pStyle w:val="Heading2"/>
      </w:pPr>
      <w:bookmarkStart w:id="7" w:name="_Toc1571667"/>
      <w:r w:rsidRPr="00F721FD">
        <w:t>Workshops</w:t>
      </w:r>
      <w:r w:rsidR="00096C0F">
        <w:t xml:space="preserve"> and </w:t>
      </w:r>
      <w:r w:rsidR="00F870FE">
        <w:t>l</w:t>
      </w:r>
      <w:r w:rsidR="00096C0F">
        <w:t>eadership</w:t>
      </w:r>
      <w:r w:rsidR="00F870FE">
        <w:t xml:space="preserve"> fo</w:t>
      </w:r>
      <w:r w:rsidR="00096C0F">
        <w:t>rums</w:t>
      </w:r>
      <w:bookmarkEnd w:id="7"/>
    </w:p>
    <w:p w14:paraId="497D05F4" w14:textId="63B2F1E4" w:rsidR="0002425A" w:rsidRDefault="001A01F1" w:rsidP="00F721FD">
      <w:r>
        <w:t>A</w:t>
      </w:r>
      <w:r w:rsidR="0060442C" w:rsidRPr="00F721FD">
        <w:t xml:space="preserve"> series of workshops</w:t>
      </w:r>
      <w:r>
        <w:t xml:space="preserve"> and leadership forums</w:t>
      </w:r>
      <w:r w:rsidR="0060442C" w:rsidRPr="00F721FD">
        <w:t xml:space="preserve"> </w:t>
      </w:r>
      <w:r>
        <w:t xml:space="preserve">were </w:t>
      </w:r>
      <w:r w:rsidR="0060442C" w:rsidRPr="00F721FD">
        <w:t xml:space="preserve">held across the </w:t>
      </w:r>
      <w:r w:rsidR="00C637B8">
        <w:t>S</w:t>
      </w:r>
      <w:r w:rsidR="0060442C" w:rsidRPr="00F721FD">
        <w:t>tate</w:t>
      </w:r>
      <w:r w:rsidR="006B02C0">
        <w:t xml:space="preserve"> between 14 and </w:t>
      </w:r>
      <w:r w:rsidR="00E7516A">
        <w:t>30</w:t>
      </w:r>
      <w:r w:rsidR="006B02C0">
        <w:t xml:space="preserve"> November 201</w:t>
      </w:r>
      <w:r w:rsidR="0002425A">
        <w:t>8.</w:t>
      </w:r>
      <w:r w:rsidR="00143671">
        <w:t xml:space="preserve"> </w:t>
      </w:r>
      <w:r w:rsidR="00C637B8">
        <w:t>More than</w:t>
      </w:r>
      <w:r w:rsidR="00C637B8" w:rsidRPr="00F721FD">
        <w:t xml:space="preserve"> </w:t>
      </w:r>
      <w:r w:rsidR="00143671" w:rsidRPr="00F721FD">
        <w:t>150 participants</w:t>
      </w:r>
      <w:r w:rsidR="00143671">
        <w:t xml:space="preserve"> attended the workshops. </w:t>
      </w:r>
    </w:p>
    <w:p w14:paraId="4331804F" w14:textId="63ACEF71" w:rsidR="00096C0F" w:rsidRDefault="0002425A" w:rsidP="00C11DDE">
      <w:pPr>
        <w:pStyle w:val="DotPoints-level1"/>
      </w:pPr>
      <w:r>
        <w:t xml:space="preserve">Three metropolitan workshops </w:t>
      </w:r>
      <w:r w:rsidR="0060604A">
        <w:t xml:space="preserve">were held, with the WA Sports Federation, Parks and Leisure Australia (WA) and the department </w:t>
      </w:r>
      <w:r w:rsidR="00C11DDE">
        <w:t>each</w:t>
      </w:r>
      <w:r w:rsidR="0060604A">
        <w:t xml:space="preserve"> hosting a </w:t>
      </w:r>
      <w:r w:rsidR="00C11DDE">
        <w:t xml:space="preserve">session. </w:t>
      </w:r>
    </w:p>
    <w:p w14:paraId="4D01DF66" w14:textId="7364B661" w:rsidR="00B60F8D" w:rsidRDefault="00C11DDE" w:rsidP="000D2A8E">
      <w:pPr>
        <w:pStyle w:val="DotPoints-level1"/>
      </w:pPr>
      <w:r>
        <w:t>Four regional workshops were hosted by the department in Bunbury, Albany, Geraldton and Broome.</w:t>
      </w:r>
    </w:p>
    <w:p w14:paraId="64EDBFFD" w14:textId="191CE590" w:rsidR="00B56DA9" w:rsidRDefault="00B56DA9" w:rsidP="00B56DA9">
      <w:pPr>
        <w:pStyle w:val="DotPoints-level1"/>
      </w:pPr>
      <w:r>
        <w:t xml:space="preserve">The Minister for Sport and Recreation hosted a leadership forum with selected industry representatives. </w:t>
      </w:r>
    </w:p>
    <w:p w14:paraId="76FD6614" w14:textId="68254277" w:rsidR="00C11DDE" w:rsidRDefault="00B60F8D" w:rsidP="00C11DDE">
      <w:pPr>
        <w:pStyle w:val="DotPoints-level1"/>
      </w:pPr>
      <w:r>
        <w:t>Meetings</w:t>
      </w:r>
      <w:r w:rsidR="0029080C">
        <w:t xml:space="preserve"> were held with the </w:t>
      </w:r>
      <w:r w:rsidR="0029080C" w:rsidRPr="00F721FD">
        <w:t>Technical</w:t>
      </w:r>
      <w:r w:rsidR="008B0745">
        <w:t xml:space="preserve"> Reference Group</w:t>
      </w:r>
      <w:r w:rsidR="0029080C" w:rsidRPr="00F721FD">
        <w:t xml:space="preserve"> and Industry Reference Group</w:t>
      </w:r>
      <w:r w:rsidR="0029080C">
        <w:t xml:space="preserve">. </w:t>
      </w:r>
    </w:p>
    <w:p w14:paraId="7FA114BB" w14:textId="6A88DB8A" w:rsidR="0050209B" w:rsidRDefault="0050209B" w:rsidP="003E02EA">
      <w:pPr>
        <w:jc w:val="left"/>
      </w:pPr>
    </w:p>
    <w:p w14:paraId="4528EC6B" w14:textId="3163AD2A" w:rsidR="00763833" w:rsidRDefault="00053845" w:rsidP="00400A07">
      <w:pPr>
        <w:pStyle w:val="Heading3"/>
        <w:tabs>
          <w:tab w:val="left" w:pos="5160"/>
        </w:tabs>
      </w:pPr>
      <w:bookmarkStart w:id="8" w:name="_Toc1571668"/>
      <w:r>
        <w:t xml:space="preserve">Workshop </w:t>
      </w:r>
      <w:r w:rsidR="00C56D36">
        <w:t>p</w:t>
      </w:r>
      <w:r w:rsidR="00A61653" w:rsidRPr="00B62952">
        <w:t>rocess</w:t>
      </w:r>
      <w:bookmarkEnd w:id="8"/>
    </w:p>
    <w:p w14:paraId="1D04DFC2" w14:textId="3F98BD65" w:rsidR="0095105A" w:rsidRDefault="00763833" w:rsidP="00763833">
      <w:r w:rsidRPr="00F721FD">
        <w:t xml:space="preserve">The </w:t>
      </w:r>
      <w:r>
        <w:t>workshop</w:t>
      </w:r>
      <w:r w:rsidR="00F7414D">
        <w:t>s were</w:t>
      </w:r>
      <w:r>
        <w:t xml:space="preserve"> </w:t>
      </w:r>
      <w:r w:rsidR="005E0D91">
        <w:t xml:space="preserve">facilitated </w:t>
      </w:r>
      <w:r w:rsidR="00C13ABC">
        <w:t>in a consistent manner to</w:t>
      </w:r>
      <w:r w:rsidR="005478F7">
        <w:t xml:space="preserve"> ensure streamlined </w:t>
      </w:r>
      <w:r w:rsidR="00034471">
        <w:t>discussions</w:t>
      </w:r>
      <w:r w:rsidR="00C637B8">
        <w:t xml:space="preserve">. Notwithstanding, </w:t>
      </w:r>
      <w:r w:rsidR="000A1A5C">
        <w:t>a</w:t>
      </w:r>
      <w:r w:rsidR="005478F7">
        <w:t xml:space="preserve"> </w:t>
      </w:r>
      <w:r w:rsidR="00034471">
        <w:t xml:space="preserve">diversity </w:t>
      </w:r>
      <w:r w:rsidR="00C637B8">
        <w:t xml:space="preserve">of </w:t>
      </w:r>
      <w:r w:rsidR="00034471">
        <w:t>responses</w:t>
      </w:r>
      <w:r w:rsidR="002A2F2F">
        <w:t xml:space="preserve"> </w:t>
      </w:r>
      <w:r w:rsidR="00C637B8">
        <w:t xml:space="preserve">was </w:t>
      </w:r>
      <w:r w:rsidR="002A2F2F">
        <w:t>received</w:t>
      </w:r>
      <w:r w:rsidR="00C637B8">
        <w:t xml:space="preserve">. </w:t>
      </w:r>
    </w:p>
    <w:p w14:paraId="0AB550B1" w14:textId="7A4E4B54" w:rsidR="00F7414D" w:rsidRDefault="00850973" w:rsidP="00F7414D">
      <w:r>
        <w:t xml:space="preserve">On enrolment, </w:t>
      </w:r>
      <w:r w:rsidR="19FB91B8">
        <w:t xml:space="preserve">participants received a copy of Common Ground and a </w:t>
      </w:r>
      <w:r w:rsidR="00C637B8">
        <w:t>workshop pack</w:t>
      </w:r>
      <w:r w:rsidR="19FB91B8">
        <w:t xml:space="preserve">. The workshop pack contained a summary of the </w:t>
      </w:r>
      <w:r w:rsidR="00C637B8">
        <w:t>‘</w:t>
      </w:r>
      <w:r w:rsidR="19FB91B8" w:rsidRPr="00196819">
        <w:rPr>
          <w:iCs/>
        </w:rPr>
        <w:t>17</w:t>
      </w:r>
      <w:r w:rsidR="19FB91B8" w:rsidRPr="00C637B8">
        <w:t xml:space="preserve"> </w:t>
      </w:r>
      <w:r w:rsidR="19FB91B8" w:rsidRPr="00196819">
        <w:rPr>
          <w:iCs/>
        </w:rPr>
        <w:t>areas for further discussion</w:t>
      </w:r>
      <w:r w:rsidR="00C637B8">
        <w:rPr>
          <w:iCs/>
        </w:rPr>
        <w:t>’</w:t>
      </w:r>
      <w:r w:rsidR="19FB91B8">
        <w:t xml:space="preserve"> </w:t>
      </w:r>
      <w:r w:rsidR="009C5948">
        <w:t xml:space="preserve">detailed in Common Ground, </w:t>
      </w:r>
      <w:r w:rsidR="19FB91B8">
        <w:t>and background information on the department</w:t>
      </w:r>
      <w:r w:rsidR="002A2F2F">
        <w:t>’</w:t>
      </w:r>
      <w:r w:rsidR="19FB91B8">
        <w:t xml:space="preserve">s current funding programs. </w:t>
      </w:r>
    </w:p>
    <w:p w14:paraId="1D7EC5DB" w14:textId="7F085DC2" w:rsidR="00F7414D" w:rsidRDefault="009C742B" w:rsidP="00763833">
      <w:r>
        <w:t>Participants were</w:t>
      </w:r>
      <w:r w:rsidR="00F7414D">
        <w:t xml:space="preserve"> encouraged </w:t>
      </w:r>
      <w:r>
        <w:t>to</w:t>
      </w:r>
      <w:r w:rsidR="00F7414D">
        <w:t xml:space="preserve"> review and prepare responses prior to attending the workshop. </w:t>
      </w:r>
    </w:p>
    <w:p w14:paraId="770A4337" w14:textId="5F8562F0" w:rsidR="00086BB8" w:rsidRDefault="00143671" w:rsidP="00143671">
      <w:r>
        <w:t xml:space="preserve">The </w:t>
      </w:r>
      <w:r w:rsidR="00C637B8">
        <w:t xml:space="preserve">leadership forums </w:t>
      </w:r>
      <w:r>
        <w:t xml:space="preserve">and </w:t>
      </w:r>
      <w:r w:rsidR="00C637B8">
        <w:t xml:space="preserve">reference group </w:t>
      </w:r>
      <w:r w:rsidR="00FA5394">
        <w:t>meetings</w:t>
      </w:r>
      <w:r>
        <w:t xml:space="preserve"> </w:t>
      </w:r>
      <w:r w:rsidR="0094791A">
        <w:t xml:space="preserve">also </w:t>
      </w:r>
      <w:r>
        <w:t>used the workshop pack to guide conversation</w:t>
      </w:r>
      <w:r w:rsidR="00920030">
        <w:t>.</w:t>
      </w:r>
      <w:r>
        <w:t xml:space="preserve"> </w:t>
      </w:r>
    </w:p>
    <w:p w14:paraId="0942B779" w14:textId="52176E76" w:rsidR="00143671" w:rsidRPr="00F721FD" w:rsidRDefault="00086BB8" w:rsidP="00086BB8">
      <w:pPr>
        <w:jc w:val="left"/>
      </w:pPr>
      <w:r>
        <w:br w:type="page"/>
      </w:r>
    </w:p>
    <w:p w14:paraId="56CA4686" w14:textId="3E570109" w:rsidR="00763833" w:rsidRPr="00F721FD" w:rsidRDefault="00763833" w:rsidP="00763833">
      <w:r w:rsidRPr="00F721FD">
        <w:lastRenderedPageBreak/>
        <w:t xml:space="preserve">Each </w:t>
      </w:r>
      <w:r w:rsidR="00034471">
        <w:t>w</w:t>
      </w:r>
      <w:r w:rsidRPr="00F721FD">
        <w:t>orkshop had three sessions</w:t>
      </w:r>
      <w:r w:rsidR="00C637B8">
        <w:t xml:space="preserve">, with </w:t>
      </w:r>
      <w:r w:rsidR="007B5542">
        <w:t>the discussions</w:t>
      </w:r>
      <w:r w:rsidR="00C637B8">
        <w:t xml:space="preserve"> that arose</w:t>
      </w:r>
      <w:r w:rsidR="007B5542">
        <w:t xml:space="preserve"> through these sessions used to guide the findings </w:t>
      </w:r>
      <w:r w:rsidR="007E0CFB">
        <w:t xml:space="preserve">and recommendations </w:t>
      </w:r>
      <w:r w:rsidR="007B5542">
        <w:t xml:space="preserve">within this document. </w:t>
      </w:r>
    </w:p>
    <w:p w14:paraId="2900557A" w14:textId="0F45B81E" w:rsidR="00763833" w:rsidRPr="003E02EA" w:rsidRDefault="00763833" w:rsidP="00E06782">
      <w:pPr>
        <w:pStyle w:val="ListParagraph"/>
        <w:numPr>
          <w:ilvl w:val="0"/>
          <w:numId w:val="3"/>
        </w:numPr>
        <w:rPr>
          <w:b/>
        </w:rPr>
      </w:pPr>
      <w:r w:rsidRPr="003E02EA">
        <w:rPr>
          <w:b/>
        </w:rPr>
        <w:t>Session 1</w:t>
      </w:r>
      <w:r w:rsidR="005478F7" w:rsidRPr="003E02EA">
        <w:rPr>
          <w:b/>
        </w:rPr>
        <w:t>: d</w:t>
      </w:r>
      <w:r w:rsidR="00034471" w:rsidRPr="003E02EA">
        <w:rPr>
          <w:b/>
        </w:rPr>
        <w:t xml:space="preserve">iscussion of the </w:t>
      </w:r>
      <w:r w:rsidR="00C637B8">
        <w:rPr>
          <w:b/>
        </w:rPr>
        <w:t>‘</w:t>
      </w:r>
      <w:r w:rsidR="00034471" w:rsidRPr="00A83B5B">
        <w:rPr>
          <w:b/>
        </w:rPr>
        <w:t xml:space="preserve">17 </w:t>
      </w:r>
      <w:r w:rsidR="00C637B8">
        <w:rPr>
          <w:b/>
        </w:rPr>
        <w:t>a</w:t>
      </w:r>
      <w:r w:rsidR="00C637B8" w:rsidRPr="00A83B5B">
        <w:rPr>
          <w:b/>
        </w:rPr>
        <w:t xml:space="preserve">reas </w:t>
      </w:r>
      <w:r w:rsidR="00C637B8">
        <w:rPr>
          <w:b/>
        </w:rPr>
        <w:t>for</w:t>
      </w:r>
      <w:r w:rsidRPr="00A83B5B">
        <w:rPr>
          <w:b/>
        </w:rPr>
        <w:t xml:space="preserve"> </w:t>
      </w:r>
      <w:r w:rsidR="00C637B8">
        <w:rPr>
          <w:b/>
        </w:rPr>
        <w:t>f</w:t>
      </w:r>
      <w:r w:rsidR="00C637B8" w:rsidRPr="00A83B5B">
        <w:rPr>
          <w:b/>
        </w:rPr>
        <w:t xml:space="preserve">urther </w:t>
      </w:r>
      <w:r w:rsidR="00C637B8">
        <w:rPr>
          <w:b/>
        </w:rPr>
        <w:t>d</w:t>
      </w:r>
      <w:r w:rsidR="00C637B8" w:rsidRPr="00A83B5B">
        <w:rPr>
          <w:b/>
        </w:rPr>
        <w:t>iscussion</w:t>
      </w:r>
      <w:r w:rsidR="00C637B8">
        <w:rPr>
          <w:b/>
        </w:rPr>
        <w:t>’</w:t>
      </w:r>
      <w:r w:rsidR="00C637B8" w:rsidRPr="003E02EA">
        <w:rPr>
          <w:b/>
        </w:rPr>
        <w:t xml:space="preserve"> </w:t>
      </w:r>
      <w:r w:rsidR="00034471" w:rsidRPr="003E02EA">
        <w:rPr>
          <w:b/>
        </w:rPr>
        <w:t>(</w:t>
      </w:r>
      <w:r w:rsidRPr="003E02EA">
        <w:rPr>
          <w:b/>
        </w:rPr>
        <w:t>Common Ground</w:t>
      </w:r>
      <w:r w:rsidR="00034471" w:rsidRPr="003E02EA">
        <w:rPr>
          <w:b/>
        </w:rPr>
        <w:t>)</w:t>
      </w:r>
      <w:r w:rsidRPr="003E02EA">
        <w:rPr>
          <w:b/>
        </w:rPr>
        <w:t xml:space="preserve">. </w:t>
      </w:r>
    </w:p>
    <w:p w14:paraId="1D2A4C7B" w14:textId="77777777" w:rsidR="001746BA" w:rsidRDefault="001F41E9" w:rsidP="001F41E9">
      <w:r w:rsidRPr="00F721FD">
        <w:t xml:space="preserve">As the duration of the workshop would not allow all </w:t>
      </w:r>
      <w:r w:rsidRPr="00A83B5B">
        <w:t>17 are</w:t>
      </w:r>
      <w:r w:rsidRPr="00475A71">
        <w:t>as</w:t>
      </w:r>
      <w:r w:rsidRPr="00F721FD">
        <w:t xml:space="preserve"> to be explored </w:t>
      </w:r>
      <w:r>
        <w:t>in detail, a</w:t>
      </w:r>
      <w:r w:rsidRPr="00F721FD">
        <w:t xml:space="preserve"> prioritis</w:t>
      </w:r>
      <w:r>
        <w:t xml:space="preserve">ation process was completed to determine the top </w:t>
      </w:r>
      <w:r w:rsidR="00E10D76">
        <w:t>five</w:t>
      </w:r>
      <w:r>
        <w:t xml:space="preserve"> areas of agreement per workshop. </w:t>
      </w:r>
    </w:p>
    <w:p w14:paraId="66A8B325" w14:textId="77777777" w:rsidR="002B1E2A" w:rsidRDefault="001F41E9" w:rsidP="001F41E9">
      <w:r>
        <w:t xml:space="preserve">This was completed first individually, by table and then as a collective workshop. </w:t>
      </w:r>
      <w:r w:rsidR="008642D9">
        <w:t>These five agreed areas were then discussed in detail.</w:t>
      </w:r>
      <w:r w:rsidR="00E10D76">
        <w:t xml:space="preserve"> </w:t>
      </w:r>
    </w:p>
    <w:p w14:paraId="3E15CE09" w14:textId="693C002F" w:rsidR="008642D9" w:rsidRDefault="00D6141A" w:rsidP="001F41E9">
      <w:r>
        <w:t xml:space="preserve">These discussions have been collated into </w:t>
      </w:r>
      <w:r w:rsidRPr="004817FC">
        <w:t xml:space="preserve">strategic findings for the </w:t>
      </w:r>
      <w:r w:rsidR="00F220C2" w:rsidRPr="004817FC">
        <w:t>reflection</w:t>
      </w:r>
      <w:r w:rsidR="007E0CFB" w:rsidRPr="004817FC">
        <w:t xml:space="preserve"> of the</w:t>
      </w:r>
      <w:r w:rsidR="007E0CFB">
        <w:t xml:space="preserve"> department and industry. </w:t>
      </w:r>
    </w:p>
    <w:p w14:paraId="0CDBF826" w14:textId="19E4DA1A" w:rsidR="00763833" w:rsidRPr="003E02EA" w:rsidRDefault="00763833" w:rsidP="00E06782">
      <w:pPr>
        <w:pStyle w:val="ListParagraph"/>
        <w:numPr>
          <w:ilvl w:val="0"/>
          <w:numId w:val="3"/>
        </w:numPr>
        <w:rPr>
          <w:b/>
        </w:rPr>
      </w:pPr>
      <w:r w:rsidRPr="003E02EA">
        <w:rPr>
          <w:b/>
        </w:rPr>
        <w:t>Session 2</w:t>
      </w:r>
      <w:r w:rsidR="005478F7" w:rsidRPr="003E02EA">
        <w:rPr>
          <w:b/>
        </w:rPr>
        <w:t>:</w:t>
      </w:r>
      <w:r w:rsidRPr="003E02EA">
        <w:rPr>
          <w:b/>
        </w:rPr>
        <w:t xml:space="preserve"> </w:t>
      </w:r>
      <w:r w:rsidR="005478F7" w:rsidRPr="003E02EA">
        <w:rPr>
          <w:b/>
        </w:rPr>
        <w:t>review of the</w:t>
      </w:r>
      <w:r w:rsidRPr="003E02EA">
        <w:rPr>
          <w:b/>
        </w:rPr>
        <w:t xml:space="preserve"> </w:t>
      </w:r>
      <w:r w:rsidR="00B824C6">
        <w:rPr>
          <w:b/>
        </w:rPr>
        <w:t>d</w:t>
      </w:r>
      <w:r w:rsidRPr="003E02EA">
        <w:rPr>
          <w:b/>
        </w:rPr>
        <w:t>epartment</w:t>
      </w:r>
      <w:r w:rsidR="00E7516A">
        <w:rPr>
          <w:b/>
        </w:rPr>
        <w:t>’</w:t>
      </w:r>
      <w:r w:rsidR="005478F7" w:rsidRPr="003E02EA">
        <w:rPr>
          <w:b/>
        </w:rPr>
        <w:t>s funding</w:t>
      </w:r>
      <w:r w:rsidRPr="003E02EA">
        <w:rPr>
          <w:b/>
        </w:rPr>
        <w:t xml:space="preserve"> program</w:t>
      </w:r>
      <w:r w:rsidR="005478F7" w:rsidRPr="003E02EA">
        <w:rPr>
          <w:b/>
        </w:rPr>
        <w:t xml:space="preserve">s. </w:t>
      </w:r>
    </w:p>
    <w:p w14:paraId="26C85039" w14:textId="77777777" w:rsidR="008660FE" w:rsidRDefault="008642D9" w:rsidP="003E02EA">
      <w:r>
        <w:t xml:space="preserve">This session involved participants reviewing the department’s existing funding programs for their views on relevance, complexity and areas </w:t>
      </w:r>
      <w:r w:rsidR="00797633">
        <w:t>of</w:t>
      </w:r>
      <w:r w:rsidR="008660FE">
        <w:t xml:space="preserve"> improvement. </w:t>
      </w:r>
      <w:r>
        <w:t xml:space="preserve">Participants in the workshops were able to prioritise the order and duration of discussion on each program. </w:t>
      </w:r>
    </w:p>
    <w:p w14:paraId="05DD8B52" w14:textId="3AD7C802" w:rsidR="008642D9" w:rsidRPr="00F721FD" w:rsidRDefault="00D6141A" w:rsidP="003E02EA">
      <w:r>
        <w:t>The</w:t>
      </w:r>
      <w:r w:rsidR="001D666E">
        <w:t>se</w:t>
      </w:r>
      <w:r>
        <w:t xml:space="preserve"> discussions </w:t>
      </w:r>
      <w:r w:rsidR="001D666E">
        <w:t>have been collated into operational recommendations for the department</w:t>
      </w:r>
      <w:r w:rsidR="00475A71">
        <w:t>’</w:t>
      </w:r>
      <w:r w:rsidR="001D666E">
        <w:t xml:space="preserve">s </w:t>
      </w:r>
      <w:r w:rsidR="00475A71">
        <w:t xml:space="preserve">action and will </w:t>
      </w:r>
      <w:r w:rsidR="001D666E">
        <w:t>be tested with the industry</w:t>
      </w:r>
      <w:r w:rsidR="00496887">
        <w:t>.</w:t>
      </w:r>
      <w:r w:rsidR="001D666E">
        <w:t xml:space="preserve"> </w:t>
      </w:r>
    </w:p>
    <w:p w14:paraId="6DCB8093" w14:textId="3594CB7B" w:rsidR="00763833" w:rsidRPr="003E02EA" w:rsidRDefault="00763833" w:rsidP="00E06782">
      <w:pPr>
        <w:pStyle w:val="ListParagraph"/>
        <w:numPr>
          <w:ilvl w:val="0"/>
          <w:numId w:val="3"/>
        </w:numPr>
        <w:rPr>
          <w:b/>
        </w:rPr>
      </w:pPr>
      <w:r w:rsidRPr="003E02EA">
        <w:rPr>
          <w:b/>
        </w:rPr>
        <w:t>Session 3</w:t>
      </w:r>
      <w:r w:rsidR="005478F7" w:rsidRPr="003E02EA">
        <w:rPr>
          <w:b/>
        </w:rPr>
        <w:t xml:space="preserve">: discussion of </w:t>
      </w:r>
      <w:r w:rsidRPr="003E02EA">
        <w:rPr>
          <w:b/>
        </w:rPr>
        <w:t xml:space="preserve">gaps in </w:t>
      </w:r>
      <w:r w:rsidR="00034471" w:rsidRPr="003E02EA">
        <w:rPr>
          <w:b/>
        </w:rPr>
        <w:t xml:space="preserve">current </w:t>
      </w:r>
      <w:r w:rsidR="005478F7" w:rsidRPr="003E02EA">
        <w:rPr>
          <w:b/>
        </w:rPr>
        <w:t xml:space="preserve">service </w:t>
      </w:r>
      <w:r w:rsidRPr="003E02EA">
        <w:rPr>
          <w:b/>
        </w:rPr>
        <w:t>provision.</w:t>
      </w:r>
    </w:p>
    <w:p w14:paraId="63E363D6" w14:textId="25E2DB56" w:rsidR="002B1E2A" w:rsidRDefault="008642D9" w:rsidP="00CB3FBA">
      <w:r w:rsidRPr="00F721FD">
        <w:t>This session enabled participants to discuss any gaps of programs and services provided by the depa</w:t>
      </w:r>
      <w:r w:rsidR="00D6141A">
        <w:t xml:space="preserve">rtment. </w:t>
      </w:r>
    </w:p>
    <w:p w14:paraId="283CB74C" w14:textId="4A869C8B" w:rsidR="008642D9" w:rsidRPr="003E02EA" w:rsidRDefault="00D6141A" w:rsidP="00CB3FBA">
      <w:pPr>
        <w:rPr>
          <w:i/>
        </w:rPr>
      </w:pPr>
      <w:r>
        <w:t xml:space="preserve">The department has considered the identified </w:t>
      </w:r>
      <w:r w:rsidR="002B1E2A">
        <w:t xml:space="preserve">gaps and has recommended </w:t>
      </w:r>
      <w:r w:rsidR="003A3BCB">
        <w:t>new approaches</w:t>
      </w:r>
      <w:r w:rsidR="002B1E2A">
        <w:t xml:space="preserve"> </w:t>
      </w:r>
      <w:r w:rsidR="007E0CFB">
        <w:t xml:space="preserve">as a </w:t>
      </w:r>
      <w:r w:rsidR="00450625">
        <w:t>respon</w:t>
      </w:r>
      <w:r w:rsidR="007E0CFB">
        <w:t>se</w:t>
      </w:r>
      <w:r w:rsidR="00450625">
        <w:t xml:space="preserve"> to these gaps. These will be tested with the industry for bearing before implementation. </w:t>
      </w:r>
    </w:p>
    <w:p w14:paraId="5F0C5E88" w14:textId="1F5B255C" w:rsidR="00223E0D" w:rsidRDefault="00223E0D" w:rsidP="00F27EC7">
      <w:pPr>
        <w:pStyle w:val="Mainbodytext"/>
      </w:pPr>
    </w:p>
    <w:p w14:paraId="52077B85" w14:textId="3DDFF745" w:rsidR="00536B62" w:rsidRDefault="00536B62" w:rsidP="003559AA">
      <w:pPr>
        <w:pStyle w:val="Heading1"/>
      </w:pPr>
      <w:bookmarkStart w:id="9" w:name="_Toc1571669"/>
      <w:r>
        <w:t xml:space="preserve">Review of areas </w:t>
      </w:r>
      <w:r w:rsidR="007E0CFB">
        <w:t>for</w:t>
      </w:r>
      <w:r>
        <w:t xml:space="preserve"> further discussion</w:t>
      </w:r>
      <w:bookmarkEnd w:id="9"/>
      <w:r>
        <w:t xml:space="preserve"> </w:t>
      </w:r>
    </w:p>
    <w:p w14:paraId="659B26D3" w14:textId="77777777" w:rsidR="00536B62" w:rsidRPr="000D2A8E" w:rsidRDefault="00536B62" w:rsidP="003E02EA"/>
    <w:p w14:paraId="729621B8" w14:textId="0D0A036A" w:rsidR="00F7383B" w:rsidRDefault="00055F1F" w:rsidP="00F7383B">
      <w:pPr>
        <w:pStyle w:val="Heading2"/>
      </w:pPr>
      <w:bookmarkStart w:id="10" w:name="_Toc1571670"/>
      <w:r>
        <w:t>Context</w:t>
      </w:r>
      <w:bookmarkEnd w:id="10"/>
    </w:p>
    <w:p w14:paraId="3A4E7032" w14:textId="58A48CD1" w:rsidR="00FA54FF" w:rsidRDefault="00D2287A" w:rsidP="0059486C">
      <w:r>
        <w:t xml:space="preserve">The findings within this section of the report </w:t>
      </w:r>
      <w:r w:rsidR="00194133">
        <w:t>reflect</w:t>
      </w:r>
      <w:r w:rsidR="00A341CF">
        <w:t xml:space="preserve"> the discussions held between the department and the indus</w:t>
      </w:r>
      <w:r w:rsidR="00194133">
        <w:t xml:space="preserve">try during the consultation period. The findings have expanded upon the </w:t>
      </w:r>
      <w:r w:rsidR="00475A71">
        <w:t>‘</w:t>
      </w:r>
      <w:r w:rsidR="00886BD2" w:rsidRPr="00A83B5B">
        <w:t xml:space="preserve">17 </w:t>
      </w:r>
      <w:r w:rsidR="004D7461">
        <w:t>a</w:t>
      </w:r>
      <w:r w:rsidR="004D7461" w:rsidRPr="00A83B5B">
        <w:t xml:space="preserve">reas </w:t>
      </w:r>
      <w:r w:rsidR="000E3AA0" w:rsidRPr="00A83B5B">
        <w:t xml:space="preserve">for </w:t>
      </w:r>
      <w:r w:rsidR="004D7461">
        <w:t>f</w:t>
      </w:r>
      <w:r w:rsidR="004D7461" w:rsidRPr="00A83B5B">
        <w:t xml:space="preserve">urther </w:t>
      </w:r>
      <w:r w:rsidR="004D7461">
        <w:t>d</w:t>
      </w:r>
      <w:r w:rsidR="004D7461" w:rsidRPr="00A83B5B">
        <w:t>iscussion</w:t>
      </w:r>
      <w:r w:rsidR="004D7461">
        <w:t>’</w:t>
      </w:r>
      <w:r w:rsidR="00475A71">
        <w:t>, i</w:t>
      </w:r>
      <w:r w:rsidR="001F52FB">
        <w:t xml:space="preserve">dentified in the Common Ground discussion paper. </w:t>
      </w:r>
    </w:p>
    <w:p w14:paraId="4BF2A049" w14:textId="436C06AA" w:rsidR="00810764" w:rsidRDefault="00FA54FF" w:rsidP="0059486C">
      <w:r>
        <w:t xml:space="preserve">The findings have been grouped into </w:t>
      </w:r>
      <w:r w:rsidR="0059486C">
        <w:t>two themes</w:t>
      </w:r>
      <w:r w:rsidR="00810764">
        <w:t>:</w:t>
      </w:r>
    </w:p>
    <w:p w14:paraId="22488712" w14:textId="39771D64" w:rsidR="00FA54FF" w:rsidRDefault="00FA54FF" w:rsidP="00E06782">
      <w:pPr>
        <w:pStyle w:val="ListParagraph"/>
        <w:numPr>
          <w:ilvl w:val="0"/>
          <w:numId w:val="12"/>
        </w:numPr>
      </w:pPr>
      <w:r>
        <w:t xml:space="preserve">The relationship between the department and the industry. </w:t>
      </w:r>
    </w:p>
    <w:p w14:paraId="5FDD4C9D" w14:textId="0586C903" w:rsidR="00FA54FF" w:rsidRDefault="00FA54FF" w:rsidP="00E06782">
      <w:pPr>
        <w:pStyle w:val="ListParagraph"/>
        <w:numPr>
          <w:ilvl w:val="0"/>
          <w:numId w:val="12"/>
        </w:numPr>
      </w:pPr>
      <w:r>
        <w:t xml:space="preserve">The wider context and external influences. </w:t>
      </w:r>
    </w:p>
    <w:p w14:paraId="1EDA1F94" w14:textId="77777777" w:rsidR="006D6A2F" w:rsidRDefault="006D6A2F" w:rsidP="00D52C24"/>
    <w:p w14:paraId="6927F647" w14:textId="16F2F046" w:rsidR="004369E8" w:rsidRPr="00F721FD" w:rsidRDefault="00F32FE3" w:rsidP="00D52C24">
      <w:pPr>
        <w:pStyle w:val="Heading2"/>
      </w:pPr>
      <w:bookmarkStart w:id="11" w:name="_Toc1571671"/>
      <w:r w:rsidRPr="00F721FD">
        <w:lastRenderedPageBreak/>
        <w:t xml:space="preserve">The </w:t>
      </w:r>
      <w:r w:rsidR="00414900">
        <w:t>r</w:t>
      </w:r>
      <w:r w:rsidRPr="00F721FD">
        <w:t xml:space="preserve">elationship between the </w:t>
      </w:r>
      <w:r w:rsidR="00B824C6">
        <w:t>D</w:t>
      </w:r>
      <w:r w:rsidRPr="00F721FD">
        <w:t>epartment and Industry</w:t>
      </w:r>
      <w:bookmarkEnd w:id="11"/>
    </w:p>
    <w:p w14:paraId="0A72B1F9" w14:textId="5E3F883B" w:rsidR="00755694" w:rsidRPr="00F721FD" w:rsidRDefault="007B109B" w:rsidP="003E02EA">
      <w:pPr>
        <w:pStyle w:val="Heading3"/>
      </w:pPr>
      <w:bookmarkStart w:id="12" w:name="_Toc1571672"/>
      <w:r w:rsidRPr="00F721FD">
        <w:t xml:space="preserve">Are the department’s funding programs </w:t>
      </w:r>
      <w:r w:rsidR="00905AFE" w:rsidRPr="00F721FD">
        <w:t>appropriate</w:t>
      </w:r>
      <w:r w:rsidR="00DB0857">
        <w:rPr>
          <w:rStyle w:val="FootnoteReference"/>
        </w:rPr>
        <w:footnoteReference w:id="4"/>
      </w:r>
      <w:r w:rsidR="00905AFE" w:rsidRPr="00F721FD">
        <w:t xml:space="preserve"> to make</w:t>
      </w:r>
      <w:r w:rsidRPr="00F721FD">
        <w:t xml:space="preserve"> a difference to the industry?</w:t>
      </w:r>
      <w:bookmarkEnd w:id="12"/>
    </w:p>
    <w:p w14:paraId="26DBBCB9" w14:textId="579C37F9" w:rsidR="00B118B0" w:rsidRDefault="00B118B0" w:rsidP="00F721FD">
      <w:r w:rsidRPr="00B118B0">
        <w:t xml:space="preserve">This </w:t>
      </w:r>
      <w:r w:rsidR="00133EB8">
        <w:t>topic</w:t>
      </w:r>
      <w:r w:rsidRPr="00B118B0">
        <w:t xml:space="preserve"> area was listed in every consultation session, apart from one, as a top </w:t>
      </w:r>
      <w:r w:rsidR="00C51AD1">
        <w:t>five</w:t>
      </w:r>
      <w:r w:rsidRPr="00B118B0">
        <w:t xml:space="preserve"> priority and was ranked first in three out of</w:t>
      </w:r>
      <w:r>
        <w:t xml:space="preserve"> the</w:t>
      </w:r>
      <w:r w:rsidRPr="00B118B0">
        <w:t xml:space="preserve"> seven sessions.</w:t>
      </w:r>
    </w:p>
    <w:p w14:paraId="23315BDD" w14:textId="609FA610" w:rsidR="00AA7D6E" w:rsidRPr="0016472C" w:rsidRDefault="002201BB" w:rsidP="00F721FD">
      <w:r w:rsidRPr="002201BB">
        <w:t>Many organisations stated that</w:t>
      </w:r>
      <w:r w:rsidR="0043224F">
        <w:t xml:space="preserve"> the department</w:t>
      </w:r>
      <w:r w:rsidR="00C51AD1">
        <w:t>’</w:t>
      </w:r>
      <w:r w:rsidR="0043224F">
        <w:t>s funding help</w:t>
      </w:r>
      <w:r w:rsidR="00C51AD1">
        <w:t>s</w:t>
      </w:r>
      <w:r w:rsidR="0043224F">
        <w:t xml:space="preserve"> them develop their </w:t>
      </w:r>
      <w:r w:rsidR="007E0CFB">
        <w:t xml:space="preserve">capacity and </w:t>
      </w:r>
      <w:r w:rsidR="008249A8">
        <w:t>capabilities</w:t>
      </w:r>
      <w:r w:rsidR="007234EC">
        <w:t xml:space="preserve">, improve their professionalism </w:t>
      </w:r>
      <w:r w:rsidR="00716BCE">
        <w:t xml:space="preserve">and provide sport and recreation opportunities to the community. </w:t>
      </w:r>
      <w:r w:rsidR="00761CDD">
        <w:t>All</w:t>
      </w:r>
      <w:r w:rsidR="00716BCE">
        <w:t xml:space="preserve"> would be </w:t>
      </w:r>
      <w:r w:rsidR="00D934D4">
        <w:t xml:space="preserve">significantly </w:t>
      </w:r>
      <w:r w:rsidR="00716BCE">
        <w:t xml:space="preserve">impacted without funding through the </w:t>
      </w:r>
      <w:r w:rsidR="00716BCE" w:rsidRPr="0016472C">
        <w:t xml:space="preserve">department. </w:t>
      </w:r>
    </w:p>
    <w:p w14:paraId="5D413C3D" w14:textId="47268207" w:rsidR="00AA7D6E" w:rsidRPr="00F721FD" w:rsidRDefault="00AA7D6E" w:rsidP="00F721FD">
      <w:r w:rsidRPr="0016472C">
        <w:t xml:space="preserve">A consistent comment was that the department gathers a significant volume of data </w:t>
      </w:r>
      <w:r w:rsidR="00905AFE" w:rsidRPr="0016472C">
        <w:t>through its funding requirements</w:t>
      </w:r>
      <w:r w:rsidR="00B20EE0">
        <w:t xml:space="preserve">, </w:t>
      </w:r>
      <w:r w:rsidR="00905AFE" w:rsidRPr="0016472C">
        <w:t>through the application and acquittal processes</w:t>
      </w:r>
      <w:r w:rsidR="00B20EE0">
        <w:t xml:space="preserve">. It was consistently expressed that </w:t>
      </w:r>
      <w:r w:rsidR="00DF6196" w:rsidRPr="0016472C">
        <w:t xml:space="preserve">the impacts of this data collation </w:t>
      </w:r>
      <w:r w:rsidRPr="0016472C">
        <w:t xml:space="preserve">should be shared with the </w:t>
      </w:r>
      <w:r w:rsidR="006E55D8" w:rsidRPr="0016472C">
        <w:t>industry and used to advocate for the value of the funding programs.</w:t>
      </w:r>
      <w:r w:rsidR="006E55D8">
        <w:t xml:space="preserve"> </w:t>
      </w:r>
    </w:p>
    <w:p w14:paraId="26B4B605" w14:textId="7A806A62" w:rsidR="00B20EE0" w:rsidRDefault="00AA7D6E" w:rsidP="00F721FD">
      <w:r w:rsidRPr="00372F5C">
        <w:t xml:space="preserve">There was also a high level of conjecture as </w:t>
      </w:r>
      <w:r w:rsidRPr="000100A4">
        <w:t>to whether all sports should be funded, with calls for ‘professional sports</w:t>
      </w:r>
      <w:r w:rsidR="00272D8E" w:rsidRPr="000100A4">
        <w:rPr>
          <w:rStyle w:val="FootnoteReference"/>
        </w:rPr>
        <w:footnoteReference w:id="5"/>
      </w:r>
      <w:r w:rsidRPr="000100A4">
        <w:t xml:space="preserve">’ to either have reduced or no funding. </w:t>
      </w:r>
      <w:r w:rsidR="00905AFE" w:rsidRPr="000100A4">
        <w:t xml:space="preserve">While this </w:t>
      </w:r>
      <w:r w:rsidR="00E221B1">
        <w:t>view may be considered</w:t>
      </w:r>
      <w:r w:rsidR="00905AFE" w:rsidRPr="000100A4">
        <w:t xml:space="preserve"> </w:t>
      </w:r>
      <w:r w:rsidR="00E221B1">
        <w:t>subjective</w:t>
      </w:r>
      <w:r w:rsidR="007E0CFB">
        <w:t>,</w:t>
      </w:r>
      <w:r w:rsidR="00905AFE" w:rsidRPr="000100A4">
        <w:t xml:space="preserve"> it is consistent with the challenge stated in the Minister</w:t>
      </w:r>
      <w:r w:rsidR="000C66C4">
        <w:t xml:space="preserve"> for Sport and Recreation</w:t>
      </w:r>
      <w:r w:rsidR="00905AFE" w:rsidRPr="000100A4">
        <w:t xml:space="preserve">’s briefing in March 2018. </w:t>
      </w:r>
    </w:p>
    <w:p w14:paraId="321402F4" w14:textId="45C308C4" w:rsidR="00AA7D6E" w:rsidRPr="00F721FD" w:rsidRDefault="00AA7D6E" w:rsidP="00F721FD">
      <w:r w:rsidRPr="000100A4">
        <w:t>A counter-</w:t>
      </w:r>
      <w:r w:rsidR="004B0CDA" w:rsidRPr="000100A4">
        <w:t>point,</w:t>
      </w:r>
      <w:r w:rsidRPr="000100A4">
        <w:t xml:space="preserve"> </w:t>
      </w:r>
      <w:r w:rsidR="00B20EE0">
        <w:t xml:space="preserve">however, was that </w:t>
      </w:r>
      <w:r w:rsidRPr="000100A4">
        <w:t>the costs associated with the delivery of</w:t>
      </w:r>
      <w:r w:rsidR="007E0CFB">
        <w:t xml:space="preserve"> international and</w:t>
      </w:r>
      <w:r w:rsidRPr="000100A4">
        <w:t xml:space="preserve"> </w:t>
      </w:r>
      <w:r w:rsidRPr="00F721FD">
        <w:t>national competitions to organisation</w:t>
      </w:r>
      <w:r w:rsidR="00B20EE0">
        <w:t xml:space="preserve">s increases </w:t>
      </w:r>
      <w:r w:rsidR="002C53B8">
        <w:t>the need for financial support</w:t>
      </w:r>
      <w:r w:rsidRPr="00F721FD">
        <w:t>.</w:t>
      </w:r>
    </w:p>
    <w:p w14:paraId="297ED6C7" w14:textId="7B71EACF" w:rsidR="00F34E9C" w:rsidRDefault="00905AFE" w:rsidP="00F34E9C">
      <w:r w:rsidRPr="00F721FD">
        <w:t xml:space="preserve">Comments were also </w:t>
      </w:r>
      <w:r w:rsidR="00AA7D6E" w:rsidRPr="00F721FD">
        <w:t xml:space="preserve">made as to the appropriateness of servicing </w:t>
      </w:r>
      <w:r w:rsidR="00D156A6">
        <w:t>S</w:t>
      </w:r>
      <w:r w:rsidR="00AA7D6E" w:rsidRPr="00F721FD">
        <w:t>tate</w:t>
      </w:r>
      <w:r w:rsidR="0086748D">
        <w:t>-</w:t>
      </w:r>
      <w:r w:rsidR="00DB2B92" w:rsidRPr="00F721FD">
        <w:t>wide</w:t>
      </w:r>
      <w:r w:rsidR="0086748D">
        <w:t xml:space="preserve"> outcomes</w:t>
      </w:r>
      <w:r w:rsidR="00DB2B92" w:rsidRPr="00F721FD">
        <w:t>;</w:t>
      </w:r>
      <w:r w:rsidRPr="00F721FD">
        <w:t xml:space="preserve"> this expectation needs to be balanced by the capacity and capability of an organisation</w:t>
      </w:r>
      <w:r w:rsidR="0086748D">
        <w:t xml:space="preserve">. </w:t>
      </w:r>
      <w:r w:rsidR="00142D59">
        <w:t>This has been further exa</w:t>
      </w:r>
      <w:r w:rsidR="003E6CBD">
        <w:t xml:space="preserve">mined in the review of the Industry Investment Program. </w:t>
      </w:r>
    </w:p>
    <w:p w14:paraId="0C38A76A" w14:textId="22B9C40D" w:rsidR="006068DD" w:rsidRPr="006068DD" w:rsidRDefault="00E221B1" w:rsidP="00F34E9C">
      <w:r>
        <w:t xml:space="preserve">Additionally, it was indicated during the consultation process that </w:t>
      </w:r>
      <w:r w:rsidR="006068DD" w:rsidRPr="001A5DCF">
        <w:t xml:space="preserve">short funding terms and a focus on delivery of ‘sport’ rather </w:t>
      </w:r>
      <w:r w:rsidR="006068DD" w:rsidRPr="006068DD">
        <w:t>than participation limited organisations</w:t>
      </w:r>
      <w:r w:rsidR="00761CDD">
        <w:t>’</w:t>
      </w:r>
      <w:r w:rsidR="006068DD" w:rsidRPr="006068DD">
        <w:t xml:space="preserve"> ability to deliver sustainable change. </w:t>
      </w:r>
    </w:p>
    <w:p w14:paraId="2C5DD4F9" w14:textId="4BEDF2F8" w:rsidR="00F34E9C" w:rsidRPr="00F721FD" w:rsidRDefault="00055BF0" w:rsidP="003E02EA">
      <w:r>
        <w:t xml:space="preserve">Despite the stated challenge of having less funding available and being in a financially challenging environment there were many comments </w:t>
      </w:r>
      <w:r w:rsidR="000D3989">
        <w:t xml:space="preserve">suggesting </w:t>
      </w:r>
      <w:r>
        <w:t xml:space="preserve">the amount of </w:t>
      </w:r>
      <w:r w:rsidR="000D3989">
        <w:t xml:space="preserve">funding should be increased. </w:t>
      </w:r>
    </w:p>
    <w:p w14:paraId="4AF25FD9" w14:textId="77777777" w:rsidR="000C2CDB" w:rsidRPr="00F721FD" w:rsidRDefault="000C2CDB" w:rsidP="000D2A8E">
      <w:pPr>
        <w:pStyle w:val="Heading4"/>
      </w:pPr>
      <w:r w:rsidRPr="00F721FD">
        <w:t>Findings</w:t>
      </w:r>
    </w:p>
    <w:p w14:paraId="6D224757" w14:textId="6E7FA2A2" w:rsidR="00755694" w:rsidRPr="00F721FD" w:rsidRDefault="00905AFE" w:rsidP="00E06782">
      <w:pPr>
        <w:pStyle w:val="ListParagraph"/>
        <w:numPr>
          <w:ilvl w:val="0"/>
          <w:numId w:val="5"/>
        </w:numPr>
      </w:pPr>
      <w:r w:rsidRPr="00F721FD">
        <w:t xml:space="preserve">The investment in sport and recreation </w:t>
      </w:r>
      <w:r w:rsidR="000C2CDB" w:rsidRPr="00F721FD">
        <w:t>organisations</w:t>
      </w:r>
      <w:r w:rsidRPr="00F721FD">
        <w:t xml:space="preserve"> has made a difference to the industry </w:t>
      </w:r>
      <w:r w:rsidR="000C2CDB" w:rsidRPr="00F721FD">
        <w:t>either to ensure that operations continue or to improve the professionalism of an organisation.</w:t>
      </w:r>
    </w:p>
    <w:p w14:paraId="5717C30C" w14:textId="0E405AC5" w:rsidR="00755694" w:rsidRPr="00C10B4B" w:rsidRDefault="000C2CDB" w:rsidP="00E06782">
      <w:pPr>
        <w:pStyle w:val="ListParagraph"/>
        <w:numPr>
          <w:ilvl w:val="0"/>
          <w:numId w:val="5"/>
        </w:numPr>
      </w:pPr>
      <w:r w:rsidRPr="00C10B4B">
        <w:t xml:space="preserve">There is room for improvement in terms of the tailoring requirements </w:t>
      </w:r>
      <w:r w:rsidR="00886BD2" w:rsidRPr="00C10B4B">
        <w:t xml:space="preserve">for smaller organisations </w:t>
      </w:r>
      <w:r w:rsidRPr="00C10B4B">
        <w:t xml:space="preserve">and </w:t>
      </w:r>
      <w:r w:rsidR="00886BD2" w:rsidRPr="00C10B4B">
        <w:t xml:space="preserve">continuing to </w:t>
      </w:r>
      <w:r w:rsidRPr="00C10B4B">
        <w:t>review what core business is.</w:t>
      </w:r>
    </w:p>
    <w:p w14:paraId="13FAB757" w14:textId="764D1D38" w:rsidR="00154153" w:rsidRDefault="000C2CDB" w:rsidP="00E06782">
      <w:pPr>
        <w:pStyle w:val="ListParagraph"/>
        <w:numPr>
          <w:ilvl w:val="0"/>
          <w:numId w:val="5"/>
        </w:numPr>
      </w:pPr>
      <w:r w:rsidRPr="00F721FD">
        <w:t xml:space="preserve">Further work is required to review the appropriateness of funding programs against the </w:t>
      </w:r>
      <w:r w:rsidR="00C51AD1">
        <w:t>d</w:t>
      </w:r>
      <w:r w:rsidRPr="00F721FD">
        <w:t xml:space="preserve">epartment’s outcomes and </w:t>
      </w:r>
      <w:r w:rsidR="00761CDD">
        <w:t xml:space="preserve">State </w:t>
      </w:r>
      <w:r w:rsidRPr="00F721FD">
        <w:t>Government priorities</w:t>
      </w:r>
      <w:r w:rsidR="00983914">
        <w:t xml:space="preserve">. </w:t>
      </w:r>
    </w:p>
    <w:p w14:paraId="576D8220" w14:textId="1F1E2A1F" w:rsidR="007C65F0" w:rsidRPr="00091183" w:rsidRDefault="00C6229A" w:rsidP="00091183">
      <w:pPr>
        <w:pStyle w:val="Heading3"/>
      </w:pPr>
      <w:bookmarkStart w:id="13" w:name="_Toc1571673"/>
      <w:r>
        <w:lastRenderedPageBreak/>
        <w:t>D</w:t>
      </w:r>
      <w:r w:rsidR="000C2CDB" w:rsidRPr="00F721FD">
        <w:t>efine and deliver core business</w:t>
      </w:r>
      <w:r w:rsidR="007E6531">
        <w:rPr>
          <w:rStyle w:val="FootnoteReference"/>
        </w:rPr>
        <w:footnoteReference w:id="6"/>
      </w:r>
      <w:bookmarkEnd w:id="13"/>
    </w:p>
    <w:p w14:paraId="5D9DC4B9" w14:textId="110719A2" w:rsidR="008348BF" w:rsidRDefault="00E221B1" w:rsidP="008348BF">
      <w:pPr>
        <w:pStyle w:val="Mainbodytext"/>
      </w:pPr>
      <w:r>
        <w:t>During the consultation process, i</w:t>
      </w:r>
      <w:r w:rsidR="007C65F0" w:rsidRPr="007C65F0">
        <w:t xml:space="preserve">ndustry responses to what they </w:t>
      </w:r>
      <w:r w:rsidR="008348BF">
        <w:t>perceive</w:t>
      </w:r>
      <w:r w:rsidR="007C65F0" w:rsidRPr="007C65F0">
        <w:t xml:space="preserve"> as the </w:t>
      </w:r>
      <w:r w:rsidR="009A363F">
        <w:t>d</w:t>
      </w:r>
      <w:r w:rsidR="007C65F0" w:rsidRPr="007C65F0">
        <w:t xml:space="preserve">epartment’s core business </w:t>
      </w:r>
      <w:r w:rsidR="00C30449">
        <w:t>were</w:t>
      </w:r>
      <w:r w:rsidR="007C65F0" w:rsidRPr="007C65F0">
        <w:t xml:space="preserve"> </w:t>
      </w:r>
      <w:r w:rsidR="004B40E5">
        <w:t>relatively</w:t>
      </w:r>
      <w:r w:rsidR="007C65F0" w:rsidRPr="007C65F0">
        <w:t xml:space="preserve"> consistent among respondents. </w:t>
      </w:r>
      <w:r>
        <w:t>These</w:t>
      </w:r>
      <w:r w:rsidR="007C65F0" w:rsidRPr="007C65F0">
        <w:t xml:space="preserve"> </w:t>
      </w:r>
      <w:r w:rsidR="001861BE">
        <w:t>included</w:t>
      </w:r>
      <w:r w:rsidR="008348BF">
        <w:t>:</w:t>
      </w:r>
    </w:p>
    <w:p w14:paraId="15214234" w14:textId="1ECCD127" w:rsidR="007C65F0" w:rsidRPr="007C65F0" w:rsidRDefault="007C65F0" w:rsidP="003E02EA">
      <w:pPr>
        <w:pStyle w:val="DotPoints-level1"/>
      </w:pPr>
      <w:r w:rsidRPr="003E02EA">
        <w:rPr>
          <w:b/>
        </w:rPr>
        <w:t>Strategic direction</w:t>
      </w:r>
      <w:r w:rsidRPr="007C65F0">
        <w:t xml:space="preserve">: </w:t>
      </w:r>
      <w:r w:rsidR="000147DC">
        <w:t xml:space="preserve">provide </w:t>
      </w:r>
      <w:r w:rsidR="00AD78F0" w:rsidRPr="00F721FD">
        <w:rPr>
          <w:lang w:val="en-US"/>
        </w:rPr>
        <w:t>coordination</w:t>
      </w:r>
      <w:r w:rsidR="00CC1C7D">
        <w:rPr>
          <w:lang w:val="en-US"/>
        </w:rPr>
        <w:t xml:space="preserve"> between the agendas of</w:t>
      </w:r>
      <w:r w:rsidR="00AD78F0" w:rsidRPr="00F721FD">
        <w:rPr>
          <w:lang w:val="en-US"/>
        </w:rPr>
        <w:t xml:space="preserve"> </w:t>
      </w:r>
      <w:r w:rsidR="00761CDD">
        <w:rPr>
          <w:lang w:val="en-US"/>
        </w:rPr>
        <w:t>local, State and Federal Government</w:t>
      </w:r>
      <w:r w:rsidR="006E0E60">
        <w:rPr>
          <w:lang w:val="en-US"/>
        </w:rPr>
        <w:t>s</w:t>
      </w:r>
      <w:r w:rsidR="000147DC">
        <w:rPr>
          <w:lang w:val="en-US"/>
        </w:rPr>
        <w:t>,</w:t>
      </w:r>
      <w:r w:rsidR="00AD78F0" w:rsidRPr="00F721FD">
        <w:rPr>
          <w:lang w:val="en-US"/>
        </w:rPr>
        <w:t xml:space="preserve"> keep abreast of research and current trends</w:t>
      </w:r>
      <w:r w:rsidR="000147DC">
        <w:rPr>
          <w:lang w:val="en-US"/>
        </w:rPr>
        <w:t xml:space="preserve"> and provide direction </w:t>
      </w:r>
      <w:r w:rsidR="00B3695F">
        <w:rPr>
          <w:lang w:val="en-US"/>
        </w:rPr>
        <w:t xml:space="preserve">to the industry. </w:t>
      </w:r>
      <w:r w:rsidRPr="007C65F0">
        <w:t xml:space="preserve"> </w:t>
      </w:r>
    </w:p>
    <w:p w14:paraId="37F58495" w14:textId="0DF6B204" w:rsidR="007C65F0" w:rsidRPr="007C65F0" w:rsidRDefault="007C65F0" w:rsidP="003E02EA">
      <w:pPr>
        <w:pStyle w:val="DotPoints-level1"/>
      </w:pPr>
      <w:r w:rsidRPr="003E02EA">
        <w:rPr>
          <w:b/>
        </w:rPr>
        <w:t>Leadership</w:t>
      </w:r>
      <w:r w:rsidRPr="007C65F0">
        <w:t>: provide leadership and best practice support to the industry</w:t>
      </w:r>
      <w:r w:rsidR="00F5205E">
        <w:t xml:space="preserve">, </w:t>
      </w:r>
      <w:r w:rsidR="00C8294B" w:rsidRPr="00C8294B">
        <w:t xml:space="preserve">build the capacity of service providers, recognising that there is a significant variation in capability and capacity within the </w:t>
      </w:r>
      <w:r w:rsidR="00DF1B5B">
        <w:t>industry</w:t>
      </w:r>
      <w:r w:rsidR="00F5205E">
        <w:t>.</w:t>
      </w:r>
      <w:r w:rsidRPr="007C65F0">
        <w:t xml:space="preserve"> </w:t>
      </w:r>
    </w:p>
    <w:p w14:paraId="60EC0ABD" w14:textId="4C17EC4A" w:rsidR="007C65F0" w:rsidRPr="007C65F0" w:rsidRDefault="007C65F0" w:rsidP="003E02EA">
      <w:pPr>
        <w:pStyle w:val="DotPoints-level1"/>
      </w:pPr>
      <w:r w:rsidRPr="003E02EA">
        <w:rPr>
          <w:b/>
        </w:rPr>
        <w:t>Advocacy</w:t>
      </w:r>
      <w:r w:rsidRPr="007C65F0">
        <w:t xml:space="preserve">: advocate for the value of sport and recreation from a social, economic and health perspective. </w:t>
      </w:r>
      <w:r w:rsidR="00F5205E">
        <w:rPr>
          <w:lang w:val="en-US"/>
        </w:rPr>
        <w:t>P</w:t>
      </w:r>
      <w:r w:rsidR="000147DC" w:rsidRPr="00F721FD">
        <w:rPr>
          <w:lang w:val="en-US"/>
        </w:rPr>
        <w:t xml:space="preserve">rovide greater advocacy for </w:t>
      </w:r>
      <w:r w:rsidR="00C51386">
        <w:rPr>
          <w:lang w:val="en-US"/>
        </w:rPr>
        <w:t xml:space="preserve">equitable delivery to </w:t>
      </w:r>
      <w:r w:rsidR="00E221B1">
        <w:rPr>
          <w:lang w:val="en-US"/>
        </w:rPr>
        <w:t>Western Australia’s</w:t>
      </w:r>
      <w:r w:rsidR="00E221B1" w:rsidRPr="00F721FD">
        <w:rPr>
          <w:lang w:val="en-US"/>
        </w:rPr>
        <w:t xml:space="preserve"> </w:t>
      </w:r>
      <w:r w:rsidR="000147DC" w:rsidRPr="00F721FD">
        <w:rPr>
          <w:lang w:val="en-US"/>
        </w:rPr>
        <w:t>regions</w:t>
      </w:r>
      <w:r w:rsidR="0081025B">
        <w:rPr>
          <w:lang w:val="en-US"/>
        </w:rPr>
        <w:t xml:space="preserve">. </w:t>
      </w:r>
    </w:p>
    <w:p w14:paraId="7D858C6E" w14:textId="4CD0AC7F" w:rsidR="007C65F0" w:rsidRPr="00F721FD" w:rsidRDefault="007C65F0" w:rsidP="003E02EA">
      <w:pPr>
        <w:pStyle w:val="DotPoints-level1"/>
      </w:pPr>
      <w:r w:rsidRPr="003E02EA">
        <w:rPr>
          <w:b/>
        </w:rPr>
        <w:t>Funding</w:t>
      </w:r>
      <w:r w:rsidRPr="007C65F0">
        <w:t xml:space="preserve">: provide funding </w:t>
      </w:r>
      <w:r w:rsidR="0081025B">
        <w:t>sources</w:t>
      </w:r>
      <w:r w:rsidRPr="007C65F0">
        <w:t xml:space="preserve"> for the industry to deliver outcomes aligned to the strategic direction of the departmen</w:t>
      </w:r>
      <w:r w:rsidR="0081025B">
        <w:t xml:space="preserve">t and work with the industry to leverage support from other sources. </w:t>
      </w:r>
      <w:r w:rsidRPr="007C65F0">
        <w:t xml:space="preserve"> </w:t>
      </w:r>
    </w:p>
    <w:p w14:paraId="1A1E49D8" w14:textId="65648174" w:rsidR="000F1B40" w:rsidRPr="00F721FD" w:rsidRDefault="000F1B40" w:rsidP="003E02EA">
      <w:r>
        <w:t>An</w:t>
      </w:r>
      <w:r w:rsidRPr="00FA7A31">
        <w:t xml:space="preserve"> area of contention that was </w:t>
      </w:r>
      <w:r w:rsidR="003C3F2D">
        <w:t xml:space="preserve">frequently </w:t>
      </w:r>
      <w:r w:rsidRPr="00FA7A31">
        <w:t xml:space="preserve">raised </w:t>
      </w:r>
      <w:r w:rsidR="00D72A33">
        <w:t xml:space="preserve">during the consultation process </w:t>
      </w:r>
      <w:r w:rsidRPr="00FA7A31">
        <w:t>was the department</w:t>
      </w:r>
      <w:r w:rsidR="00572FC7">
        <w:t>’</w:t>
      </w:r>
      <w:r w:rsidRPr="00FA7A31">
        <w:t>s role in service delivery. This was met with mixed feedback, with some respondents noting the value of the department</w:t>
      </w:r>
      <w:r w:rsidR="00572FC7">
        <w:t>’</w:t>
      </w:r>
      <w:r w:rsidRPr="00FA7A31">
        <w:t>s service delivery arm</w:t>
      </w:r>
      <w:r w:rsidR="00D72A33">
        <w:t xml:space="preserve"> for example,</w:t>
      </w:r>
      <w:r w:rsidR="00911268">
        <w:t xml:space="preserve"> industry workshops</w:t>
      </w:r>
      <w:r w:rsidR="00FA7B18">
        <w:t xml:space="preserve"> and advocacy events</w:t>
      </w:r>
      <w:r w:rsidR="00D72A33">
        <w:t xml:space="preserve">. Others considered that </w:t>
      </w:r>
      <w:r w:rsidRPr="00C9081A">
        <w:t xml:space="preserve">it was the </w:t>
      </w:r>
      <w:r w:rsidR="00C54DE5">
        <w:t>responsibility</w:t>
      </w:r>
      <w:r w:rsidRPr="00C9081A">
        <w:t xml:space="preserve"> of the industry to </w:t>
      </w:r>
      <w:r w:rsidR="00D72A33">
        <w:t>under</w:t>
      </w:r>
      <w:r w:rsidRPr="00C9081A">
        <w:t xml:space="preserve">take this role and </w:t>
      </w:r>
      <w:r w:rsidR="00326EC7">
        <w:t xml:space="preserve">that </w:t>
      </w:r>
      <w:r w:rsidRPr="00C9081A">
        <w:t>the department should be the facilitato</w:t>
      </w:r>
      <w:r w:rsidR="00CE53E7" w:rsidRPr="00C9081A">
        <w:t>r</w:t>
      </w:r>
      <w:r w:rsidR="00326EC7">
        <w:t>,</w:t>
      </w:r>
      <w:r w:rsidR="00CE53E7" w:rsidRPr="00C9081A">
        <w:t xml:space="preserve"> </w:t>
      </w:r>
      <w:r w:rsidR="00D72A33">
        <w:t>contributing</w:t>
      </w:r>
      <w:r w:rsidR="00CE53E7" w:rsidRPr="00C9081A">
        <w:t xml:space="preserve"> advice, insight and support towards the achievement of outcomes</w:t>
      </w:r>
      <w:r w:rsidRPr="00C9081A">
        <w:t xml:space="preserve">. </w:t>
      </w:r>
      <w:r w:rsidR="00CE53E7" w:rsidRPr="00C9081A">
        <w:t xml:space="preserve">This will be an area that will </w:t>
      </w:r>
      <w:r w:rsidR="00326EC7">
        <w:t xml:space="preserve">continue to be </w:t>
      </w:r>
      <w:r w:rsidR="00CE53E7" w:rsidRPr="00C9081A">
        <w:t>examined</w:t>
      </w:r>
      <w:r w:rsidR="00E221B1">
        <w:t xml:space="preserve"> by the department, and the department’s role may change </w:t>
      </w:r>
      <w:r w:rsidR="00CE53E7" w:rsidRPr="00C9081A">
        <w:t>depending on needs and priorities emerging</w:t>
      </w:r>
      <w:r w:rsidR="00BC76EC" w:rsidRPr="00C9081A">
        <w:t xml:space="preserve"> within the industry</w:t>
      </w:r>
      <w:r w:rsidR="00CE53E7" w:rsidRPr="00C9081A">
        <w:t>.</w:t>
      </w:r>
    </w:p>
    <w:p w14:paraId="7369095C" w14:textId="3072044E" w:rsidR="00D72A33" w:rsidRDefault="00AE12A1" w:rsidP="00F721FD">
      <w:r w:rsidRPr="00F721FD">
        <w:t>There wa</w:t>
      </w:r>
      <w:r w:rsidR="0081025B">
        <w:t>s a</w:t>
      </w:r>
      <w:r w:rsidR="00792BDE">
        <w:t>lso a</w:t>
      </w:r>
      <w:r w:rsidR="0081025B">
        <w:t xml:space="preserve"> consistent c</w:t>
      </w:r>
      <w:r w:rsidR="006420AB" w:rsidRPr="00F721FD">
        <w:t xml:space="preserve">omment </w:t>
      </w:r>
      <w:r w:rsidR="00E221B1">
        <w:t xml:space="preserve">from the industry </w:t>
      </w:r>
      <w:r w:rsidR="006420AB" w:rsidRPr="00F721FD">
        <w:t>about providing</w:t>
      </w:r>
      <w:r w:rsidR="00F464D7">
        <w:t xml:space="preserve"> </w:t>
      </w:r>
      <w:r w:rsidR="006420AB" w:rsidRPr="00F721FD">
        <w:t>continuity of personnel</w:t>
      </w:r>
      <w:r w:rsidR="00FF0858">
        <w:t>,</w:t>
      </w:r>
      <w:r w:rsidR="006420AB" w:rsidRPr="00F721FD">
        <w:t xml:space="preserve"> </w:t>
      </w:r>
      <w:r w:rsidR="00F464D7">
        <w:t>with e</w:t>
      </w:r>
      <w:r w:rsidR="000C2CDB" w:rsidRPr="00F721FD">
        <w:t>xamples of th</w:t>
      </w:r>
      <w:r w:rsidR="006420AB" w:rsidRPr="00F721FD">
        <w:t xml:space="preserve">e benefits </w:t>
      </w:r>
      <w:r w:rsidR="00673F76">
        <w:t>that</w:t>
      </w:r>
      <w:r w:rsidR="006420AB" w:rsidRPr="00F721FD">
        <w:t xml:space="preserve"> </w:t>
      </w:r>
      <w:r w:rsidR="000C2CDB" w:rsidRPr="00F721FD">
        <w:t xml:space="preserve">department </w:t>
      </w:r>
      <w:r w:rsidR="006420AB" w:rsidRPr="00F721FD">
        <w:t>staff</w:t>
      </w:r>
      <w:r w:rsidR="000C2CDB" w:rsidRPr="00F721FD">
        <w:t xml:space="preserve"> provide to </w:t>
      </w:r>
      <w:r w:rsidR="000C2CDB" w:rsidRPr="003E6411">
        <w:t>organisations</w:t>
      </w:r>
      <w:r w:rsidR="008D4021">
        <w:t xml:space="preserve"> through relationship management</w:t>
      </w:r>
      <w:r w:rsidR="006420AB" w:rsidRPr="003E6411">
        <w:t>.</w:t>
      </w:r>
      <w:r w:rsidR="000C2CDB" w:rsidRPr="003E6411">
        <w:t xml:space="preserve"> </w:t>
      </w:r>
    </w:p>
    <w:p w14:paraId="29102F70" w14:textId="00A527F0" w:rsidR="00423A1D" w:rsidRDefault="000C2CDB" w:rsidP="00F721FD">
      <w:r w:rsidRPr="003E6411">
        <w:t>As with the challenge set</w:t>
      </w:r>
      <w:r w:rsidR="00582334">
        <w:t xml:space="preserve"> by the Min</w:t>
      </w:r>
      <w:r w:rsidR="004230DF">
        <w:t>i</w:t>
      </w:r>
      <w:r w:rsidR="00582334">
        <w:t>ster</w:t>
      </w:r>
      <w:r w:rsidR="000C66C4">
        <w:t xml:space="preserve"> for Sport and Recreation</w:t>
      </w:r>
      <w:r w:rsidRPr="003E6411">
        <w:t xml:space="preserve"> in March </w:t>
      </w:r>
      <w:r w:rsidR="00EE197A" w:rsidRPr="003E6411">
        <w:t xml:space="preserve">2018 </w:t>
      </w:r>
      <w:r w:rsidRPr="003E6411">
        <w:t xml:space="preserve">there is a need to review the level </w:t>
      </w:r>
      <w:r w:rsidR="00FF0858">
        <w:t>o</w:t>
      </w:r>
      <w:r w:rsidR="00FF0858" w:rsidRPr="003E6411">
        <w:t>f servic</w:t>
      </w:r>
      <w:r w:rsidR="00FF0858">
        <w:t>e the department</w:t>
      </w:r>
      <w:r w:rsidRPr="003E6411">
        <w:t xml:space="preserve"> prov</w:t>
      </w:r>
      <w:r w:rsidR="00FA7A31" w:rsidRPr="003E6411">
        <w:t>id</w:t>
      </w:r>
      <w:r w:rsidRPr="003E6411">
        <w:t xml:space="preserve">es </w:t>
      </w:r>
      <w:r w:rsidR="00D72A33">
        <w:t xml:space="preserve">to </w:t>
      </w:r>
      <w:r w:rsidRPr="003E6411">
        <w:t xml:space="preserve">organisations to </w:t>
      </w:r>
      <w:r w:rsidR="004C7833">
        <w:t xml:space="preserve">ensure </w:t>
      </w:r>
      <w:r w:rsidR="004C7833" w:rsidRPr="003E6411">
        <w:t>maximu</w:t>
      </w:r>
      <w:r w:rsidR="004C7833">
        <w:t>m</w:t>
      </w:r>
      <w:r w:rsidRPr="003E6411">
        <w:t xml:space="preserve"> benefit to the wider industry</w:t>
      </w:r>
      <w:r w:rsidR="00A000A0">
        <w:t>, particularly those organisations with limited capacity</w:t>
      </w:r>
      <w:r w:rsidRPr="003E6411">
        <w:t xml:space="preserve">. </w:t>
      </w:r>
      <w:r w:rsidR="00E4637F" w:rsidRPr="003E6411">
        <w:t>This</w:t>
      </w:r>
      <w:r w:rsidR="00E4637F">
        <w:t xml:space="preserve"> issue has been explored with recommended changes to the </w:t>
      </w:r>
      <w:r w:rsidR="00241413" w:rsidRPr="00CC58C2">
        <w:t xml:space="preserve">Industry Investment </w:t>
      </w:r>
      <w:r w:rsidR="005537C7" w:rsidRPr="00CC58C2">
        <w:t>Program</w:t>
      </w:r>
      <w:r w:rsidR="005537C7" w:rsidDel="00241413">
        <w:t xml:space="preserve"> </w:t>
      </w:r>
      <w:r w:rsidR="005537C7">
        <w:t>categorisations</w:t>
      </w:r>
      <w:r w:rsidR="008D4021">
        <w:t xml:space="preserve"> and level of servicing</w:t>
      </w:r>
      <w:r w:rsidR="004802F2">
        <w:t>.</w:t>
      </w:r>
    </w:p>
    <w:p w14:paraId="2A84660B" w14:textId="77777777" w:rsidR="000C2CDB" w:rsidRPr="00F721FD" w:rsidRDefault="000C2CDB" w:rsidP="000D2A8E">
      <w:pPr>
        <w:pStyle w:val="Heading4"/>
      </w:pPr>
      <w:r w:rsidRPr="00F721FD">
        <w:t>Findings</w:t>
      </w:r>
    </w:p>
    <w:p w14:paraId="11C73985" w14:textId="15147A70" w:rsidR="00AE7D07" w:rsidRPr="00660069" w:rsidRDefault="000C2CDB" w:rsidP="00E06782">
      <w:pPr>
        <w:pStyle w:val="ListParagraph"/>
        <w:numPr>
          <w:ilvl w:val="0"/>
          <w:numId w:val="5"/>
        </w:numPr>
      </w:pPr>
      <w:r w:rsidRPr="00660069">
        <w:t xml:space="preserve">There </w:t>
      </w:r>
      <w:r w:rsidR="00626B0C">
        <w:t>are</w:t>
      </w:r>
      <w:r w:rsidR="00BC1D6D" w:rsidRPr="00660069">
        <w:t xml:space="preserve"> </w:t>
      </w:r>
      <w:r w:rsidRPr="00660069">
        <w:t>a wide range of expectation</w:t>
      </w:r>
      <w:r w:rsidR="00BC1D6D" w:rsidRPr="00660069">
        <w:t>s</w:t>
      </w:r>
      <w:r w:rsidRPr="00660069">
        <w:t xml:space="preserve"> </w:t>
      </w:r>
      <w:r w:rsidR="00A000A0">
        <w:t>of</w:t>
      </w:r>
      <w:r w:rsidRPr="00660069">
        <w:t xml:space="preserve"> the role of the </w:t>
      </w:r>
      <w:r w:rsidR="00820D98" w:rsidRPr="00660069">
        <w:t xml:space="preserve">department </w:t>
      </w:r>
      <w:r w:rsidR="003075AD" w:rsidRPr="00660069">
        <w:t xml:space="preserve">in supporting the </w:t>
      </w:r>
      <w:r w:rsidR="0078342F" w:rsidRPr="00660069">
        <w:t>industry</w:t>
      </w:r>
      <w:r w:rsidR="00A96F65">
        <w:t>,</w:t>
      </w:r>
      <w:r w:rsidR="0078342F" w:rsidRPr="00660069">
        <w:t xml:space="preserve"> with</w:t>
      </w:r>
      <w:r w:rsidR="00A96F65">
        <w:t xml:space="preserve"> a</w:t>
      </w:r>
      <w:r w:rsidR="00820D98" w:rsidRPr="00660069">
        <w:t xml:space="preserve"> sh</w:t>
      </w:r>
      <w:r w:rsidR="00CE08D5" w:rsidRPr="00660069">
        <w:t xml:space="preserve">ift </w:t>
      </w:r>
      <w:r w:rsidR="00D00F84" w:rsidRPr="00660069">
        <w:t>of focus towards facilitating</w:t>
      </w:r>
      <w:r w:rsidR="00CD6109" w:rsidRPr="00660069">
        <w:t xml:space="preserve"> outcomes </w:t>
      </w:r>
      <w:r w:rsidR="00D00F84" w:rsidRPr="00660069">
        <w:t>rather than leading the</w:t>
      </w:r>
      <w:r w:rsidR="00CD6109" w:rsidRPr="00660069">
        <w:t xml:space="preserve"> delivery.</w:t>
      </w:r>
    </w:p>
    <w:p w14:paraId="7B124052" w14:textId="03F2FA5F" w:rsidR="00154153" w:rsidRPr="00F721FD" w:rsidRDefault="00CD6109" w:rsidP="00E06782">
      <w:pPr>
        <w:pStyle w:val="ListParagraph"/>
        <w:numPr>
          <w:ilvl w:val="0"/>
          <w:numId w:val="5"/>
        </w:numPr>
      </w:pPr>
      <w:r w:rsidRPr="00F721FD">
        <w:t>The department needs to continue to build the capacity and capability of organisations, recognising the</w:t>
      </w:r>
      <w:r w:rsidR="00900DAE">
        <w:t>re is</w:t>
      </w:r>
      <w:r w:rsidRPr="00F721FD">
        <w:t xml:space="preserve"> significant variation within the industry. How this occurs may require a different approach and relationship with the industry, including greater engagement</w:t>
      </w:r>
      <w:r w:rsidR="003F4760">
        <w:t xml:space="preserve"> and partnerships</w:t>
      </w:r>
      <w:r w:rsidR="00740998">
        <w:t>.</w:t>
      </w:r>
    </w:p>
    <w:p w14:paraId="4A7EE1C7" w14:textId="76019640" w:rsidR="007F2E57" w:rsidRDefault="007D206A" w:rsidP="00F721FD">
      <w:r w:rsidRPr="00F721FD">
        <w:lastRenderedPageBreak/>
        <w:t xml:space="preserve">The industry was also given the opportunity to assess what it considered to be </w:t>
      </w:r>
      <w:r w:rsidR="002424E9" w:rsidRPr="00A83B5B">
        <w:t>its</w:t>
      </w:r>
      <w:r w:rsidRPr="00F721FD">
        <w:t xml:space="preserve"> core business</w:t>
      </w:r>
      <w:r w:rsidR="007F2E57">
        <w:t xml:space="preserve">. </w:t>
      </w:r>
      <w:r w:rsidR="00930BD2">
        <w:t xml:space="preserve">It was identified that </w:t>
      </w:r>
      <w:r w:rsidR="00917069">
        <w:t>providing participation opportunities</w:t>
      </w:r>
      <w:r w:rsidR="007F2E57" w:rsidRPr="00F721FD">
        <w:rPr>
          <w:lang w:val="en-US"/>
        </w:rPr>
        <w:t xml:space="preserve">, building the capacity of the </w:t>
      </w:r>
      <w:r w:rsidR="00917069">
        <w:rPr>
          <w:lang w:val="en-US"/>
        </w:rPr>
        <w:t>sport</w:t>
      </w:r>
      <w:r w:rsidR="007F2E57" w:rsidRPr="00F721FD">
        <w:rPr>
          <w:lang w:val="en-US"/>
        </w:rPr>
        <w:t xml:space="preserve"> and </w:t>
      </w:r>
      <w:r w:rsidR="00917069">
        <w:rPr>
          <w:lang w:val="en-US"/>
        </w:rPr>
        <w:t>ensuring</w:t>
      </w:r>
      <w:r w:rsidR="007F2E57" w:rsidRPr="00F721FD">
        <w:rPr>
          <w:lang w:val="en-US"/>
        </w:rPr>
        <w:t xml:space="preserve"> it is well governed</w:t>
      </w:r>
      <w:r w:rsidR="00AB7C8C">
        <w:rPr>
          <w:lang w:val="en-US"/>
        </w:rPr>
        <w:t xml:space="preserve"> were their </w:t>
      </w:r>
      <w:r w:rsidR="009B03A8">
        <w:rPr>
          <w:lang w:val="en-US"/>
        </w:rPr>
        <w:t>key duties</w:t>
      </w:r>
      <w:r w:rsidR="007F2E57" w:rsidRPr="00F721FD">
        <w:rPr>
          <w:lang w:val="en-US"/>
        </w:rPr>
        <w:t>.</w:t>
      </w:r>
    </w:p>
    <w:p w14:paraId="62C973D0" w14:textId="3AFC076B" w:rsidR="00702C07" w:rsidRDefault="00A5714B" w:rsidP="00F721FD">
      <w:pPr>
        <w:rPr>
          <w:lang w:val="en-US"/>
        </w:rPr>
      </w:pPr>
      <w:r>
        <w:t>It was</w:t>
      </w:r>
      <w:r w:rsidR="007F2E57">
        <w:t xml:space="preserve"> suggested </w:t>
      </w:r>
      <w:r w:rsidR="006420AB" w:rsidRPr="00F721FD">
        <w:t xml:space="preserve">that historically, the industry </w:t>
      </w:r>
      <w:r w:rsidR="00D91159">
        <w:t>had</w:t>
      </w:r>
      <w:r w:rsidR="006420AB" w:rsidRPr="00F721FD">
        <w:t xml:space="preserve"> not stepped into the gap to provide advocacy for itself</w:t>
      </w:r>
      <w:r w:rsidR="00D72A33">
        <w:t xml:space="preserve">, with the onus on the department to do so. </w:t>
      </w:r>
      <w:r w:rsidR="00475B4C">
        <w:t>C</w:t>
      </w:r>
      <w:r w:rsidR="003D764D" w:rsidRPr="00F721FD">
        <w:t xml:space="preserve">omments </w:t>
      </w:r>
      <w:r w:rsidR="00475B4C">
        <w:t xml:space="preserve">also </w:t>
      </w:r>
      <w:r w:rsidR="003D764D" w:rsidRPr="00F721FD">
        <w:t>suggest</w:t>
      </w:r>
      <w:r w:rsidR="00475B4C">
        <w:t xml:space="preserve">ed </w:t>
      </w:r>
      <w:r w:rsidR="003D764D" w:rsidRPr="00F721FD">
        <w:t xml:space="preserve">that the industry </w:t>
      </w:r>
      <w:r w:rsidR="00AC4A97">
        <w:t>is</w:t>
      </w:r>
      <w:r w:rsidR="00475B4C">
        <w:t xml:space="preserve"> </w:t>
      </w:r>
      <w:r w:rsidR="00D72A33">
        <w:t xml:space="preserve">task </w:t>
      </w:r>
      <w:r w:rsidR="003D764D" w:rsidRPr="00F721FD">
        <w:rPr>
          <w:lang w:val="en-US"/>
        </w:rPr>
        <w:t>focus</w:t>
      </w:r>
      <w:r>
        <w:rPr>
          <w:lang w:val="en-US"/>
        </w:rPr>
        <w:t>ed</w:t>
      </w:r>
      <w:r w:rsidR="00D72A33">
        <w:rPr>
          <w:lang w:val="en-US"/>
        </w:rPr>
        <w:t xml:space="preserve">, rather than strategic. </w:t>
      </w:r>
      <w:r w:rsidR="00746EAD">
        <w:rPr>
          <w:lang w:val="en-US"/>
        </w:rPr>
        <w:t xml:space="preserve">It was </w:t>
      </w:r>
      <w:r w:rsidR="005334E2">
        <w:rPr>
          <w:lang w:val="en-US"/>
        </w:rPr>
        <w:t xml:space="preserve">noted </w:t>
      </w:r>
      <w:r w:rsidR="00AC4A1A">
        <w:rPr>
          <w:lang w:val="en-US"/>
        </w:rPr>
        <w:t xml:space="preserve">that </w:t>
      </w:r>
      <w:r w:rsidR="005334E2">
        <w:rPr>
          <w:lang w:val="en-US"/>
        </w:rPr>
        <w:t xml:space="preserve">a </w:t>
      </w:r>
      <w:r w:rsidR="00D72A33">
        <w:rPr>
          <w:lang w:val="en-US"/>
        </w:rPr>
        <w:t xml:space="preserve">significant change in </w:t>
      </w:r>
      <w:r w:rsidR="00930BD2">
        <w:rPr>
          <w:lang w:val="en-US"/>
        </w:rPr>
        <w:t xml:space="preserve">thinking would be beneficial in order that individual sports cease acting in competition with each other. This would enable the industry to act as a collective, with peak bodies playing a key role, strengthening the industry. </w:t>
      </w:r>
      <w:r w:rsidR="00930BD2">
        <w:t>T</w:t>
      </w:r>
      <w:r w:rsidR="003F1F0C" w:rsidRPr="003F7288">
        <w:t>here wer</w:t>
      </w:r>
      <w:r w:rsidR="003F1F0C" w:rsidRPr="00F721FD">
        <w:t xml:space="preserve">e some practical suggestions as to </w:t>
      </w:r>
      <w:r w:rsidR="00CD7E3C">
        <w:t>what the industry</w:t>
      </w:r>
      <w:r w:rsidR="003F1F0C" w:rsidDel="00D156A6">
        <w:t xml:space="preserve"> </w:t>
      </w:r>
      <w:r w:rsidR="003F1F0C" w:rsidRPr="00F721FD">
        <w:t>could do more of to improve its role in advocacy</w:t>
      </w:r>
      <w:r w:rsidR="003F1F0C">
        <w:t>,</w:t>
      </w:r>
      <w:r w:rsidR="003F1F0C" w:rsidRPr="00F721FD">
        <w:t xml:space="preserve"> including</w:t>
      </w:r>
      <w:r w:rsidR="00CD7E3C">
        <w:t xml:space="preserve"> assisting in</w:t>
      </w:r>
      <w:r w:rsidR="003F1F0C" w:rsidRPr="00F721FD">
        <w:t xml:space="preserve"> </w:t>
      </w:r>
      <w:r w:rsidR="003F1F0C" w:rsidRPr="00917069">
        <w:t>coordinating the annual Industry Census</w:t>
      </w:r>
      <w:r w:rsidR="003F1F0C">
        <w:t xml:space="preserve">, which is </w:t>
      </w:r>
      <w:r w:rsidR="003F1F0C" w:rsidRPr="00917069">
        <w:t xml:space="preserve">currently </w:t>
      </w:r>
      <w:r w:rsidR="00CD7E3C">
        <w:t>lead</w:t>
      </w:r>
      <w:r w:rsidR="003F1F0C" w:rsidRPr="00917069">
        <w:t xml:space="preserve"> by the department</w:t>
      </w:r>
      <w:r w:rsidR="003F1F0C">
        <w:t>.</w:t>
      </w:r>
    </w:p>
    <w:p w14:paraId="40543B07" w14:textId="56BF2485" w:rsidR="003D764D" w:rsidRPr="00F721FD" w:rsidRDefault="009537C8" w:rsidP="00F721FD">
      <w:r w:rsidRPr="003F7288">
        <w:t>The role of the</w:t>
      </w:r>
      <w:r w:rsidR="0080096C" w:rsidRPr="003F7288">
        <w:t xml:space="preserve"> WA Sports Federation </w:t>
      </w:r>
      <w:r w:rsidRPr="003F7288">
        <w:t xml:space="preserve">as the peak body for sport was discussed </w:t>
      </w:r>
      <w:r w:rsidR="00CC290E" w:rsidRPr="003F7288">
        <w:t xml:space="preserve">with feedback suggesting </w:t>
      </w:r>
      <w:r w:rsidR="00D156A6" w:rsidRPr="003F7288">
        <w:t>WA Sports Federation</w:t>
      </w:r>
      <w:r w:rsidR="00D156A6" w:rsidRPr="003F7288" w:rsidDel="00D156A6">
        <w:t xml:space="preserve"> </w:t>
      </w:r>
      <w:r w:rsidR="00CC290E" w:rsidRPr="003F7288">
        <w:t xml:space="preserve">needs to </w:t>
      </w:r>
      <w:r w:rsidR="003F7288" w:rsidRPr="003F7288">
        <w:t>take</w:t>
      </w:r>
      <w:r w:rsidR="00FA74C1">
        <w:t xml:space="preserve"> an</w:t>
      </w:r>
      <w:r w:rsidR="003F7288" w:rsidRPr="003F7288">
        <w:t xml:space="preserve"> increased </w:t>
      </w:r>
      <w:r w:rsidR="0080096C" w:rsidRPr="003F7288">
        <w:t>leadership role in providing advocacy for the industry.</w:t>
      </w:r>
      <w:r w:rsidR="00702C07" w:rsidRPr="003F7288">
        <w:t xml:space="preserve"> </w:t>
      </w:r>
    </w:p>
    <w:p w14:paraId="107A48DE" w14:textId="17D1DA1A" w:rsidR="005334E2" w:rsidRDefault="00D72A33" w:rsidP="00F721FD">
      <w:r>
        <w:t xml:space="preserve">Consultation participants </w:t>
      </w:r>
      <w:r w:rsidR="005334E2">
        <w:t xml:space="preserve">commended the </w:t>
      </w:r>
      <w:r w:rsidR="002E63CB">
        <w:t>d</w:t>
      </w:r>
      <w:r w:rsidR="005334E2">
        <w:t>epartment for the</w:t>
      </w:r>
      <w:r w:rsidR="000B1126" w:rsidRPr="00F721FD">
        <w:t xml:space="preserve"> level of </w:t>
      </w:r>
      <w:r>
        <w:t xml:space="preserve">industry </w:t>
      </w:r>
      <w:r w:rsidR="000B1126" w:rsidRPr="00F721FD">
        <w:t xml:space="preserve">engagement </w:t>
      </w:r>
      <w:r w:rsidR="0009431C">
        <w:t>during the Strategic Funding Review</w:t>
      </w:r>
      <w:r>
        <w:t xml:space="preserve">. In particular, the early </w:t>
      </w:r>
      <w:r w:rsidR="00BB61CC">
        <w:t>involvement</w:t>
      </w:r>
      <w:r>
        <w:t xml:space="preserve"> of the sport and recreation industry was cited as a s</w:t>
      </w:r>
      <w:r w:rsidR="002E63CB">
        <w:t>uccess</w:t>
      </w:r>
      <w:r>
        <w:t xml:space="preserve">, </w:t>
      </w:r>
      <w:r w:rsidR="00BB61CC">
        <w:t>enabling industry buy-in and giving it a voice in the d</w:t>
      </w:r>
      <w:r w:rsidR="000C6549">
        <w:t xml:space="preserve">evelopment of engagement strategies. </w:t>
      </w:r>
    </w:p>
    <w:p w14:paraId="0C959C86" w14:textId="77777777" w:rsidR="000C2CDB" w:rsidRPr="00F721FD" w:rsidRDefault="000C2CDB" w:rsidP="000D2A8E">
      <w:pPr>
        <w:pStyle w:val="Heading4"/>
      </w:pPr>
      <w:r w:rsidRPr="00F721FD">
        <w:t>Findings</w:t>
      </w:r>
    </w:p>
    <w:p w14:paraId="33B8997B" w14:textId="6A5C8DC1" w:rsidR="00741A3F" w:rsidRPr="00F721FD" w:rsidRDefault="00741A3F" w:rsidP="00A214F7">
      <w:pPr>
        <w:pStyle w:val="ListParagraph"/>
        <w:numPr>
          <w:ilvl w:val="0"/>
          <w:numId w:val="5"/>
        </w:numPr>
      </w:pPr>
      <w:r w:rsidRPr="00AA53BF">
        <w:t xml:space="preserve">The industry’s view of itself is </w:t>
      </w:r>
      <w:r>
        <w:t xml:space="preserve">to </w:t>
      </w:r>
      <w:r w:rsidR="00917069">
        <w:t>provide participation opportunities</w:t>
      </w:r>
      <w:r>
        <w:t>, build</w:t>
      </w:r>
      <w:r w:rsidRPr="00AA53BF">
        <w:t xml:space="preserve"> the capacity</w:t>
      </w:r>
      <w:r w:rsidRPr="00F721FD">
        <w:t xml:space="preserve"> of the </w:t>
      </w:r>
      <w:r w:rsidR="00917069">
        <w:t>sport</w:t>
      </w:r>
      <w:r w:rsidRPr="00F721FD">
        <w:t xml:space="preserve"> and </w:t>
      </w:r>
      <w:r>
        <w:t>to ensure</w:t>
      </w:r>
      <w:r w:rsidRPr="00F721FD">
        <w:t xml:space="preserve"> it is well governed.</w:t>
      </w:r>
    </w:p>
    <w:p w14:paraId="3517E3C4" w14:textId="7469831C" w:rsidR="00350E5D" w:rsidRPr="00F721FD" w:rsidRDefault="00B952DB" w:rsidP="00E06782">
      <w:pPr>
        <w:pStyle w:val="ListParagraph"/>
        <w:numPr>
          <w:ilvl w:val="0"/>
          <w:numId w:val="5"/>
        </w:numPr>
      </w:pPr>
      <w:r>
        <w:t xml:space="preserve">There is a need for the sport and recreation industry to evaluate its relationship with the department in order to ensure the correct roles and responsibilities are in place.  </w:t>
      </w:r>
      <w:r w:rsidR="00350E5D">
        <w:t xml:space="preserve"> </w:t>
      </w:r>
    </w:p>
    <w:p w14:paraId="666B0E79" w14:textId="1F572108" w:rsidR="00350E5D" w:rsidRDefault="00350E5D" w:rsidP="00E06782">
      <w:pPr>
        <w:pStyle w:val="ListParagraph"/>
        <w:numPr>
          <w:ilvl w:val="0"/>
          <w:numId w:val="5"/>
        </w:numPr>
      </w:pPr>
      <w:r w:rsidRPr="00F721FD">
        <w:t xml:space="preserve">The department and the industry need to reposition relationships to work more collaboratively </w:t>
      </w:r>
      <w:r>
        <w:t>(</w:t>
      </w:r>
      <w:r w:rsidRPr="00F721FD">
        <w:t>as has occurred through this process</w:t>
      </w:r>
      <w:r>
        <w:t>)</w:t>
      </w:r>
      <w:r w:rsidRPr="00F721FD">
        <w:t>.</w:t>
      </w:r>
    </w:p>
    <w:p w14:paraId="14983A37" w14:textId="38CF780F" w:rsidR="00154153" w:rsidRDefault="00316E29" w:rsidP="00E06782">
      <w:pPr>
        <w:pStyle w:val="ListParagraph"/>
        <w:numPr>
          <w:ilvl w:val="0"/>
          <w:numId w:val="5"/>
        </w:numPr>
      </w:pPr>
      <w:r w:rsidRPr="009E25B7">
        <w:t xml:space="preserve">The WA Sports Federation </w:t>
      </w:r>
      <w:r w:rsidR="0025607F">
        <w:t xml:space="preserve">should </w:t>
      </w:r>
      <w:r w:rsidR="00B952DB">
        <w:t>strengthen</w:t>
      </w:r>
      <w:r w:rsidR="00B952DB" w:rsidRPr="009E25B7">
        <w:t xml:space="preserve"> </w:t>
      </w:r>
      <w:r w:rsidR="009E25B7" w:rsidRPr="009E25B7">
        <w:t>its role as the peak</w:t>
      </w:r>
      <w:r w:rsidR="003F4760">
        <w:t xml:space="preserve"> advocacy</w:t>
      </w:r>
      <w:r w:rsidR="009E25B7" w:rsidRPr="009E25B7">
        <w:t xml:space="preserve"> body for sport</w:t>
      </w:r>
      <w:r w:rsidR="0025607F">
        <w:t>.</w:t>
      </w:r>
    </w:p>
    <w:p w14:paraId="0A3DB902" w14:textId="77777777" w:rsidR="008253CA" w:rsidRPr="00F721FD" w:rsidRDefault="008253CA" w:rsidP="008253CA"/>
    <w:p w14:paraId="0F23C9E9" w14:textId="0B51E435" w:rsidR="00423A1D" w:rsidRPr="00F721FD" w:rsidRDefault="00221B55" w:rsidP="000D2A8E">
      <w:pPr>
        <w:pStyle w:val="Heading3"/>
      </w:pPr>
      <w:bookmarkStart w:id="14" w:name="_Toc1571674"/>
      <w:r w:rsidRPr="006D5C32">
        <w:t>Customisation of approach</w:t>
      </w:r>
      <w:r w:rsidR="00F32162">
        <w:rPr>
          <w:rStyle w:val="FootnoteReference"/>
        </w:rPr>
        <w:footnoteReference w:id="7"/>
      </w:r>
      <w:bookmarkEnd w:id="14"/>
    </w:p>
    <w:p w14:paraId="21F10CE1" w14:textId="4607C821" w:rsidR="00C477C0" w:rsidRDefault="00B952DB" w:rsidP="00F721FD">
      <w:r>
        <w:t xml:space="preserve">During the consultation process, the sport and recreation </w:t>
      </w:r>
      <w:r w:rsidR="008D4E95">
        <w:t xml:space="preserve">industry had a consistent point of view, stating that a ‘one-size fits all’ </w:t>
      </w:r>
      <w:r w:rsidR="00EB317F">
        <w:t xml:space="preserve">approach </w:t>
      </w:r>
      <w:r>
        <w:t xml:space="preserve">from the department </w:t>
      </w:r>
      <w:r w:rsidR="00EB317F">
        <w:t xml:space="preserve">is not suitable </w:t>
      </w:r>
      <w:r w:rsidR="006D5C32">
        <w:t xml:space="preserve">to service the industry. It was suggested that the department should tailor services to the capacity and capability of </w:t>
      </w:r>
      <w:r>
        <w:t xml:space="preserve">each </w:t>
      </w:r>
      <w:r w:rsidR="006D5C32">
        <w:t xml:space="preserve">organisation. </w:t>
      </w:r>
    </w:p>
    <w:p w14:paraId="5B89FFA7" w14:textId="56CE1805" w:rsidR="00D24762" w:rsidRPr="00F721FD" w:rsidRDefault="00D24762" w:rsidP="00D24762">
      <w:r w:rsidRPr="00415BEF">
        <w:t>It was noted by respondents that administrat</w:t>
      </w:r>
      <w:r>
        <w:t>ive</w:t>
      </w:r>
      <w:r w:rsidRPr="00415BEF">
        <w:t xml:space="preserve"> process</w:t>
      </w:r>
      <w:r>
        <w:t>es</w:t>
      </w:r>
      <w:r w:rsidRPr="00415BEF">
        <w:t xml:space="preserve"> and </w:t>
      </w:r>
      <w:r>
        <w:t xml:space="preserve">the </w:t>
      </w:r>
      <w:r w:rsidRPr="00415BEF">
        <w:t>level</w:t>
      </w:r>
      <w:r>
        <w:t>s</w:t>
      </w:r>
      <w:r w:rsidRPr="00415BEF">
        <w:t xml:space="preserve"> of reporting </w:t>
      </w:r>
      <w:r>
        <w:t>are</w:t>
      </w:r>
      <w:r w:rsidRPr="00415BEF">
        <w:t xml:space="preserve"> often inadequately represented across the various funding programs. </w:t>
      </w:r>
      <w:r w:rsidR="00724037">
        <w:t>S</w:t>
      </w:r>
      <w:r w:rsidRPr="00415BEF">
        <w:t xml:space="preserve">ome </w:t>
      </w:r>
      <w:r w:rsidR="00241413">
        <w:t>State Sporting Associations</w:t>
      </w:r>
      <w:r w:rsidRPr="00415BEF">
        <w:t xml:space="preserve"> </w:t>
      </w:r>
      <w:r w:rsidR="00724037">
        <w:t xml:space="preserve">gave examples of </w:t>
      </w:r>
      <w:r w:rsidR="004B3623">
        <w:t>being required to undertake</w:t>
      </w:r>
      <w:r w:rsidRPr="006068DD">
        <w:t xml:space="preserve"> more </w:t>
      </w:r>
      <w:r w:rsidR="00724037">
        <w:t>administrative processes</w:t>
      </w:r>
      <w:r w:rsidRPr="006068DD">
        <w:t xml:space="preserve"> than some clubs </w:t>
      </w:r>
      <w:r w:rsidR="00B952DB">
        <w:t>which</w:t>
      </w:r>
      <w:r w:rsidR="00B952DB" w:rsidRPr="006068DD">
        <w:t xml:space="preserve"> </w:t>
      </w:r>
      <w:r w:rsidRPr="006068DD">
        <w:t xml:space="preserve">receive higher funding allocations through </w:t>
      </w:r>
      <w:r w:rsidR="0047454F">
        <w:t xml:space="preserve">a </w:t>
      </w:r>
      <w:r w:rsidRPr="006068DD">
        <w:t xml:space="preserve">different grant </w:t>
      </w:r>
      <w:r w:rsidR="0025607F" w:rsidRPr="006068DD">
        <w:t>scheme</w:t>
      </w:r>
      <w:r w:rsidRPr="006068DD">
        <w:t>.</w:t>
      </w:r>
      <w:r w:rsidRPr="003E02EA">
        <w:t xml:space="preserve"> </w:t>
      </w:r>
      <w:r w:rsidR="00917069">
        <w:t>This</w:t>
      </w:r>
      <w:r w:rsidR="00D84579">
        <w:t xml:space="preserve"> anomaly</w:t>
      </w:r>
      <w:r w:rsidR="00917069">
        <w:t xml:space="preserve"> has been further explored through the review of the </w:t>
      </w:r>
      <w:r w:rsidR="00241413" w:rsidRPr="00CC58C2">
        <w:t>Industry Investment Program</w:t>
      </w:r>
      <w:r w:rsidR="009B1A5D">
        <w:t>.</w:t>
      </w:r>
      <w:r w:rsidR="00D719BF" w:rsidDel="00D719BF">
        <w:t xml:space="preserve"> </w:t>
      </w:r>
    </w:p>
    <w:p w14:paraId="7D9EAA92" w14:textId="77777777" w:rsidR="000C2CDB" w:rsidRPr="000D2A8E" w:rsidRDefault="000C2CDB" w:rsidP="000D2A8E">
      <w:pPr>
        <w:pStyle w:val="Heading4"/>
      </w:pPr>
      <w:r w:rsidRPr="000D2A8E">
        <w:lastRenderedPageBreak/>
        <w:t>Findings</w:t>
      </w:r>
    </w:p>
    <w:p w14:paraId="6B0599AD" w14:textId="6ABAEEAE" w:rsidR="00423A1D" w:rsidRPr="003214CF" w:rsidRDefault="00CB5BF0" w:rsidP="003E02EA">
      <w:pPr>
        <w:pStyle w:val="DotPoints-Numbers"/>
      </w:pPr>
      <w:r w:rsidRPr="003214CF">
        <w:t xml:space="preserve">There is a need to </w:t>
      </w:r>
      <w:r w:rsidR="00A031F5">
        <w:t xml:space="preserve">consistently </w:t>
      </w:r>
      <w:r w:rsidRPr="003214CF">
        <w:t xml:space="preserve">customise </w:t>
      </w:r>
      <w:r w:rsidR="00D912F2" w:rsidRPr="003214CF">
        <w:t xml:space="preserve">the </w:t>
      </w:r>
      <w:r w:rsidRPr="003214CF">
        <w:t xml:space="preserve">requirements </w:t>
      </w:r>
      <w:r w:rsidR="00941D79" w:rsidRPr="003214CF">
        <w:t xml:space="preserve">of </w:t>
      </w:r>
      <w:r w:rsidRPr="003214CF">
        <w:t>organisations</w:t>
      </w:r>
      <w:r w:rsidR="00A031F5">
        <w:t xml:space="preserve"> across all grant programs</w:t>
      </w:r>
      <w:r w:rsidRPr="003214CF">
        <w:t>, to reflect their capacity, capability and reach</w:t>
      </w:r>
      <w:r w:rsidR="00BE3D6A">
        <w:t xml:space="preserve">, and reflect the level of funding. </w:t>
      </w:r>
    </w:p>
    <w:p w14:paraId="7709FA03" w14:textId="682340AD" w:rsidR="004E224C" w:rsidRDefault="00D912F2" w:rsidP="00D52C24">
      <w:pPr>
        <w:pStyle w:val="DotPoints-Numbers"/>
      </w:pPr>
      <w:r w:rsidRPr="00A42840">
        <w:t xml:space="preserve">There should be </w:t>
      </w:r>
      <w:r w:rsidR="00A35965" w:rsidRPr="00A42840">
        <w:t>transparency</w:t>
      </w:r>
      <w:r w:rsidR="0047454F">
        <w:t xml:space="preserve"> and accountability</w:t>
      </w:r>
      <w:r w:rsidRPr="00A42840">
        <w:t xml:space="preserve"> in</w:t>
      </w:r>
      <w:r w:rsidR="00A35965" w:rsidRPr="00A42840">
        <w:t xml:space="preserve"> how the</w:t>
      </w:r>
      <w:r w:rsidR="00E434FB" w:rsidRPr="00A42840">
        <w:t xml:space="preserve"> funding for the</w:t>
      </w:r>
      <w:r w:rsidR="00A35965" w:rsidRPr="00A42840">
        <w:t xml:space="preserve"> Industry Investment Program</w:t>
      </w:r>
      <w:r w:rsidR="00E434FB" w:rsidRPr="00A42840">
        <w:t xml:space="preserve"> is allocated.</w:t>
      </w:r>
    </w:p>
    <w:p w14:paraId="2B751DFE" w14:textId="77777777" w:rsidR="008253CA" w:rsidRPr="00F721FD" w:rsidRDefault="008253CA" w:rsidP="008253CA">
      <w:pPr>
        <w:pStyle w:val="DotPoints-Numbers"/>
        <w:numPr>
          <w:ilvl w:val="0"/>
          <w:numId w:val="0"/>
        </w:numPr>
        <w:ind w:left="720" w:hanging="360"/>
      </w:pPr>
    </w:p>
    <w:p w14:paraId="0A05EE9E" w14:textId="7544D582" w:rsidR="00503470" w:rsidRPr="00F721FD" w:rsidRDefault="00F84ACF" w:rsidP="000D2A8E">
      <w:pPr>
        <w:pStyle w:val="Heading3"/>
      </w:pPr>
      <w:bookmarkStart w:id="15" w:name="_Toc1571675"/>
      <w:r w:rsidRPr="00F721FD">
        <w:t xml:space="preserve">Simplification of </w:t>
      </w:r>
      <w:r w:rsidR="004E224C">
        <w:t>p</w:t>
      </w:r>
      <w:r w:rsidRPr="00F721FD">
        <w:t xml:space="preserve">rocess and </w:t>
      </w:r>
      <w:r w:rsidR="00CB5BF0" w:rsidRPr="00F721FD">
        <w:t xml:space="preserve">minimising </w:t>
      </w:r>
      <w:r w:rsidR="00FE5048">
        <w:t xml:space="preserve">of </w:t>
      </w:r>
      <w:r w:rsidR="00CB5BF0" w:rsidRPr="00F721FD">
        <w:t>effort</w:t>
      </w:r>
      <w:bookmarkEnd w:id="15"/>
    </w:p>
    <w:p w14:paraId="1CB70740" w14:textId="5EB662CA" w:rsidR="004A1FA8" w:rsidRDefault="000C0964" w:rsidP="00F721FD">
      <w:r>
        <w:t xml:space="preserve">It was </w:t>
      </w:r>
      <w:r w:rsidR="00442B42">
        <w:t xml:space="preserve">initially </w:t>
      </w:r>
      <w:r>
        <w:t>thought</w:t>
      </w:r>
      <w:r w:rsidRPr="00F721FD">
        <w:t xml:space="preserve"> </w:t>
      </w:r>
      <w:r>
        <w:t>t</w:t>
      </w:r>
      <w:r w:rsidR="00CB5BF0" w:rsidRPr="00F721FD">
        <w:t>h</w:t>
      </w:r>
      <w:r w:rsidR="00C66812">
        <w:t xml:space="preserve">is topic </w:t>
      </w:r>
      <w:r>
        <w:t>would</w:t>
      </w:r>
      <w:r w:rsidR="00CB5BF0" w:rsidRPr="00F721FD">
        <w:t xml:space="preserve"> consider the consolidation of</w:t>
      </w:r>
      <w:r w:rsidR="00523E05">
        <w:t xml:space="preserve"> funding</w:t>
      </w:r>
      <w:r w:rsidR="00CB5BF0" w:rsidRPr="00F721FD">
        <w:t xml:space="preserve"> programs</w:t>
      </w:r>
      <w:r>
        <w:t>,</w:t>
      </w:r>
      <w:r w:rsidR="00CB5BF0" w:rsidRPr="00F721FD">
        <w:t xml:space="preserve"> but when discussed in the workshops the larger concern was the duplication of effort to secure funding and repeated submission of the same information to the department.</w:t>
      </w:r>
    </w:p>
    <w:p w14:paraId="247BD838" w14:textId="15979AE6" w:rsidR="007C0DF8" w:rsidRDefault="00C01112" w:rsidP="00F721FD">
      <w:r>
        <w:t xml:space="preserve">It was suggested that </w:t>
      </w:r>
      <w:r w:rsidRPr="00F721FD">
        <w:t xml:space="preserve">if the various agreements could be consolidated into a single agreement </w:t>
      </w:r>
      <w:r>
        <w:t xml:space="preserve">(especially if </w:t>
      </w:r>
      <w:r w:rsidRPr="00B86740">
        <w:t>o</w:t>
      </w:r>
      <w:r w:rsidR="00442B42">
        <w:t>utcomes are aligned) this would</w:t>
      </w:r>
      <w:r w:rsidRPr="00B86740">
        <w:t xml:space="preserve"> greatly reduce administrative burden</w:t>
      </w:r>
      <w:r w:rsidR="00442B42">
        <w:t>, especially</w:t>
      </w:r>
      <w:r w:rsidRPr="00B86740">
        <w:t xml:space="preserve"> on smaller organisations. The emphasis would then be on the department to work with the organisations to ensure that the local and regional outcomes are delivered</w:t>
      </w:r>
      <w:r w:rsidR="001148E6">
        <w:t xml:space="preserve"> and that organisations </w:t>
      </w:r>
      <w:r w:rsidR="00D90CD4">
        <w:t>can</w:t>
      </w:r>
      <w:r w:rsidR="001148E6">
        <w:t xml:space="preserve"> plan, at the minimum on an annual basis</w:t>
      </w:r>
      <w:r w:rsidRPr="00B86740">
        <w:t xml:space="preserve">. </w:t>
      </w:r>
    </w:p>
    <w:p w14:paraId="7CF5E73F" w14:textId="0B661AAF" w:rsidR="00740E0F" w:rsidRDefault="006C06BE" w:rsidP="00F721FD">
      <w:r w:rsidRPr="00F721FD">
        <w:t xml:space="preserve">The overwhelming comment </w:t>
      </w:r>
      <w:r w:rsidR="00B12227">
        <w:t>raised,</w:t>
      </w:r>
      <w:r w:rsidR="007C7B40">
        <w:t xml:space="preserve"> during the consultation process,</w:t>
      </w:r>
      <w:r w:rsidR="00B12227">
        <w:t xml:space="preserve"> was</w:t>
      </w:r>
      <w:r w:rsidR="00442B42">
        <w:t xml:space="preserve"> </w:t>
      </w:r>
      <w:r w:rsidRPr="00F721FD">
        <w:t xml:space="preserve">for an extension of </w:t>
      </w:r>
      <w:r w:rsidR="004406EB">
        <w:t xml:space="preserve">the </w:t>
      </w:r>
      <w:r w:rsidRPr="00F721FD">
        <w:t xml:space="preserve">funding </w:t>
      </w:r>
      <w:r w:rsidR="004406EB">
        <w:t xml:space="preserve">term </w:t>
      </w:r>
      <w:r w:rsidRPr="00F721FD">
        <w:t>from one year to three years</w:t>
      </w:r>
      <w:r w:rsidR="004406EB">
        <w:t xml:space="preserve"> for the I</w:t>
      </w:r>
      <w:r w:rsidR="0044172C">
        <w:t xml:space="preserve">ndustry </w:t>
      </w:r>
      <w:r w:rsidR="004406EB">
        <w:t>I</w:t>
      </w:r>
      <w:r w:rsidR="0044172C">
        <w:t>nvestment Program</w:t>
      </w:r>
      <w:r w:rsidRPr="00F721FD">
        <w:t xml:space="preserve">. Many of the examples </w:t>
      </w:r>
      <w:r w:rsidR="004406EB">
        <w:t>i</w:t>
      </w:r>
      <w:r w:rsidRPr="00F721FD">
        <w:t xml:space="preserve">ndicated the operational impacts of single year funding – particularly retention of staff and securing leases for premises. The provision of </w:t>
      </w:r>
      <w:r w:rsidR="00CF367C" w:rsidRPr="00F721FD">
        <w:t>three-year</w:t>
      </w:r>
      <w:r w:rsidRPr="00F721FD">
        <w:t xml:space="preserve"> funding with the tailoring of requirements to reflect an organisation’s capacity </w:t>
      </w:r>
      <w:r w:rsidR="001F64DE" w:rsidRPr="00F721FD">
        <w:t xml:space="preserve">and standardisation of applications and acquittals </w:t>
      </w:r>
      <w:r w:rsidRPr="00F721FD">
        <w:t xml:space="preserve">would address many of the comments made. The details of this are provided within the Industry Investment Program </w:t>
      </w:r>
      <w:r w:rsidR="003E42EE" w:rsidRPr="00F721FD">
        <w:t>section.</w:t>
      </w:r>
    </w:p>
    <w:p w14:paraId="57759444" w14:textId="741E324F" w:rsidR="00FF4793" w:rsidRDefault="00FF4793" w:rsidP="00F721FD">
      <w:r>
        <w:t xml:space="preserve">A common issue raised by the industry, especially smaller </w:t>
      </w:r>
      <w:r w:rsidR="00241413">
        <w:t>State Sporting Associations</w:t>
      </w:r>
      <w:r>
        <w:t xml:space="preserve">, was </w:t>
      </w:r>
      <w:r w:rsidR="007C7B40">
        <w:t xml:space="preserve">a </w:t>
      </w:r>
      <w:r>
        <w:t xml:space="preserve">desire for the department to provide </w:t>
      </w:r>
      <w:r w:rsidR="00B46D6F">
        <w:t xml:space="preserve">best practice resources, including templates, example </w:t>
      </w:r>
      <w:r w:rsidR="00DE4241">
        <w:t>policies</w:t>
      </w:r>
      <w:r w:rsidR="00B46D6F">
        <w:t xml:space="preserve"> and procedures</w:t>
      </w:r>
      <w:r w:rsidR="00C70F9B">
        <w:t>.</w:t>
      </w:r>
    </w:p>
    <w:p w14:paraId="2F1CFC52" w14:textId="457CE8D9" w:rsidR="00B57D1F" w:rsidRDefault="00B57D1F" w:rsidP="00F721FD">
      <w:r>
        <w:t xml:space="preserve">During the consultation </w:t>
      </w:r>
      <w:r w:rsidR="00A13411">
        <w:t>period</w:t>
      </w:r>
      <w:r>
        <w:t xml:space="preserve"> there were </w:t>
      </w:r>
      <w:r w:rsidR="00D84579">
        <w:t>several</w:t>
      </w:r>
      <w:r>
        <w:t xml:space="preserve"> </w:t>
      </w:r>
      <w:r w:rsidR="004B3623">
        <w:t>announcements</w:t>
      </w:r>
      <w:r w:rsidR="00F906E6">
        <w:t xml:space="preserve"> by </w:t>
      </w:r>
      <w:r>
        <w:t>Sport Australia</w:t>
      </w:r>
      <w:r w:rsidR="00F906E6">
        <w:t xml:space="preserve"> relating to their </w:t>
      </w:r>
      <w:r w:rsidR="0082121B">
        <w:t>approach</w:t>
      </w:r>
      <w:r w:rsidR="00F906E6">
        <w:t xml:space="preserve"> to funding National </w:t>
      </w:r>
      <w:r w:rsidR="0082121B">
        <w:t>Associations</w:t>
      </w:r>
      <w:r w:rsidR="00F906E6">
        <w:t xml:space="preserve">. </w:t>
      </w:r>
      <w:r w:rsidR="000B174F">
        <w:t xml:space="preserve">It is still unknown how these announcements could impact the </w:t>
      </w:r>
      <w:r w:rsidR="0082121B">
        <w:t>resourcing</w:t>
      </w:r>
      <w:r w:rsidR="00555DF7">
        <w:t xml:space="preserve"> </w:t>
      </w:r>
      <w:r w:rsidR="004815D1">
        <w:t xml:space="preserve">and </w:t>
      </w:r>
      <w:r w:rsidR="008E433F">
        <w:t>focus</w:t>
      </w:r>
      <w:r w:rsidR="004815D1">
        <w:t xml:space="preserve"> </w:t>
      </w:r>
      <w:r w:rsidR="000B174F">
        <w:t xml:space="preserve">for Western Australian </w:t>
      </w:r>
      <w:r w:rsidR="00241413">
        <w:t>State Sporting Associations</w:t>
      </w:r>
      <w:r w:rsidR="000B174F">
        <w:t xml:space="preserve">. </w:t>
      </w:r>
      <w:r w:rsidR="00FB3475">
        <w:t xml:space="preserve">This </w:t>
      </w:r>
      <w:r w:rsidR="00C10838">
        <w:t xml:space="preserve">presents an opportunity for </w:t>
      </w:r>
      <w:r w:rsidR="007C7B40">
        <w:t xml:space="preserve">Western Australia </w:t>
      </w:r>
      <w:r w:rsidR="00C10838">
        <w:t xml:space="preserve">and </w:t>
      </w:r>
      <w:r w:rsidR="00FB3475">
        <w:t xml:space="preserve">will be an ongoing process </w:t>
      </w:r>
      <w:r w:rsidR="00555DF7">
        <w:t>with</w:t>
      </w:r>
      <w:r w:rsidR="00FB3475">
        <w:t xml:space="preserve"> communication between </w:t>
      </w:r>
      <w:r w:rsidR="0082121B">
        <w:t xml:space="preserve">the department, </w:t>
      </w:r>
      <w:r w:rsidR="00D156A6" w:rsidRPr="003F7288">
        <w:t>WA Sports Federation</w:t>
      </w:r>
      <w:r w:rsidR="00D156A6" w:rsidDel="00D156A6">
        <w:t xml:space="preserve"> </w:t>
      </w:r>
      <w:r w:rsidR="0082121B">
        <w:t xml:space="preserve">and Sport Australia. </w:t>
      </w:r>
      <w:r>
        <w:t xml:space="preserve"> </w:t>
      </w:r>
    </w:p>
    <w:p w14:paraId="123BBD67" w14:textId="77777777" w:rsidR="000C2CDB" w:rsidRPr="00F721FD" w:rsidRDefault="000C2CDB" w:rsidP="000D2A8E">
      <w:pPr>
        <w:pStyle w:val="Heading4"/>
      </w:pPr>
      <w:r w:rsidRPr="00F721FD">
        <w:t>Findings</w:t>
      </w:r>
    </w:p>
    <w:p w14:paraId="4C02FA8C" w14:textId="12122562" w:rsidR="00A65717" w:rsidRPr="00F721FD" w:rsidRDefault="00CB5BF0" w:rsidP="00E06782">
      <w:pPr>
        <w:pStyle w:val="ListParagraph"/>
        <w:numPr>
          <w:ilvl w:val="0"/>
          <w:numId w:val="5"/>
        </w:numPr>
      </w:pPr>
      <w:r w:rsidRPr="00F721FD">
        <w:t>The department s</w:t>
      </w:r>
      <w:r w:rsidR="006236D2">
        <w:t>hould look at s</w:t>
      </w:r>
      <w:r w:rsidRPr="00F721FD">
        <w:t>tandardis</w:t>
      </w:r>
      <w:r w:rsidR="006236D2">
        <w:t>ing</w:t>
      </w:r>
      <w:r w:rsidRPr="00F721FD">
        <w:t xml:space="preserve"> the application and acquittal process for programs </w:t>
      </w:r>
      <w:r w:rsidR="00352E87">
        <w:t xml:space="preserve">with aligned funding </w:t>
      </w:r>
      <w:r w:rsidR="008268C8">
        <w:t>outcomes</w:t>
      </w:r>
      <w:r w:rsidR="00352E87">
        <w:t xml:space="preserve">. </w:t>
      </w:r>
    </w:p>
    <w:p w14:paraId="28803B90" w14:textId="119DCA0E" w:rsidR="00AE7D07" w:rsidRPr="006236D2" w:rsidRDefault="00A65717" w:rsidP="00E06782">
      <w:pPr>
        <w:pStyle w:val="ListParagraph"/>
        <w:numPr>
          <w:ilvl w:val="0"/>
          <w:numId w:val="5"/>
        </w:numPr>
      </w:pPr>
      <w:r w:rsidRPr="00F721FD">
        <w:t xml:space="preserve">The department </w:t>
      </w:r>
      <w:r w:rsidR="006236D2" w:rsidRPr="003D7A08">
        <w:t>should</w:t>
      </w:r>
      <w:r w:rsidR="006236D2">
        <w:t xml:space="preserve"> </w:t>
      </w:r>
      <w:r w:rsidR="006236D2" w:rsidRPr="00F721FD">
        <w:t>progress</w:t>
      </w:r>
      <w:r w:rsidRPr="00F721FD">
        <w:t xml:space="preserve"> the development of a consolidated funding agreement with each State Sporting Association and Industry Recognised Organisation</w:t>
      </w:r>
      <w:r w:rsidR="006236D2">
        <w:t>.</w:t>
      </w:r>
    </w:p>
    <w:p w14:paraId="6DDB4FD2" w14:textId="497BEDAF" w:rsidR="008B0B80" w:rsidRPr="00F721FD" w:rsidRDefault="008B0B80" w:rsidP="00E06782">
      <w:pPr>
        <w:pStyle w:val="ListParagraph"/>
        <w:numPr>
          <w:ilvl w:val="0"/>
          <w:numId w:val="5"/>
        </w:numPr>
      </w:pPr>
      <w:r w:rsidRPr="00F721FD">
        <w:t xml:space="preserve">The department </w:t>
      </w:r>
      <w:r w:rsidRPr="00F721FD">
        <w:rPr>
          <w:lang w:val="en-US"/>
        </w:rPr>
        <w:t xml:space="preserve">should provide </w:t>
      </w:r>
      <w:r w:rsidR="00D84579">
        <w:rPr>
          <w:lang w:val="en-US"/>
        </w:rPr>
        <w:t xml:space="preserve">online </w:t>
      </w:r>
      <w:r w:rsidRPr="00F721FD">
        <w:rPr>
          <w:lang w:val="en-US"/>
        </w:rPr>
        <w:t>best practice</w:t>
      </w:r>
      <w:r w:rsidR="00D84579">
        <w:rPr>
          <w:lang w:val="en-US"/>
        </w:rPr>
        <w:t xml:space="preserve"> guidance </w:t>
      </w:r>
      <w:r w:rsidRPr="00F721FD">
        <w:rPr>
          <w:lang w:val="en-US"/>
        </w:rPr>
        <w:t>including</w:t>
      </w:r>
      <w:r w:rsidR="00352E87">
        <w:rPr>
          <w:lang w:val="en-US"/>
        </w:rPr>
        <w:t xml:space="preserve"> </w:t>
      </w:r>
      <w:r w:rsidRPr="00F721FD">
        <w:rPr>
          <w:lang w:val="en-US"/>
        </w:rPr>
        <w:t>templates, policies and procedures</w:t>
      </w:r>
      <w:r w:rsidR="004414E9">
        <w:rPr>
          <w:lang w:val="en-US"/>
        </w:rPr>
        <w:t xml:space="preserve"> for State Sporting Associations</w:t>
      </w:r>
      <w:r w:rsidRPr="00F721FD">
        <w:rPr>
          <w:lang w:val="en-US"/>
        </w:rPr>
        <w:t>.</w:t>
      </w:r>
    </w:p>
    <w:p w14:paraId="22F6177B" w14:textId="457AD1F3" w:rsidR="00423A1D" w:rsidRPr="00F721FD" w:rsidRDefault="008B0B80" w:rsidP="00F721FD">
      <w:pPr>
        <w:pStyle w:val="ListParagraph"/>
        <w:numPr>
          <w:ilvl w:val="0"/>
          <w:numId w:val="5"/>
        </w:numPr>
      </w:pPr>
      <w:r w:rsidRPr="00704142">
        <w:rPr>
          <w:lang w:val="en-US"/>
        </w:rPr>
        <w:t xml:space="preserve">The department and the industry </w:t>
      </w:r>
      <w:r w:rsidR="00D84579">
        <w:rPr>
          <w:lang w:val="en-US"/>
        </w:rPr>
        <w:t xml:space="preserve">should </w:t>
      </w:r>
      <w:r w:rsidR="002424E9" w:rsidRPr="00704142">
        <w:rPr>
          <w:lang w:val="en-US"/>
        </w:rPr>
        <w:t>work</w:t>
      </w:r>
      <w:r w:rsidRPr="00704142">
        <w:rPr>
          <w:lang w:val="en-US"/>
        </w:rPr>
        <w:t xml:space="preserve"> with </w:t>
      </w:r>
      <w:r w:rsidR="00E252E0" w:rsidRPr="00704142">
        <w:rPr>
          <w:lang w:val="en-US"/>
        </w:rPr>
        <w:t>Sport Australia</w:t>
      </w:r>
      <w:r w:rsidRPr="00704142">
        <w:rPr>
          <w:lang w:val="en-US"/>
        </w:rPr>
        <w:t xml:space="preserve"> to assist in the simplification of compliance and industry standards</w:t>
      </w:r>
      <w:r w:rsidR="00DF0170">
        <w:rPr>
          <w:lang w:val="en-US"/>
        </w:rPr>
        <w:t>,</w:t>
      </w:r>
      <w:r w:rsidRPr="00704142">
        <w:rPr>
          <w:lang w:val="en-US"/>
        </w:rPr>
        <w:t xml:space="preserve"> and for the N</w:t>
      </w:r>
      <w:r w:rsidR="00DF0170">
        <w:rPr>
          <w:lang w:val="en-US"/>
        </w:rPr>
        <w:t xml:space="preserve">ational </w:t>
      </w:r>
      <w:r w:rsidRPr="00704142">
        <w:rPr>
          <w:lang w:val="en-US"/>
        </w:rPr>
        <w:t>S</w:t>
      </w:r>
      <w:r w:rsidR="005755A0">
        <w:rPr>
          <w:lang w:val="en-US"/>
        </w:rPr>
        <w:t xml:space="preserve">porting </w:t>
      </w:r>
      <w:r w:rsidR="005755A0" w:rsidRPr="00704142">
        <w:rPr>
          <w:lang w:val="en-US"/>
        </w:rPr>
        <w:t>O</w:t>
      </w:r>
      <w:r w:rsidR="005755A0">
        <w:rPr>
          <w:lang w:val="en-US"/>
        </w:rPr>
        <w:t>rganisation</w:t>
      </w:r>
      <w:r w:rsidR="005755A0" w:rsidRPr="00704142">
        <w:rPr>
          <w:lang w:val="en-US"/>
        </w:rPr>
        <w:t>s</w:t>
      </w:r>
      <w:r w:rsidRPr="00704142">
        <w:rPr>
          <w:lang w:val="en-US"/>
        </w:rPr>
        <w:t xml:space="preserve"> to assist </w:t>
      </w:r>
      <w:r w:rsidR="00E252E0" w:rsidRPr="00704142">
        <w:rPr>
          <w:lang w:val="en-US"/>
        </w:rPr>
        <w:t>Western Australian</w:t>
      </w:r>
      <w:r w:rsidRPr="00704142">
        <w:rPr>
          <w:lang w:val="en-US"/>
        </w:rPr>
        <w:t xml:space="preserve"> </w:t>
      </w:r>
      <w:r w:rsidR="00241413">
        <w:t>State Sporting Associations</w:t>
      </w:r>
      <w:r w:rsidR="00D84EC1" w:rsidRPr="00704142">
        <w:rPr>
          <w:lang w:val="en-US"/>
        </w:rPr>
        <w:t>.</w:t>
      </w:r>
    </w:p>
    <w:p w14:paraId="0F7AC93E" w14:textId="2E361B4B" w:rsidR="008C4240" w:rsidRPr="00F721FD" w:rsidRDefault="00773CBC" w:rsidP="00C6229A">
      <w:pPr>
        <w:pStyle w:val="Heading2"/>
      </w:pPr>
      <w:bookmarkStart w:id="16" w:name="_Toc1571676"/>
      <w:r w:rsidRPr="00F721FD">
        <w:lastRenderedPageBreak/>
        <w:t xml:space="preserve">The </w:t>
      </w:r>
      <w:r w:rsidR="00C56D36">
        <w:t>w</w:t>
      </w:r>
      <w:r w:rsidRPr="00F721FD">
        <w:t xml:space="preserve">ider </w:t>
      </w:r>
      <w:r w:rsidR="00C56D36">
        <w:t>c</w:t>
      </w:r>
      <w:r w:rsidRPr="00F721FD">
        <w:t>ontext</w:t>
      </w:r>
      <w:r w:rsidR="00F67349" w:rsidRPr="00F721FD">
        <w:t xml:space="preserve"> and external influences</w:t>
      </w:r>
      <w:bookmarkEnd w:id="16"/>
    </w:p>
    <w:p w14:paraId="6B313B3A" w14:textId="55D78D3C" w:rsidR="00773CBC" w:rsidRPr="00F721FD" w:rsidRDefault="00C147D8" w:rsidP="000D2A8E">
      <w:pPr>
        <w:pStyle w:val="Heading3"/>
      </w:pPr>
      <w:bookmarkStart w:id="17" w:name="_Toc1571677"/>
      <w:r w:rsidRPr="00F721FD">
        <w:t>How does the sport and recreation sector engage with the health</w:t>
      </w:r>
      <w:r w:rsidR="00FE12DB" w:rsidRPr="00F721FD">
        <w:t xml:space="preserve"> and education</w:t>
      </w:r>
      <w:r w:rsidR="00B33802">
        <w:rPr>
          <w:rStyle w:val="FootnoteReference"/>
        </w:rPr>
        <w:footnoteReference w:id="8"/>
      </w:r>
      <w:r w:rsidRPr="00F721FD">
        <w:t xml:space="preserve"> sector</w:t>
      </w:r>
      <w:r w:rsidR="00FE12DB" w:rsidRPr="00F721FD">
        <w:t>s</w:t>
      </w:r>
      <w:r w:rsidRPr="00F721FD">
        <w:t xml:space="preserve"> in a more meaningful way?</w:t>
      </w:r>
      <w:bookmarkEnd w:id="17"/>
    </w:p>
    <w:p w14:paraId="5ABA0E4A" w14:textId="1FB95A8A" w:rsidR="00773CBC" w:rsidRDefault="0053508B">
      <w:r w:rsidRPr="0053508B">
        <w:t>It was clear from feedback received</w:t>
      </w:r>
      <w:r w:rsidR="00D84579">
        <w:t xml:space="preserve"> during the consultation process</w:t>
      </w:r>
      <w:r w:rsidRPr="0053508B">
        <w:t xml:space="preserve"> that the</w:t>
      </w:r>
      <w:r w:rsidR="00D84579">
        <w:t xml:space="preserve"> sport and recreation</w:t>
      </w:r>
      <w:r w:rsidRPr="0053508B">
        <w:t xml:space="preserve"> industry </w:t>
      </w:r>
      <w:r w:rsidR="00D84579">
        <w:t xml:space="preserve">needs </w:t>
      </w:r>
      <w:r w:rsidRPr="0053508B">
        <w:t xml:space="preserve">a greater level of advocacy </w:t>
      </w:r>
      <w:r w:rsidR="00D84579">
        <w:t>about the</w:t>
      </w:r>
      <w:r w:rsidRPr="0053508B">
        <w:t xml:space="preserve"> benefits of sport and recreation</w:t>
      </w:r>
      <w:r w:rsidR="00D84579">
        <w:t xml:space="preserve"> to the </w:t>
      </w:r>
      <w:r w:rsidRPr="0053508B">
        <w:t>health sector. Key to this intent is the ability to articulate the value in</w:t>
      </w:r>
      <w:r w:rsidR="0044529D">
        <w:t>to</w:t>
      </w:r>
      <w:r w:rsidRPr="0053508B">
        <w:t xml:space="preserve"> similar metrics </w:t>
      </w:r>
      <w:r w:rsidR="0044529D">
        <w:t>of</w:t>
      </w:r>
      <w:r w:rsidRPr="0053508B">
        <w:t xml:space="preserve"> the health sector. </w:t>
      </w:r>
    </w:p>
    <w:p w14:paraId="1BDD3D9C" w14:textId="3E9C7DF8" w:rsidR="007C139C" w:rsidRDefault="007C139C" w:rsidP="007C139C">
      <w:r>
        <w:t>To do this successfully</w:t>
      </w:r>
      <w:r w:rsidR="003D29CB">
        <w:t>,</w:t>
      </w:r>
      <w:r>
        <w:t xml:space="preserve"> a greater level of investment is needed into research and evaluation. Key areas of research identified by the industry included return on investment and social impact value. It is believed that being able to articulate these measures in a reliable way would advance advocacy efforts for a greater allocation of the State’s budget and </w:t>
      </w:r>
      <w:r w:rsidR="0044529D">
        <w:t xml:space="preserve">may </w:t>
      </w:r>
      <w:r>
        <w:t>be able to assist the industry in appl</w:t>
      </w:r>
      <w:r w:rsidR="0044529D">
        <w:t xml:space="preserve">ying for </w:t>
      </w:r>
      <w:r>
        <w:t xml:space="preserve">funding programs </w:t>
      </w:r>
      <w:r w:rsidR="00D84579">
        <w:t xml:space="preserve">from </w:t>
      </w:r>
      <w:r>
        <w:t xml:space="preserve">outside the department. </w:t>
      </w:r>
    </w:p>
    <w:p w14:paraId="3F195977" w14:textId="084B9346" w:rsidR="00932C95" w:rsidRDefault="001F64DE" w:rsidP="00932C95">
      <w:r w:rsidRPr="00F721FD">
        <w:t>In relation to the establishment of a</w:t>
      </w:r>
      <w:r w:rsidR="00166B7C" w:rsidRPr="00F721FD">
        <w:t xml:space="preserve"> </w:t>
      </w:r>
      <w:r w:rsidR="00DC5432">
        <w:t>u</w:t>
      </w:r>
      <w:r w:rsidR="00166B7C" w:rsidRPr="00F721FD">
        <w:t xml:space="preserve">niversal unit of measurement </w:t>
      </w:r>
      <w:r w:rsidRPr="00F721FD">
        <w:t xml:space="preserve">there was support for the concept and agreement that measuring participation would be more meaningful than just </w:t>
      </w:r>
      <w:r w:rsidR="008B0B80" w:rsidRPr="00F721FD">
        <w:t>membership</w:t>
      </w:r>
      <w:r w:rsidR="00944339">
        <w:t>. I</w:t>
      </w:r>
      <w:r w:rsidRPr="00F721FD">
        <w:t xml:space="preserve">t was concluded that this needs to </w:t>
      </w:r>
      <w:r w:rsidR="00944339">
        <w:t>be explored</w:t>
      </w:r>
      <w:r w:rsidRPr="00F721FD">
        <w:t xml:space="preserve"> through a separate piece of work. </w:t>
      </w:r>
    </w:p>
    <w:p w14:paraId="6F2FEA8B" w14:textId="54F19BA1" w:rsidR="00932C95" w:rsidRDefault="00932C95" w:rsidP="00932C95">
      <w:r>
        <w:t xml:space="preserve">It was also noted that the relationship between the </w:t>
      </w:r>
      <w:r w:rsidR="00173555">
        <w:t>industry</w:t>
      </w:r>
      <w:r>
        <w:t xml:space="preserve"> and the Department</w:t>
      </w:r>
      <w:r w:rsidR="00BB2CD1">
        <w:t>s</w:t>
      </w:r>
      <w:r>
        <w:t xml:space="preserve"> of Health and Education should be strengthened</w:t>
      </w:r>
      <w:r w:rsidR="00173555">
        <w:t xml:space="preserve">, facilitated </w:t>
      </w:r>
      <w:r w:rsidR="001B5AB5">
        <w:t xml:space="preserve">with assistance </w:t>
      </w:r>
      <w:r w:rsidR="0033375F">
        <w:t>from</w:t>
      </w:r>
      <w:r w:rsidR="00173555">
        <w:t xml:space="preserve"> the department. </w:t>
      </w:r>
    </w:p>
    <w:p w14:paraId="0DE9FDB8" w14:textId="77777777" w:rsidR="000C2CDB" w:rsidRPr="00F721FD" w:rsidRDefault="000C2CDB" w:rsidP="000D2A8E">
      <w:pPr>
        <w:pStyle w:val="Heading4"/>
      </w:pPr>
      <w:r w:rsidRPr="00F721FD">
        <w:t>Findings</w:t>
      </w:r>
    </w:p>
    <w:p w14:paraId="2EC30E37" w14:textId="4A08AE9D" w:rsidR="00773CBC" w:rsidRPr="00F721FD" w:rsidRDefault="008B0B80" w:rsidP="00E06782">
      <w:pPr>
        <w:pStyle w:val="ListParagraph"/>
        <w:numPr>
          <w:ilvl w:val="0"/>
          <w:numId w:val="5"/>
        </w:numPr>
      </w:pPr>
      <w:r w:rsidRPr="00F721FD">
        <w:t xml:space="preserve">The department and the industry need to </w:t>
      </w:r>
      <w:r w:rsidR="00D84579">
        <w:t>engage more effectively with the</w:t>
      </w:r>
      <w:r w:rsidRPr="00F721FD">
        <w:t xml:space="preserve"> health and education sector</w:t>
      </w:r>
      <w:r w:rsidR="00817056">
        <w:t>s</w:t>
      </w:r>
      <w:r w:rsidRPr="00F721FD">
        <w:t>.</w:t>
      </w:r>
    </w:p>
    <w:p w14:paraId="0CD84310" w14:textId="109B1128" w:rsidR="00B2115C" w:rsidRDefault="00B2115C" w:rsidP="00E06782">
      <w:pPr>
        <w:pStyle w:val="ListParagraph"/>
        <w:numPr>
          <w:ilvl w:val="0"/>
          <w:numId w:val="5"/>
        </w:numPr>
      </w:pPr>
      <w:r>
        <w:t>The department should consider</w:t>
      </w:r>
      <w:r w:rsidRPr="00F721FD">
        <w:t xml:space="preserve"> </w:t>
      </w:r>
      <w:r w:rsidR="0033375F">
        <w:t xml:space="preserve">adopting a </w:t>
      </w:r>
      <w:r w:rsidR="0058442C">
        <w:t xml:space="preserve">whole of government </w:t>
      </w:r>
      <w:r w:rsidR="00D84579" w:rsidRPr="00F721FD">
        <w:t>language</w:t>
      </w:r>
      <w:r w:rsidR="0058442C">
        <w:t>,</w:t>
      </w:r>
      <w:r w:rsidR="00D84579" w:rsidRPr="00F721FD">
        <w:t xml:space="preserve"> </w:t>
      </w:r>
      <w:r w:rsidR="0033375F">
        <w:t>common</w:t>
      </w:r>
      <w:r w:rsidRPr="00F721FD">
        <w:t xml:space="preserve"> </w:t>
      </w:r>
      <w:r w:rsidR="0033375F">
        <w:t>to</w:t>
      </w:r>
      <w:r w:rsidRPr="00F721FD">
        <w:t xml:space="preserve"> the health and education sector</w:t>
      </w:r>
      <w:r>
        <w:t>s</w:t>
      </w:r>
      <w:r w:rsidRPr="00F721FD">
        <w:t>.</w:t>
      </w:r>
    </w:p>
    <w:p w14:paraId="1CAE658D" w14:textId="4A1A1566" w:rsidR="00B052D6" w:rsidRDefault="008B0B80" w:rsidP="00E06782">
      <w:pPr>
        <w:pStyle w:val="ListParagraph"/>
        <w:numPr>
          <w:ilvl w:val="0"/>
          <w:numId w:val="5"/>
        </w:numPr>
      </w:pPr>
      <w:r w:rsidRPr="00F721FD">
        <w:t xml:space="preserve">The department </w:t>
      </w:r>
      <w:r w:rsidR="00B2115C">
        <w:t>should investigate the</w:t>
      </w:r>
      <w:r w:rsidRPr="00F721FD">
        <w:t xml:space="preserve"> process </w:t>
      </w:r>
      <w:r w:rsidR="00B2115C">
        <w:t>of</w:t>
      </w:r>
      <w:r w:rsidRPr="00F721FD">
        <w:t xml:space="preserve"> </w:t>
      </w:r>
      <w:r w:rsidR="00B2115C">
        <w:t xml:space="preserve">developing </w:t>
      </w:r>
      <w:r w:rsidRPr="00F721FD">
        <w:t xml:space="preserve">a </w:t>
      </w:r>
      <w:r w:rsidR="0044529D">
        <w:t>universal u</w:t>
      </w:r>
      <w:r w:rsidRPr="00F721FD">
        <w:t xml:space="preserve">nit of </w:t>
      </w:r>
      <w:r w:rsidR="0044529D">
        <w:t>m</w:t>
      </w:r>
      <w:r w:rsidRPr="00F721FD">
        <w:t>easurement for the sport and recreation industry</w:t>
      </w:r>
      <w:r w:rsidR="00B2115C">
        <w:t>.</w:t>
      </w:r>
    </w:p>
    <w:p w14:paraId="65B3CE02" w14:textId="77777777" w:rsidR="001A2DBC" w:rsidRPr="00F721FD" w:rsidRDefault="001A2DBC" w:rsidP="001A2DBC"/>
    <w:p w14:paraId="651E9020" w14:textId="78E03E8A" w:rsidR="00C147D8" w:rsidRPr="00F721FD" w:rsidRDefault="00166B7C" w:rsidP="000D2A8E">
      <w:pPr>
        <w:pStyle w:val="Heading3"/>
      </w:pPr>
      <w:bookmarkStart w:id="18" w:name="_Toc1571678"/>
      <w:r w:rsidRPr="00F721FD">
        <w:t>Participati</w:t>
      </w:r>
      <w:r w:rsidR="00EE197A" w:rsidRPr="00F721FD">
        <w:t>o</w:t>
      </w:r>
      <w:r w:rsidRPr="00F721FD">
        <w:t>n in a changing environment</w:t>
      </w:r>
      <w:bookmarkEnd w:id="18"/>
    </w:p>
    <w:p w14:paraId="3C8D2EBA" w14:textId="6DE75C72" w:rsidR="007F5899" w:rsidRDefault="007F5899" w:rsidP="00F721FD">
      <w:r>
        <w:t xml:space="preserve">While this was not a topic </w:t>
      </w:r>
      <w:r w:rsidR="001F64DE" w:rsidRPr="00F721FD">
        <w:t>that rated highly in the</w:t>
      </w:r>
      <w:r w:rsidR="00697C27">
        <w:t xml:space="preserve"> consultation</w:t>
      </w:r>
      <w:r w:rsidR="001F64DE" w:rsidRPr="00F721FD">
        <w:t xml:space="preserve"> workshops, when it was discussed</w:t>
      </w:r>
      <w:r w:rsidR="00CC0752">
        <w:t>,</w:t>
      </w:r>
      <w:r w:rsidR="001F64DE" w:rsidRPr="00F721FD">
        <w:t xml:space="preserve"> it was discussed at length</w:t>
      </w:r>
      <w:r w:rsidR="007228B3" w:rsidRPr="00F721FD">
        <w:t>.</w:t>
      </w:r>
      <w:r w:rsidR="006A0A0B">
        <w:t xml:space="preserve"> </w:t>
      </w:r>
    </w:p>
    <w:p w14:paraId="608C09FE" w14:textId="21803B40" w:rsidR="00C147D8" w:rsidRPr="00F721FD" w:rsidRDefault="006A0A0B" w:rsidP="00F721FD">
      <w:r w:rsidRPr="00B85180">
        <w:t>T</w:t>
      </w:r>
      <w:r w:rsidR="007228B3" w:rsidRPr="00B85180">
        <w:t xml:space="preserve">here was recognition that this is a complex area and that there are challenges and </w:t>
      </w:r>
      <w:r w:rsidR="008C040D" w:rsidRPr="00B85180">
        <w:t xml:space="preserve">potential </w:t>
      </w:r>
      <w:r w:rsidR="007228B3" w:rsidRPr="00B85180">
        <w:t xml:space="preserve">changes </w:t>
      </w:r>
      <w:r w:rsidR="008C040D" w:rsidRPr="00B85180">
        <w:t xml:space="preserve">needed </w:t>
      </w:r>
      <w:r w:rsidR="007228B3" w:rsidRPr="00B85180">
        <w:t>to the traditional delivery model</w:t>
      </w:r>
      <w:r w:rsidR="00697C27">
        <w:t xml:space="preserve">. However, </w:t>
      </w:r>
      <w:r w:rsidR="007228B3" w:rsidRPr="00B85180">
        <w:t xml:space="preserve">what this </w:t>
      </w:r>
      <w:r w:rsidR="008C040D" w:rsidRPr="00B85180">
        <w:t xml:space="preserve">may </w:t>
      </w:r>
      <w:r w:rsidR="007228B3" w:rsidRPr="00B85180">
        <w:t>mean</w:t>
      </w:r>
      <w:r w:rsidR="008C040D" w:rsidRPr="00B85180">
        <w:t xml:space="preserve"> </w:t>
      </w:r>
      <w:r w:rsidR="007228B3" w:rsidRPr="00B85180">
        <w:t xml:space="preserve">for the industry </w:t>
      </w:r>
      <w:r w:rsidR="00697C27">
        <w:t>remain</w:t>
      </w:r>
      <w:r w:rsidR="0058442C">
        <w:t>ed</w:t>
      </w:r>
      <w:r w:rsidR="00B85180" w:rsidRPr="00B85180">
        <w:t xml:space="preserve"> </w:t>
      </w:r>
      <w:r w:rsidR="008C040D" w:rsidRPr="00B85180">
        <w:t>unresolved</w:t>
      </w:r>
      <w:r w:rsidR="007228B3" w:rsidRPr="00B85180">
        <w:t>.</w:t>
      </w:r>
    </w:p>
    <w:p w14:paraId="4390BFC3" w14:textId="25C4E67A" w:rsidR="00B933EA" w:rsidRDefault="007228B3" w:rsidP="00F721FD">
      <w:r w:rsidRPr="00F721FD">
        <w:t xml:space="preserve">There were comments suggesting that the focus on funding sport needs to be broadened to </w:t>
      </w:r>
      <w:r w:rsidR="001C092D">
        <w:t xml:space="preserve">include </w:t>
      </w:r>
      <w:r w:rsidRPr="00F721FD">
        <w:t>active re</w:t>
      </w:r>
      <w:r w:rsidR="009F0B3D">
        <w:t xml:space="preserve">creation and physical activity. This is in line with the </w:t>
      </w:r>
      <w:r w:rsidR="001C092D">
        <w:t xml:space="preserve">new strategic direction outlined in </w:t>
      </w:r>
      <w:r w:rsidR="00B92C83">
        <w:t>the National Sports Plan ‘</w:t>
      </w:r>
      <w:r w:rsidR="001C092D">
        <w:t>Sport 2030</w:t>
      </w:r>
      <w:r w:rsidR="00B92C83">
        <w:t>’</w:t>
      </w:r>
      <w:r w:rsidR="001C092D">
        <w:t xml:space="preserve"> by the Federal Government. This is notwithstanding that the industry does not view its core business </w:t>
      </w:r>
      <w:r w:rsidR="00301A8B">
        <w:t>as</w:t>
      </w:r>
      <w:r w:rsidR="001C092D">
        <w:t xml:space="preserve"> </w:t>
      </w:r>
      <w:r w:rsidR="00301A8B">
        <w:t xml:space="preserve">engaging </w:t>
      </w:r>
      <w:r w:rsidR="001C092D">
        <w:t xml:space="preserve">the ‘inactive’ </w:t>
      </w:r>
      <w:r w:rsidR="001C092D">
        <w:lastRenderedPageBreak/>
        <w:t xml:space="preserve">population. </w:t>
      </w:r>
      <w:r w:rsidR="00532532">
        <w:t>I</w:t>
      </w:r>
      <w:r w:rsidR="001C092D">
        <w:t>f the department intends to expand with a physical activity lens, it needs to consider the resource implications for the industry</w:t>
      </w:r>
      <w:r w:rsidR="00BE30CD">
        <w:t xml:space="preserve"> and how broader partners may be engaged. </w:t>
      </w:r>
    </w:p>
    <w:p w14:paraId="36664BF8" w14:textId="712A99F6" w:rsidR="00CC0752" w:rsidRDefault="00CC0752" w:rsidP="00F721FD">
      <w:r w:rsidRPr="00F721FD">
        <w:rPr>
          <w:lang w:val="en-US"/>
        </w:rPr>
        <w:t xml:space="preserve">There was also concern that </w:t>
      </w:r>
      <w:r>
        <w:rPr>
          <w:lang w:val="en-US"/>
        </w:rPr>
        <w:t>the S</w:t>
      </w:r>
      <w:r w:rsidRPr="00F721FD">
        <w:rPr>
          <w:lang w:val="en-US"/>
        </w:rPr>
        <w:t>tate and Federal</w:t>
      </w:r>
      <w:r>
        <w:rPr>
          <w:lang w:val="en-US"/>
        </w:rPr>
        <w:t xml:space="preserve"> governments </w:t>
      </w:r>
      <w:r w:rsidRPr="00F721FD">
        <w:rPr>
          <w:lang w:val="en-US"/>
        </w:rPr>
        <w:t xml:space="preserve">are disconnected from each other in their strategies and support </w:t>
      </w:r>
      <w:r>
        <w:rPr>
          <w:lang w:val="en-US"/>
        </w:rPr>
        <w:t>of</w:t>
      </w:r>
      <w:r w:rsidRPr="00F721FD">
        <w:rPr>
          <w:lang w:val="en-US"/>
        </w:rPr>
        <w:t xml:space="preserve"> </w:t>
      </w:r>
      <w:r>
        <w:rPr>
          <w:lang w:val="en-US"/>
        </w:rPr>
        <w:t xml:space="preserve">sport </w:t>
      </w:r>
      <w:r w:rsidRPr="00F721FD">
        <w:rPr>
          <w:lang w:val="en-US"/>
        </w:rPr>
        <w:t>delivery</w:t>
      </w:r>
      <w:r>
        <w:rPr>
          <w:lang w:val="en-US"/>
        </w:rPr>
        <w:t xml:space="preserve">. It was suggested </w:t>
      </w:r>
      <w:r w:rsidRPr="00F721FD">
        <w:rPr>
          <w:lang w:val="en-US"/>
        </w:rPr>
        <w:t xml:space="preserve">that </w:t>
      </w:r>
      <w:r>
        <w:rPr>
          <w:lang w:val="en-US"/>
        </w:rPr>
        <w:t>the State Government should work with</w:t>
      </w:r>
      <w:r w:rsidR="002F70A0">
        <w:rPr>
          <w:lang w:val="en-US"/>
        </w:rPr>
        <w:t>,</w:t>
      </w:r>
      <w:r>
        <w:rPr>
          <w:lang w:val="en-US"/>
        </w:rPr>
        <w:t xml:space="preserve"> and advocate to the </w:t>
      </w:r>
      <w:r w:rsidR="00697C27">
        <w:rPr>
          <w:lang w:val="en-US"/>
        </w:rPr>
        <w:t>Federal Government to streamline</w:t>
      </w:r>
      <w:r>
        <w:rPr>
          <w:lang w:val="en-US"/>
        </w:rPr>
        <w:t xml:space="preserve"> messaging. </w:t>
      </w:r>
    </w:p>
    <w:p w14:paraId="7D254167" w14:textId="0A615B24" w:rsidR="007228B3" w:rsidRDefault="007228B3" w:rsidP="00F721FD">
      <w:r w:rsidRPr="00F721FD">
        <w:t xml:space="preserve">Further, </w:t>
      </w:r>
      <w:r w:rsidR="00301A8B">
        <w:t>it was noted that there is</w:t>
      </w:r>
      <w:r w:rsidRPr="00F721FD">
        <w:t xml:space="preserve"> a distinct point of difference </w:t>
      </w:r>
      <w:r w:rsidR="00301A8B">
        <w:t>between the</w:t>
      </w:r>
      <w:r w:rsidRPr="00F721FD">
        <w:t xml:space="preserve"> traditional </w:t>
      </w:r>
      <w:r w:rsidR="00301A8B">
        <w:t xml:space="preserve">sport servicing </w:t>
      </w:r>
      <w:r w:rsidRPr="00F721FD">
        <w:t>model from a metropolitan and regional perspec</w:t>
      </w:r>
      <w:r w:rsidRPr="0055012A">
        <w:t>tive</w:t>
      </w:r>
      <w:r w:rsidR="008C040D" w:rsidRPr="0055012A">
        <w:t>,</w:t>
      </w:r>
      <w:r w:rsidRPr="0055012A">
        <w:t xml:space="preserve"> with</w:t>
      </w:r>
      <w:r w:rsidR="00301A8B" w:rsidRPr="0055012A">
        <w:t xml:space="preserve"> the</w:t>
      </w:r>
      <w:r w:rsidRPr="0055012A">
        <w:t xml:space="preserve"> regions concluding </w:t>
      </w:r>
      <w:r w:rsidR="007F5899" w:rsidRPr="0055012A">
        <w:t xml:space="preserve">that </w:t>
      </w:r>
      <w:r w:rsidR="00301A8B" w:rsidRPr="0055012A">
        <w:t xml:space="preserve">the </w:t>
      </w:r>
      <w:r w:rsidR="007F5899" w:rsidRPr="0055012A">
        <w:t xml:space="preserve">level of service is often not reflective of investment. </w:t>
      </w:r>
      <w:r w:rsidR="00301A8B">
        <w:t xml:space="preserve">It was suggested that </w:t>
      </w:r>
      <w:r w:rsidR="00155D08">
        <w:t>additional</w:t>
      </w:r>
      <w:r w:rsidR="00301A8B">
        <w:t xml:space="preserve"> delivery models be </w:t>
      </w:r>
      <w:r w:rsidR="0055012A">
        <w:t>explored</w:t>
      </w:r>
      <w:r w:rsidR="00155D08">
        <w:t xml:space="preserve"> to complement the traditional delivery model</w:t>
      </w:r>
      <w:r w:rsidR="0055012A">
        <w:t xml:space="preserve">. This </w:t>
      </w:r>
      <w:r w:rsidR="004C7938">
        <w:t>is</w:t>
      </w:r>
      <w:r w:rsidR="0055012A">
        <w:t xml:space="preserve"> considered within the Regional Grants section</w:t>
      </w:r>
      <w:r w:rsidR="004C7938">
        <w:t xml:space="preserve"> of </w:t>
      </w:r>
      <w:r w:rsidR="00697C27">
        <w:t xml:space="preserve">this </w:t>
      </w:r>
      <w:r w:rsidR="004C7938">
        <w:t xml:space="preserve">report. </w:t>
      </w:r>
      <w:r w:rsidR="0055012A">
        <w:t xml:space="preserve"> </w:t>
      </w:r>
    </w:p>
    <w:p w14:paraId="230A5AD0" w14:textId="23B5B565" w:rsidR="00AD3C60" w:rsidRPr="002B04B0" w:rsidRDefault="00696482" w:rsidP="00F721FD">
      <w:r w:rsidRPr="002B04B0">
        <w:t xml:space="preserve">Through the consultation it was noted that </w:t>
      </w:r>
      <w:r w:rsidR="00697C27">
        <w:t xml:space="preserve">local government is </w:t>
      </w:r>
      <w:r w:rsidRPr="002B04B0">
        <w:t>often the forgotten partner</w:t>
      </w:r>
      <w:r w:rsidR="00697C27">
        <w:t xml:space="preserve"> in sport and recreation, and that engagement s</w:t>
      </w:r>
      <w:r w:rsidR="002B04B0">
        <w:t xml:space="preserve">hould occur more regularly. </w:t>
      </w:r>
    </w:p>
    <w:p w14:paraId="516C93E3" w14:textId="43C77AA4" w:rsidR="001A2DBC" w:rsidRPr="00F721FD" w:rsidRDefault="004C7938" w:rsidP="00F721FD">
      <w:r>
        <w:t>There was also a considerable commentary regarding gaps in the current funding programs that the department offers. This included</w:t>
      </w:r>
      <w:r w:rsidR="0074454A">
        <w:t xml:space="preserve"> how the department supports events, participation and active recreation opportunities. </w:t>
      </w:r>
      <w:r>
        <w:t xml:space="preserve"> </w:t>
      </w:r>
    </w:p>
    <w:p w14:paraId="60E03292" w14:textId="77777777" w:rsidR="000C2CDB" w:rsidRPr="00F721FD" w:rsidRDefault="000C2CDB" w:rsidP="000D2A8E">
      <w:pPr>
        <w:pStyle w:val="Heading4"/>
      </w:pPr>
      <w:r w:rsidRPr="00F721FD">
        <w:t>Findings</w:t>
      </w:r>
    </w:p>
    <w:p w14:paraId="4473C346" w14:textId="029D0BB0" w:rsidR="0055012A" w:rsidRPr="004C0F7C" w:rsidRDefault="0055012A" w:rsidP="00E06782">
      <w:pPr>
        <w:pStyle w:val="ListParagraph"/>
        <w:numPr>
          <w:ilvl w:val="0"/>
          <w:numId w:val="5"/>
        </w:numPr>
      </w:pPr>
      <w:r w:rsidRPr="00D2612B">
        <w:t>The</w:t>
      </w:r>
      <w:r w:rsidR="00D2612B" w:rsidRPr="00D2612B">
        <w:t xml:space="preserve"> expansion of the </w:t>
      </w:r>
      <w:r w:rsidR="00035FD9">
        <w:t>definition</w:t>
      </w:r>
      <w:r w:rsidR="00D2612B" w:rsidRPr="00D2612B">
        <w:t xml:space="preserve"> of sport at a </w:t>
      </w:r>
      <w:r w:rsidR="00697C27">
        <w:t>F</w:t>
      </w:r>
      <w:r w:rsidR="00697C27" w:rsidRPr="00D2612B">
        <w:t xml:space="preserve">ederal </w:t>
      </w:r>
      <w:r w:rsidR="00D2612B" w:rsidRPr="00D2612B">
        <w:t>level to include physical activity needs to be</w:t>
      </w:r>
      <w:r w:rsidR="004C0F7C">
        <w:t xml:space="preserve"> reviewed at a </w:t>
      </w:r>
      <w:r w:rsidR="00697C27">
        <w:t>S</w:t>
      </w:r>
      <w:r w:rsidR="004C0F7C">
        <w:t xml:space="preserve">tate level with a position statement considered. </w:t>
      </w:r>
    </w:p>
    <w:p w14:paraId="5B0D01D1" w14:textId="5C4E5730" w:rsidR="007908DF" w:rsidRPr="004C0F7C" w:rsidRDefault="007908DF" w:rsidP="00E06782">
      <w:pPr>
        <w:pStyle w:val="ListParagraph"/>
        <w:numPr>
          <w:ilvl w:val="0"/>
          <w:numId w:val="5"/>
        </w:numPr>
      </w:pPr>
      <w:r w:rsidRPr="004C0F7C">
        <w:t xml:space="preserve">There is a point of difference between regional and metropolitan participants as to the value of investing in the traditional delivery model. </w:t>
      </w:r>
    </w:p>
    <w:p w14:paraId="64447D4D" w14:textId="23E5483C" w:rsidR="007908DF" w:rsidRPr="00F721FD" w:rsidRDefault="007908DF" w:rsidP="00E06782">
      <w:pPr>
        <w:pStyle w:val="ListParagraph"/>
        <w:numPr>
          <w:ilvl w:val="0"/>
          <w:numId w:val="5"/>
        </w:numPr>
      </w:pPr>
      <w:r w:rsidRPr="00F721FD">
        <w:t xml:space="preserve">Local </w:t>
      </w:r>
      <w:r w:rsidR="00697C27">
        <w:t>g</w:t>
      </w:r>
      <w:r w:rsidRPr="00F721FD">
        <w:t xml:space="preserve">overnment </w:t>
      </w:r>
      <w:r w:rsidR="00697C27">
        <w:t>is</w:t>
      </w:r>
      <w:r w:rsidR="00697C27" w:rsidRPr="00F721FD">
        <w:t xml:space="preserve"> </w:t>
      </w:r>
      <w:r w:rsidRPr="00F721FD">
        <w:t xml:space="preserve">a major player in </w:t>
      </w:r>
      <w:r w:rsidR="00697C27">
        <w:t xml:space="preserve">community </w:t>
      </w:r>
      <w:r w:rsidRPr="00F721FD">
        <w:t>sport and recreation and need</w:t>
      </w:r>
      <w:r w:rsidR="00697C27">
        <w:t>s</w:t>
      </w:r>
      <w:r w:rsidRPr="00F721FD">
        <w:t xml:space="preserve"> to be factored into the delivery model</w:t>
      </w:r>
      <w:r w:rsidR="00AD3C60">
        <w:t xml:space="preserve">. </w:t>
      </w:r>
    </w:p>
    <w:p w14:paraId="11FE2BF0" w14:textId="3FB0C0AC" w:rsidR="00D10DFE" w:rsidRDefault="00B362DF" w:rsidP="00E06782">
      <w:pPr>
        <w:pStyle w:val="ListParagraph"/>
        <w:numPr>
          <w:ilvl w:val="0"/>
          <w:numId w:val="5"/>
        </w:numPr>
      </w:pPr>
      <w:r w:rsidRPr="0074454A">
        <w:t xml:space="preserve">There are </w:t>
      </w:r>
      <w:r w:rsidR="00791597" w:rsidRPr="0074454A">
        <w:t xml:space="preserve">market </w:t>
      </w:r>
      <w:r w:rsidRPr="0074454A">
        <w:t xml:space="preserve">gaps in </w:t>
      </w:r>
      <w:r w:rsidR="00F44E01" w:rsidRPr="0074454A">
        <w:t xml:space="preserve">how the department supports events, </w:t>
      </w:r>
      <w:r w:rsidR="00BF07CF" w:rsidRPr="0074454A">
        <w:t xml:space="preserve">participation and </w:t>
      </w:r>
      <w:r w:rsidR="0074454A" w:rsidRPr="0074454A">
        <w:t xml:space="preserve">active recreation opportunities. </w:t>
      </w:r>
    </w:p>
    <w:p w14:paraId="10AF4CD0" w14:textId="7ADC6C15" w:rsidR="00D10DFE" w:rsidRDefault="00D10DFE" w:rsidP="00084BC8"/>
    <w:p w14:paraId="67B55BA1" w14:textId="6293EEF8" w:rsidR="00773CBC" w:rsidRPr="00F721FD" w:rsidRDefault="00166B7C">
      <w:pPr>
        <w:pStyle w:val="Heading3"/>
      </w:pPr>
      <w:bookmarkStart w:id="19" w:name="_Toc1571679"/>
      <w:r w:rsidRPr="00F721FD">
        <w:t xml:space="preserve">WA </w:t>
      </w:r>
      <w:r w:rsidR="00C56D36">
        <w:t>c</w:t>
      </w:r>
      <w:r w:rsidRPr="00F721FD">
        <w:t>hallenges</w:t>
      </w:r>
      <w:bookmarkEnd w:id="19"/>
    </w:p>
    <w:p w14:paraId="2BCC598F" w14:textId="30890A12" w:rsidR="00AF1104" w:rsidRDefault="00B3652B" w:rsidP="00F721FD">
      <w:pPr>
        <w:rPr>
          <w:lang w:val="en-US"/>
        </w:rPr>
      </w:pPr>
      <w:r>
        <w:rPr>
          <w:lang w:val="en-US"/>
        </w:rPr>
        <w:t>I</w:t>
      </w:r>
      <w:r w:rsidR="00AF1104" w:rsidRPr="00F721FD">
        <w:rPr>
          <w:lang w:val="en-US"/>
        </w:rPr>
        <w:t xml:space="preserve">t was generally accepted </w:t>
      </w:r>
      <w:r w:rsidR="00697C27">
        <w:rPr>
          <w:lang w:val="en-US"/>
        </w:rPr>
        <w:t xml:space="preserve">during the consultation process </w:t>
      </w:r>
      <w:r w:rsidR="00AF1104" w:rsidRPr="00F721FD">
        <w:rPr>
          <w:lang w:val="en-US"/>
        </w:rPr>
        <w:t xml:space="preserve">that </w:t>
      </w:r>
      <w:r w:rsidR="00697C27">
        <w:rPr>
          <w:lang w:val="en-US"/>
        </w:rPr>
        <w:t>Western Australia</w:t>
      </w:r>
      <w:r w:rsidR="00697C27" w:rsidRPr="00F721FD">
        <w:rPr>
          <w:lang w:val="en-US"/>
        </w:rPr>
        <w:t xml:space="preserve"> </w:t>
      </w:r>
      <w:r w:rsidR="00697C27">
        <w:rPr>
          <w:lang w:val="en-US"/>
        </w:rPr>
        <w:t>faces</w:t>
      </w:r>
      <w:r w:rsidR="00AF1104" w:rsidRPr="00F721FD">
        <w:rPr>
          <w:lang w:val="en-US"/>
        </w:rPr>
        <w:t xml:space="preserve"> challenges based on its </w:t>
      </w:r>
      <w:r w:rsidR="00697C27">
        <w:rPr>
          <w:lang w:val="en-US"/>
        </w:rPr>
        <w:t xml:space="preserve">geographical </w:t>
      </w:r>
      <w:r w:rsidR="00AF1104" w:rsidRPr="00F721FD">
        <w:rPr>
          <w:lang w:val="en-US"/>
        </w:rPr>
        <w:t>size</w:t>
      </w:r>
      <w:r>
        <w:rPr>
          <w:lang w:val="en-US"/>
        </w:rPr>
        <w:t xml:space="preserve"> and </w:t>
      </w:r>
      <w:r w:rsidR="00BB1B4B">
        <w:rPr>
          <w:lang w:val="en-US"/>
        </w:rPr>
        <w:t xml:space="preserve">dispersed </w:t>
      </w:r>
      <w:r w:rsidR="00AF1104" w:rsidRPr="00F721FD">
        <w:rPr>
          <w:lang w:val="en-US"/>
        </w:rPr>
        <w:t>population</w:t>
      </w:r>
      <w:r>
        <w:rPr>
          <w:lang w:val="en-US"/>
        </w:rPr>
        <w:t xml:space="preserve">. </w:t>
      </w:r>
    </w:p>
    <w:p w14:paraId="2F73BB6F" w14:textId="179591DB" w:rsidR="00AF1104" w:rsidRPr="00096241" w:rsidRDefault="19FB91B8" w:rsidP="19FB91B8">
      <w:pPr>
        <w:rPr>
          <w:lang w:val="en-US"/>
        </w:rPr>
      </w:pPr>
      <w:r>
        <w:t xml:space="preserve">Many </w:t>
      </w:r>
      <w:r w:rsidRPr="19FB91B8">
        <w:rPr>
          <w:lang w:val="en-US"/>
        </w:rPr>
        <w:t>of the examples provided</w:t>
      </w:r>
      <w:r w:rsidR="0058442C">
        <w:rPr>
          <w:lang w:val="en-US"/>
        </w:rPr>
        <w:t xml:space="preserve"> during the consultation</w:t>
      </w:r>
      <w:r w:rsidRPr="19FB91B8">
        <w:rPr>
          <w:lang w:val="en-US"/>
        </w:rPr>
        <w:t xml:space="preserve"> were specific to the respondent’s circumstances</w:t>
      </w:r>
      <w:r w:rsidR="00697C27">
        <w:rPr>
          <w:lang w:val="en-US"/>
        </w:rPr>
        <w:t xml:space="preserve">, regarding funding </w:t>
      </w:r>
      <w:r w:rsidRPr="19FB91B8">
        <w:rPr>
          <w:lang w:val="en-US"/>
        </w:rPr>
        <w:t xml:space="preserve">equity and the cost of providing services in </w:t>
      </w:r>
      <w:r w:rsidR="00697C27">
        <w:rPr>
          <w:lang w:val="en-US"/>
        </w:rPr>
        <w:t xml:space="preserve">Western Australia. Specifically, this refers </w:t>
      </w:r>
      <w:r w:rsidR="00697C27" w:rsidRPr="00096241">
        <w:rPr>
          <w:lang w:val="en-US"/>
        </w:rPr>
        <w:t xml:space="preserve">to </w:t>
      </w:r>
      <w:r w:rsidRPr="00096241">
        <w:rPr>
          <w:lang w:val="en-US"/>
        </w:rPr>
        <w:t xml:space="preserve">regional and remote </w:t>
      </w:r>
      <w:r w:rsidR="00697C27" w:rsidRPr="00096241">
        <w:rPr>
          <w:lang w:val="en-US"/>
        </w:rPr>
        <w:t xml:space="preserve">Western Australia </w:t>
      </w:r>
      <w:r w:rsidRPr="00096241">
        <w:rPr>
          <w:lang w:val="en-US"/>
        </w:rPr>
        <w:t xml:space="preserve">compared to the </w:t>
      </w:r>
      <w:r w:rsidR="00697C27" w:rsidRPr="00096241">
        <w:rPr>
          <w:lang w:val="en-US"/>
        </w:rPr>
        <w:t xml:space="preserve">East Coast of Australia. </w:t>
      </w:r>
    </w:p>
    <w:p w14:paraId="11D7735E" w14:textId="6E59383B" w:rsidR="00B052D6" w:rsidRDefault="00697C27" w:rsidP="00B62952">
      <w:pPr>
        <w:rPr>
          <w:lang w:val="en-US"/>
        </w:rPr>
      </w:pPr>
      <w:r w:rsidRPr="00096241">
        <w:rPr>
          <w:lang w:val="en-US"/>
        </w:rPr>
        <w:t xml:space="preserve">It was acknowledged that the </w:t>
      </w:r>
      <w:r w:rsidR="00F004F6" w:rsidRPr="00096241">
        <w:rPr>
          <w:lang w:val="en-US"/>
        </w:rPr>
        <w:t>impact</w:t>
      </w:r>
      <w:r w:rsidRPr="00096241">
        <w:rPr>
          <w:lang w:val="en-US"/>
        </w:rPr>
        <w:t xml:space="preserve"> of </w:t>
      </w:r>
      <w:r w:rsidR="00822B76" w:rsidRPr="00096241">
        <w:rPr>
          <w:lang w:val="en-US"/>
        </w:rPr>
        <w:t>Sport Australia</w:t>
      </w:r>
      <w:r w:rsidRPr="00096241">
        <w:rPr>
          <w:lang w:val="en-US"/>
        </w:rPr>
        <w:t xml:space="preserve">’s </w:t>
      </w:r>
      <w:r w:rsidR="00822B76" w:rsidRPr="00096241">
        <w:rPr>
          <w:lang w:val="en-US"/>
        </w:rPr>
        <w:t>national programs and expanded funding framework</w:t>
      </w:r>
      <w:r w:rsidRPr="00096241">
        <w:rPr>
          <w:lang w:val="en-US"/>
        </w:rPr>
        <w:t xml:space="preserve"> implementation remains unknown</w:t>
      </w:r>
      <w:r w:rsidR="00822B76" w:rsidRPr="00096241">
        <w:rPr>
          <w:lang w:val="en-US"/>
        </w:rPr>
        <w:t>.</w:t>
      </w:r>
      <w:r w:rsidR="00822B76">
        <w:rPr>
          <w:lang w:val="en-US"/>
        </w:rPr>
        <w:t xml:space="preserve"> </w:t>
      </w:r>
    </w:p>
    <w:p w14:paraId="6FDE300C" w14:textId="77777777" w:rsidR="00B1475C" w:rsidRPr="00B62952" w:rsidRDefault="00B1475C" w:rsidP="00B62952"/>
    <w:p w14:paraId="17526A36" w14:textId="77777777" w:rsidR="00432AEF" w:rsidRPr="006D1A68" w:rsidRDefault="00432AEF" w:rsidP="006D1A68">
      <w:pPr>
        <w:pStyle w:val="Mainbodytext"/>
      </w:pPr>
      <w:r>
        <w:br w:type="page"/>
      </w:r>
    </w:p>
    <w:p w14:paraId="09D9AD1A" w14:textId="7363BBC0" w:rsidR="00773CBC" w:rsidRPr="00F721FD" w:rsidRDefault="000B5249" w:rsidP="003559AA">
      <w:pPr>
        <w:pStyle w:val="Heading1"/>
      </w:pPr>
      <w:bookmarkStart w:id="20" w:name="_Toc1571680"/>
      <w:r>
        <w:lastRenderedPageBreak/>
        <w:t>Review</w:t>
      </w:r>
      <w:r w:rsidRPr="00F721FD">
        <w:t xml:space="preserve"> of Department</w:t>
      </w:r>
      <w:r w:rsidR="004C05E9">
        <w:t>’s</w:t>
      </w:r>
      <w:r w:rsidRPr="00F721FD">
        <w:t xml:space="preserve"> </w:t>
      </w:r>
      <w:r w:rsidR="00D1056E">
        <w:t>c</w:t>
      </w:r>
      <w:r w:rsidR="004C05E9">
        <w:t xml:space="preserve">urrent </w:t>
      </w:r>
      <w:r w:rsidR="00D1056E">
        <w:t>f</w:t>
      </w:r>
      <w:r w:rsidRPr="00F721FD">
        <w:t xml:space="preserve">unding </w:t>
      </w:r>
      <w:r w:rsidR="00D1056E">
        <w:t>p</w:t>
      </w:r>
      <w:r w:rsidRPr="00F721FD">
        <w:t>rograms</w:t>
      </w:r>
      <w:bookmarkEnd w:id="20"/>
      <w:r w:rsidRPr="00F721FD" w:rsidDel="000B5249">
        <w:t xml:space="preserve"> </w:t>
      </w:r>
    </w:p>
    <w:p w14:paraId="3FECA42E" w14:textId="77777777" w:rsidR="000B6342" w:rsidRDefault="000B6342" w:rsidP="00D52C24"/>
    <w:p w14:paraId="205CED7E" w14:textId="4F6DD5AC" w:rsidR="004B4C30" w:rsidRPr="00F721FD" w:rsidRDefault="00333776">
      <w:pPr>
        <w:pStyle w:val="Heading2"/>
      </w:pPr>
      <w:bookmarkStart w:id="21" w:name="_Toc1571681"/>
      <w:r>
        <w:t>Context</w:t>
      </w:r>
      <w:bookmarkEnd w:id="21"/>
    </w:p>
    <w:p w14:paraId="7E59484D" w14:textId="4C086012" w:rsidR="00D17C5B" w:rsidRDefault="00D17C5B" w:rsidP="00F721FD">
      <w:r>
        <w:t>The recommendations within this section of the report have been derived from</w:t>
      </w:r>
      <w:r w:rsidR="00072B27">
        <w:t xml:space="preserve"> internal reflections and through </w:t>
      </w:r>
      <w:r w:rsidR="0070161D">
        <w:t>industry consultatio</w:t>
      </w:r>
      <w:r w:rsidR="000E4A1E">
        <w:t>n</w:t>
      </w:r>
      <w:r w:rsidR="003603C8">
        <w:t>.</w:t>
      </w:r>
      <w:r w:rsidR="00B42A3F">
        <w:t xml:space="preserve"> </w:t>
      </w:r>
    </w:p>
    <w:p w14:paraId="17EC5F80" w14:textId="2722227C" w:rsidR="00E540AD" w:rsidRDefault="00E540AD" w:rsidP="00F721FD">
      <w:r>
        <w:t xml:space="preserve">The department will test the preliminary </w:t>
      </w:r>
      <w:r w:rsidR="00103B60">
        <w:t xml:space="preserve">recommendations </w:t>
      </w:r>
      <w:r w:rsidR="00072B27">
        <w:t xml:space="preserve">for support in the next stage </w:t>
      </w:r>
      <w:r w:rsidR="00044C68">
        <w:t xml:space="preserve">of consultation. </w:t>
      </w:r>
    </w:p>
    <w:p w14:paraId="2A73CAEF" w14:textId="3B31C432" w:rsidR="00910B00" w:rsidRDefault="00A939E7" w:rsidP="00F721FD">
      <w:r>
        <w:t xml:space="preserve">A consolidation of the discussions and recommendations for </w:t>
      </w:r>
      <w:r w:rsidR="00FE2332" w:rsidRPr="00F721FD">
        <w:t xml:space="preserve">the individual programs are summarised </w:t>
      </w:r>
      <w:r>
        <w:t xml:space="preserve">as </w:t>
      </w:r>
      <w:r w:rsidR="00FE2332" w:rsidRPr="00F721FD">
        <w:t>below.</w:t>
      </w:r>
    </w:p>
    <w:p w14:paraId="7F407FB6" w14:textId="77777777" w:rsidR="00236B85" w:rsidRDefault="00236B85" w:rsidP="00F721FD"/>
    <w:p w14:paraId="54B5289E" w14:textId="20B835FE" w:rsidR="00503470" w:rsidRPr="00F721FD" w:rsidRDefault="008005EC" w:rsidP="003E02EA">
      <w:pPr>
        <w:pStyle w:val="Heading3"/>
      </w:pPr>
      <w:bookmarkStart w:id="22" w:name="_Toc1571682"/>
      <w:r w:rsidRPr="00F721FD">
        <w:t>Industry Investment Program</w:t>
      </w:r>
      <w:bookmarkEnd w:id="22"/>
    </w:p>
    <w:p w14:paraId="6E74FD0A" w14:textId="516553B4" w:rsidR="00B97EEE" w:rsidRDefault="00B97EEE" w:rsidP="00E71BAA">
      <w:r w:rsidRPr="00B97EEE">
        <w:t xml:space="preserve">The importance of </w:t>
      </w:r>
      <w:r w:rsidR="007D4BA3" w:rsidRPr="00B97EEE">
        <w:t xml:space="preserve">the </w:t>
      </w:r>
      <w:r w:rsidR="007D4BA3" w:rsidRPr="00241413">
        <w:t>Industry</w:t>
      </w:r>
      <w:r w:rsidR="00241413" w:rsidRPr="00CC58C2">
        <w:t xml:space="preserve"> Investment Program</w:t>
      </w:r>
      <w:r w:rsidR="00241413">
        <w:t xml:space="preserve"> </w:t>
      </w:r>
      <w:r w:rsidRPr="00B97EEE">
        <w:t xml:space="preserve">was consistently reiterated throughout the </w:t>
      </w:r>
      <w:r>
        <w:t>consultation period</w:t>
      </w:r>
      <w:r w:rsidR="00D12037">
        <w:t xml:space="preserve">, with some </w:t>
      </w:r>
      <w:r w:rsidR="007157F9">
        <w:t>organisations</w:t>
      </w:r>
      <w:r w:rsidR="00D12037">
        <w:t xml:space="preserve"> noting that the </w:t>
      </w:r>
      <w:r w:rsidRPr="00B97EEE">
        <w:t xml:space="preserve">program is integral for </w:t>
      </w:r>
      <w:r w:rsidR="00D12037">
        <w:t xml:space="preserve">them </w:t>
      </w:r>
      <w:r w:rsidRPr="00B97EEE">
        <w:t>to maintain their core business.</w:t>
      </w:r>
    </w:p>
    <w:p w14:paraId="0C228924" w14:textId="6C5174F8" w:rsidR="000D5228" w:rsidRDefault="00F52771" w:rsidP="00E71BAA">
      <w:r>
        <w:t>As stated earlier in this report, i</w:t>
      </w:r>
      <w:r w:rsidR="0079352E">
        <w:t>t was</w:t>
      </w:r>
      <w:r w:rsidR="0079352E" w:rsidRPr="0079352E">
        <w:t xml:space="preserve"> strongly advocated that</w:t>
      </w:r>
      <w:r w:rsidR="0079352E">
        <w:t xml:space="preserve"> the </w:t>
      </w:r>
      <w:r w:rsidR="00241413" w:rsidRPr="00CC58C2">
        <w:t xml:space="preserve">Industry Investment </w:t>
      </w:r>
      <w:r w:rsidR="007D4BA3" w:rsidRPr="00CC58C2">
        <w:t>Program</w:t>
      </w:r>
      <w:r w:rsidR="007D4BA3" w:rsidDel="00241413">
        <w:t xml:space="preserve"> </w:t>
      </w:r>
      <w:r w:rsidR="007D4BA3">
        <w:t>should</w:t>
      </w:r>
      <w:r w:rsidR="0079352E">
        <w:t xml:space="preserve"> be</w:t>
      </w:r>
      <w:r w:rsidR="0079352E" w:rsidRPr="0079352E">
        <w:t xml:space="preserve"> funded on a three</w:t>
      </w:r>
      <w:r w:rsidR="00D156A6">
        <w:t xml:space="preserve"> </w:t>
      </w:r>
      <w:r w:rsidR="0079352E" w:rsidRPr="0079352E">
        <w:t xml:space="preserve">yearly basis instead of the current </w:t>
      </w:r>
      <w:proofErr w:type="gramStart"/>
      <w:r w:rsidR="0007651E" w:rsidRPr="0079352E">
        <w:t>one</w:t>
      </w:r>
      <w:r w:rsidR="0007651E">
        <w:t xml:space="preserve"> year</w:t>
      </w:r>
      <w:proofErr w:type="gramEnd"/>
      <w:r w:rsidR="0079352E" w:rsidRPr="0079352E">
        <w:t xml:space="preserve"> funding schedule.</w:t>
      </w:r>
      <w:r w:rsidR="00D010E5">
        <w:t xml:space="preserve"> </w:t>
      </w:r>
      <w:r>
        <w:t>Concerns included that an</w:t>
      </w:r>
      <w:r w:rsidR="00EC7692">
        <w:t xml:space="preserve"> </w:t>
      </w:r>
      <w:r w:rsidR="002429E1" w:rsidRPr="00F721FD">
        <w:t>annual funding</w:t>
      </w:r>
      <w:r w:rsidR="00EC7692">
        <w:t xml:space="preserve"> agreement</w:t>
      </w:r>
      <w:r w:rsidR="002429E1" w:rsidRPr="00F721FD">
        <w:t xml:space="preserve"> </w:t>
      </w:r>
      <w:r>
        <w:t>impacts</w:t>
      </w:r>
      <w:r w:rsidR="002429E1" w:rsidRPr="00F721FD">
        <w:t xml:space="preserve"> on </w:t>
      </w:r>
      <w:r w:rsidR="007F479B">
        <w:t>some</w:t>
      </w:r>
      <w:r w:rsidR="002429E1" w:rsidRPr="00F721FD">
        <w:t xml:space="preserve"> organisations</w:t>
      </w:r>
      <w:r w:rsidR="0058442C">
        <w:t>’</w:t>
      </w:r>
      <w:r w:rsidR="002429E1" w:rsidRPr="00F721FD">
        <w:t xml:space="preserve"> capacity to </w:t>
      </w:r>
      <w:r w:rsidR="00C527B1" w:rsidRPr="00F721FD">
        <w:t>enter</w:t>
      </w:r>
      <w:r w:rsidR="002429E1" w:rsidRPr="00F721FD">
        <w:t xml:space="preserve"> leases for office accommodation and</w:t>
      </w:r>
      <w:r w:rsidR="005753E0">
        <w:t>/or</w:t>
      </w:r>
      <w:r w:rsidR="002429E1" w:rsidRPr="00F721FD">
        <w:t xml:space="preserve"> to secure and retain suitable staff. Reinstating </w:t>
      </w:r>
      <w:r w:rsidR="0058442C">
        <w:t>a</w:t>
      </w:r>
      <w:r w:rsidR="0058442C" w:rsidRPr="00F721FD">
        <w:t xml:space="preserve"> </w:t>
      </w:r>
      <w:proofErr w:type="gramStart"/>
      <w:r w:rsidR="002424E9" w:rsidRPr="00F721FD">
        <w:t>three</w:t>
      </w:r>
      <w:r w:rsidR="00D156A6">
        <w:t xml:space="preserve"> </w:t>
      </w:r>
      <w:r w:rsidR="002424E9" w:rsidRPr="00F721FD">
        <w:t>year</w:t>
      </w:r>
      <w:proofErr w:type="gramEnd"/>
      <w:r w:rsidR="002429E1" w:rsidRPr="00F721FD">
        <w:t xml:space="preserve"> </w:t>
      </w:r>
      <w:r w:rsidR="005753E0">
        <w:t>funding period</w:t>
      </w:r>
      <w:r w:rsidR="002429E1" w:rsidRPr="00F721FD">
        <w:t xml:space="preserve"> would provide greater certainty and stability</w:t>
      </w:r>
      <w:r w:rsidR="005753E0">
        <w:t xml:space="preserve"> for organisations. </w:t>
      </w:r>
      <w:r w:rsidR="00B43341">
        <w:t>It is therefore recommended that</w:t>
      </w:r>
      <w:r w:rsidR="00241413">
        <w:t xml:space="preserve"> the</w:t>
      </w:r>
      <w:r w:rsidR="00B43341">
        <w:t xml:space="preserve"> </w:t>
      </w:r>
      <w:r w:rsidR="00241413" w:rsidRPr="00CC58C2">
        <w:t>Industry Investment Program</w:t>
      </w:r>
      <w:r w:rsidR="00241413" w:rsidDel="00241413">
        <w:t xml:space="preserve"> </w:t>
      </w:r>
      <w:r>
        <w:t xml:space="preserve">returns to </w:t>
      </w:r>
      <w:r w:rsidR="00D04E4D">
        <w:t xml:space="preserve">a </w:t>
      </w:r>
      <w:proofErr w:type="gramStart"/>
      <w:r w:rsidR="00D04E4D">
        <w:t>three</w:t>
      </w:r>
      <w:r w:rsidR="00D156A6">
        <w:t xml:space="preserve"> </w:t>
      </w:r>
      <w:r w:rsidR="00D04E4D">
        <w:t>year</w:t>
      </w:r>
      <w:proofErr w:type="gramEnd"/>
      <w:r w:rsidR="00D04E4D">
        <w:t xml:space="preserve"> funding period. </w:t>
      </w:r>
    </w:p>
    <w:p w14:paraId="736B14A6" w14:textId="292E2B0B" w:rsidR="007152D4" w:rsidRDefault="000D5228" w:rsidP="000D5228">
      <w:r>
        <w:t xml:space="preserve">The other key topic discussed in relation to the </w:t>
      </w:r>
      <w:r w:rsidR="00241413" w:rsidRPr="00CC58C2">
        <w:t>Industry Investment Program</w:t>
      </w:r>
      <w:r w:rsidR="00241413" w:rsidDel="00241413">
        <w:t xml:space="preserve"> </w:t>
      </w:r>
      <w:r>
        <w:t xml:space="preserve">was the additional grant </w:t>
      </w:r>
      <w:r w:rsidR="008C0BE5">
        <w:t>agreements</w:t>
      </w:r>
      <w:r>
        <w:t xml:space="preserve"> </w:t>
      </w:r>
      <w:r w:rsidR="008C1489">
        <w:t xml:space="preserve">organisations </w:t>
      </w:r>
      <w:proofErr w:type="gramStart"/>
      <w:r w:rsidR="00F52771">
        <w:t>enter into</w:t>
      </w:r>
      <w:proofErr w:type="gramEnd"/>
      <w:r w:rsidR="0058442C">
        <w:t>, which</w:t>
      </w:r>
      <w:r w:rsidR="008C0BE5">
        <w:t xml:space="preserve"> deliver on similar outcomes within their </w:t>
      </w:r>
      <w:r w:rsidR="00241413" w:rsidRPr="00CC58C2">
        <w:t>Industry Investment Program</w:t>
      </w:r>
      <w:r w:rsidR="00241413" w:rsidDel="00241413">
        <w:t xml:space="preserve"> </w:t>
      </w:r>
      <w:r w:rsidR="00C44F9B">
        <w:t>allocation.</w:t>
      </w:r>
      <w:r w:rsidR="007152D4">
        <w:t xml:space="preserve"> The most consistently mentioned program </w:t>
      </w:r>
      <w:r w:rsidR="007152D4" w:rsidRPr="0085295B">
        <w:t xml:space="preserve">was </w:t>
      </w:r>
      <w:r w:rsidR="00F52771">
        <w:t xml:space="preserve">the </w:t>
      </w:r>
      <w:r w:rsidR="0063072B" w:rsidRPr="0085295B">
        <w:t>regional grants scheme</w:t>
      </w:r>
      <w:r w:rsidR="007152D4" w:rsidRPr="0085295B">
        <w:t>.</w:t>
      </w:r>
      <w:r w:rsidR="00C44F9B" w:rsidRPr="0085295B">
        <w:t xml:space="preserve"> </w:t>
      </w:r>
      <w:r w:rsidRPr="0085295B">
        <w:t>It was discussed that there should b</w:t>
      </w:r>
      <w:r w:rsidR="00471C2A" w:rsidRPr="0085295B">
        <w:t xml:space="preserve">e a review process </w:t>
      </w:r>
      <w:r w:rsidR="00066A33" w:rsidRPr="0085295B">
        <w:t>to reduce the duplication of services</w:t>
      </w:r>
      <w:r w:rsidR="00066A33">
        <w:t xml:space="preserve"> and reduce the administrative burden for </w:t>
      </w:r>
      <w:r w:rsidR="00FF68E4">
        <w:t>organisations</w:t>
      </w:r>
      <w:r w:rsidR="00066A33" w:rsidRPr="003E02EA">
        <w:t>.</w:t>
      </w:r>
      <w:r w:rsidRPr="00066A33">
        <w:t xml:space="preserve"> It is</w:t>
      </w:r>
      <w:r w:rsidR="00C44F9B" w:rsidRPr="00066A33">
        <w:t xml:space="preserve"> therefore</w:t>
      </w:r>
      <w:r w:rsidRPr="00066A33">
        <w:t xml:space="preserve"> </w:t>
      </w:r>
      <w:r w:rsidRPr="000D4D03">
        <w:t>recommended that</w:t>
      </w:r>
      <w:r w:rsidR="007152D4" w:rsidRPr="000D4D03">
        <w:t xml:space="preserve"> Regional Servicing Grants</w:t>
      </w:r>
      <w:r w:rsidR="0085295B" w:rsidRPr="000D4D03">
        <w:t xml:space="preserve"> and Regional Organisation Grants</w:t>
      </w:r>
      <w:r w:rsidR="007152D4" w:rsidRPr="000D4D03">
        <w:t xml:space="preserve"> will be consolidated withi</w:t>
      </w:r>
      <w:r w:rsidR="007152D4">
        <w:t xml:space="preserve">n </w:t>
      </w:r>
      <w:r w:rsidR="00241413">
        <w:t xml:space="preserve">the </w:t>
      </w:r>
      <w:r w:rsidR="00241413" w:rsidRPr="00CC58C2">
        <w:t>Industry Investment Program</w:t>
      </w:r>
      <w:r w:rsidR="0085295B">
        <w:t>.</w:t>
      </w:r>
    </w:p>
    <w:p w14:paraId="7BFD3A05" w14:textId="240C29A7" w:rsidR="00A62FC6" w:rsidRPr="00F721FD" w:rsidRDefault="00674956" w:rsidP="003E02EA">
      <w:r>
        <w:t xml:space="preserve">To achieve these recommendations, </w:t>
      </w:r>
      <w:r w:rsidRPr="00037163">
        <w:t xml:space="preserve">a </w:t>
      </w:r>
      <w:r w:rsidR="00414FA7" w:rsidRPr="00037163">
        <w:t>review of</w:t>
      </w:r>
      <w:r w:rsidRPr="00037163">
        <w:t xml:space="preserve"> the </w:t>
      </w:r>
      <w:r w:rsidR="00241413" w:rsidRPr="00CC58C2">
        <w:t>Industry Investment Program</w:t>
      </w:r>
      <w:r w:rsidR="00241413">
        <w:t xml:space="preserve"> </w:t>
      </w:r>
      <w:r w:rsidRPr="00037163">
        <w:t xml:space="preserve">categorisations </w:t>
      </w:r>
      <w:r w:rsidR="00414FA7" w:rsidRPr="00037163">
        <w:t>w</w:t>
      </w:r>
      <w:r w:rsidR="00414FA7">
        <w:t>as</w:t>
      </w:r>
      <w:r w:rsidR="004F5578">
        <w:t xml:space="preserve"> required. The </w:t>
      </w:r>
      <w:r w:rsidR="00414FA7">
        <w:t xml:space="preserve">department has </w:t>
      </w:r>
      <w:r w:rsidR="005A622F">
        <w:t>draft</w:t>
      </w:r>
      <w:r w:rsidR="00037163">
        <w:t xml:space="preserve">ed new categorisation criteria, </w:t>
      </w:r>
      <w:r w:rsidR="00866CD3" w:rsidRPr="00FC5F69">
        <w:t xml:space="preserve">Appendix </w:t>
      </w:r>
      <w:r w:rsidR="00FC5F69" w:rsidRPr="00FC5F69">
        <w:t>B</w:t>
      </w:r>
      <w:r w:rsidR="00037163">
        <w:t>,</w:t>
      </w:r>
      <w:r w:rsidR="005A622F">
        <w:t xml:space="preserve"> for feedback from the industry</w:t>
      </w:r>
      <w:r w:rsidR="000C4A03">
        <w:t xml:space="preserve"> before </w:t>
      </w:r>
      <w:r w:rsidR="005E335E">
        <w:t xml:space="preserve">implementation </w:t>
      </w:r>
      <w:r w:rsidR="00037163">
        <w:t>in</w:t>
      </w:r>
      <w:r w:rsidR="005E335E">
        <w:t xml:space="preserve"> the </w:t>
      </w:r>
      <w:r w:rsidR="000C4A03">
        <w:t>2019/2020</w:t>
      </w:r>
      <w:r w:rsidR="005E335E">
        <w:t xml:space="preserve"> financial year</w:t>
      </w:r>
      <w:r w:rsidR="000C4A03">
        <w:t xml:space="preserve">. </w:t>
      </w:r>
    </w:p>
    <w:p w14:paraId="7C8796FF" w14:textId="36B3AADC" w:rsidR="00B01881" w:rsidRDefault="005A622F" w:rsidP="00E71BAA">
      <w:r>
        <w:t xml:space="preserve">As an overview, </w:t>
      </w:r>
      <w:r w:rsidR="006B1915">
        <w:t>proposed</w:t>
      </w:r>
      <w:r w:rsidR="00713956">
        <w:t xml:space="preserve"> changes to the</w:t>
      </w:r>
      <w:r w:rsidR="00B01881">
        <w:t xml:space="preserve"> categorisation process </w:t>
      </w:r>
      <w:r w:rsidR="006B1915">
        <w:t>include:</w:t>
      </w:r>
      <w:r w:rsidR="00B01881">
        <w:t xml:space="preserve"> </w:t>
      </w:r>
    </w:p>
    <w:p w14:paraId="2F972D75" w14:textId="51635FB8" w:rsidR="002A6A85" w:rsidRDefault="00F52771" w:rsidP="002A6A85">
      <w:pPr>
        <w:pStyle w:val="DotPoints-level1"/>
      </w:pPr>
      <w:r>
        <w:t xml:space="preserve">Funding </w:t>
      </w:r>
      <w:r w:rsidR="00340822">
        <w:t>c</w:t>
      </w:r>
      <w:r w:rsidR="00B01881">
        <w:t xml:space="preserve">ategories </w:t>
      </w:r>
      <w:r w:rsidR="0085147F">
        <w:t>will be</w:t>
      </w:r>
      <w:r w:rsidR="00B01881">
        <w:t xml:space="preserve"> </w:t>
      </w:r>
      <w:r w:rsidR="000D6AFE">
        <w:t xml:space="preserve">endorsed collectively by the </w:t>
      </w:r>
      <w:r>
        <w:t xml:space="preserve">sport and recreation </w:t>
      </w:r>
      <w:r w:rsidR="000D6AFE">
        <w:t>industry and the departmen</w:t>
      </w:r>
      <w:r w:rsidR="0085147F">
        <w:t>t</w:t>
      </w:r>
      <w:r w:rsidR="000D6AFE">
        <w:t xml:space="preserve"> </w:t>
      </w:r>
      <w:r w:rsidR="0085147F">
        <w:t>(n</w:t>
      </w:r>
      <w:r w:rsidR="0050069B">
        <w:t>oting the funding bands within the categories will be based on a confirmed appropriation to the department</w:t>
      </w:r>
      <w:r w:rsidR="0085147F">
        <w:t>)</w:t>
      </w:r>
      <w:r>
        <w:t xml:space="preserve">. </w:t>
      </w:r>
    </w:p>
    <w:p w14:paraId="1F0AA130" w14:textId="4FBD9422" w:rsidR="006C6076" w:rsidRDefault="006C6076" w:rsidP="002A6A85">
      <w:pPr>
        <w:pStyle w:val="DotPoints-level1"/>
      </w:pPr>
      <w:r>
        <w:t xml:space="preserve">Categories will outline eligibility for </w:t>
      </w:r>
      <w:r w:rsidR="006062B8">
        <w:t xml:space="preserve">funding programs as well as policy requirements and reach. </w:t>
      </w:r>
    </w:p>
    <w:p w14:paraId="37F9E600" w14:textId="0C187E32" w:rsidR="004A7D21" w:rsidRDefault="00BA023C" w:rsidP="003E02EA">
      <w:pPr>
        <w:pStyle w:val="DotPoints-level1"/>
      </w:pPr>
      <w:r>
        <w:t>Each funding band</w:t>
      </w:r>
      <w:r w:rsidR="0085147F">
        <w:t xml:space="preserve"> </w:t>
      </w:r>
      <w:r>
        <w:t xml:space="preserve">will have incremental </w:t>
      </w:r>
      <w:r w:rsidR="008053E8">
        <w:t xml:space="preserve">stages that an organisation can progress </w:t>
      </w:r>
      <w:r w:rsidR="004A7D21">
        <w:t xml:space="preserve">through in </w:t>
      </w:r>
      <w:r w:rsidR="008053E8">
        <w:t>their category</w:t>
      </w:r>
      <w:r w:rsidR="00F52771">
        <w:t>, for example c</w:t>
      </w:r>
      <w:r w:rsidR="008053E8">
        <w:t>ategory 1.1, 1.2, 1.3</w:t>
      </w:r>
      <w:r w:rsidR="00F52771">
        <w:t xml:space="preserve">, etc. </w:t>
      </w:r>
    </w:p>
    <w:p w14:paraId="6097D025" w14:textId="135C2253" w:rsidR="00BE52BB" w:rsidRDefault="006062B8" w:rsidP="00E06782">
      <w:pPr>
        <w:pStyle w:val="DotPoints-level1"/>
      </w:pPr>
      <w:r>
        <w:lastRenderedPageBreak/>
        <w:t xml:space="preserve">The annual baseline review will </w:t>
      </w:r>
      <w:r w:rsidR="00B746E6">
        <w:t>continue,</w:t>
      </w:r>
      <w:r>
        <w:t xml:space="preserve"> an</w:t>
      </w:r>
      <w:r w:rsidR="00846E5A">
        <w:t xml:space="preserve">d the results will be the basis for any recommended incremental changes. </w:t>
      </w:r>
      <w:r w:rsidR="003D26FC">
        <w:t>R</w:t>
      </w:r>
      <w:r w:rsidR="00604964" w:rsidRPr="00604964">
        <w:t xml:space="preserve">ecommendations </w:t>
      </w:r>
      <w:r w:rsidR="003D26FC">
        <w:t xml:space="preserve">from the review </w:t>
      </w:r>
      <w:r w:rsidR="00D86C8E">
        <w:t>may</w:t>
      </w:r>
      <w:r w:rsidR="00604964" w:rsidRPr="00604964">
        <w:t xml:space="preserve"> </w:t>
      </w:r>
      <w:r w:rsidR="00E96CAC">
        <w:t xml:space="preserve">be </w:t>
      </w:r>
      <w:r w:rsidR="003D26FC">
        <w:t xml:space="preserve">endorsed through </w:t>
      </w:r>
      <w:r w:rsidR="00604964" w:rsidRPr="00604964">
        <w:t>a panel</w:t>
      </w:r>
      <w:r w:rsidR="003D26FC">
        <w:t>, who will</w:t>
      </w:r>
      <w:r w:rsidR="00604964" w:rsidRPr="00604964">
        <w:t xml:space="preserve"> recommend</w:t>
      </w:r>
      <w:r w:rsidR="003D26FC">
        <w:t xml:space="preserve"> adjustments</w:t>
      </w:r>
      <w:r w:rsidR="00604964" w:rsidRPr="00604964">
        <w:t xml:space="preserve"> to the Minister</w:t>
      </w:r>
      <w:r w:rsidR="000C66C4">
        <w:t xml:space="preserve"> for Sport and Recreation</w:t>
      </w:r>
      <w:r w:rsidR="00604964" w:rsidRPr="00604964">
        <w:t>.</w:t>
      </w:r>
    </w:p>
    <w:p w14:paraId="156EAF33" w14:textId="643C7CA4" w:rsidR="00EC67A0" w:rsidRPr="00F721FD" w:rsidRDefault="00576D9B" w:rsidP="003E02EA">
      <w:pPr>
        <w:pStyle w:val="DotPoints-level1"/>
      </w:pPr>
      <w:r w:rsidRPr="00576D9B">
        <w:t xml:space="preserve">The determination of how approved funding is to be allocated will be </w:t>
      </w:r>
      <w:r w:rsidR="00586003">
        <w:t>through a</w:t>
      </w:r>
      <w:r w:rsidRPr="00576D9B">
        <w:t xml:space="preserve"> discussion between the department</w:t>
      </w:r>
      <w:r>
        <w:t xml:space="preserve"> </w:t>
      </w:r>
      <w:r w:rsidR="00703677">
        <w:t>and the organisation</w:t>
      </w:r>
      <w:r w:rsidR="00564790">
        <w:t xml:space="preserve"> and will be reflected </w:t>
      </w:r>
      <w:r w:rsidR="00E76B73">
        <w:t>within</w:t>
      </w:r>
      <w:r w:rsidR="00564790">
        <w:t xml:space="preserve"> the </w:t>
      </w:r>
      <w:r w:rsidR="00876ECA">
        <w:t xml:space="preserve">Annual </w:t>
      </w:r>
      <w:r w:rsidR="00564790">
        <w:t>Key Results Schedule</w:t>
      </w:r>
      <w:r w:rsidR="00586003">
        <w:t>. A</w:t>
      </w:r>
      <w:r w:rsidR="00703677">
        <w:t xml:space="preserve"> </w:t>
      </w:r>
      <w:r w:rsidR="000758F7">
        <w:t>focus o</w:t>
      </w:r>
      <w:r w:rsidR="00586003">
        <w:t>n</w:t>
      </w:r>
      <w:r w:rsidR="000758F7">
        <w:t xml:space="preserve"> the organisation’s </w:t>
      </w:r>
      <w:r w:rsidR="00F52771">
        <w:t>s</w:t>
      </w:r>
      <w:r w:rsidR="000758F7">
        <w:t xml:space="preserve">trategic </w:t>
      </w:r>
      <w:r w:rsidR="00F52771">
        <w:t>p</w:t>
      </w:r>
      <w:r w:rsidR="000758F7">
        <w:t xml:space="preserve">lan </w:t>
      </w:r>
      <w:r w:rsidR="00367B67" w:rsidRPr="00367B67">
        <w:t xml:space="preserve">and its other key outcomes </w:t>
      </w:r>
      <w:r w:rsidR="00F52771">
        <w:t xml:space="preserve">include but are not limited to </w:t>
      </w:r>
      <w:r w:rsidR="00367B67" w:rsidRPr="00367B67">
        <w:t>regional servicing, targeted participation and club development</w:t>
      </w:r>
      <w:r w:rsidR="007B6D43">
        <w:t xml:space="preserve"> will be considered. </w:t>
      </w:r>
    </w:p>
    <w:p w14:paraId="5BE148A1" w14:textId="71D892C2" w:rsidR="00F854E7" w:rsidRDefault="00F52771" w:rsidP="00E71BAA">
      <w:r>
        <w:t xml:space="preserve">It is proposed that new </w:t>
      </w:r>
      <w:r w:rsidR="00F854E7">
        <w:t>categorisation criteria</w:t>
      </w:r>
      <w:r>
        <w:t xml:space="preserve"> be adopted, with</w:t>
      </w:r>
      <w:r w:rsidR="00F854E7">
        <w:t xml:space="preserve"> organisations</w:t>
      </w:r>
      <w:r>
        <w:t xml:space="preserve">’ funding level </w:t>
      </w:r>
      <w:r w:rsidR="00831B85">
        <w:t>aligned with</w:t>
      </w:r>
      <w:r w:rsidR="00F854E7">
        <w:t xml:space="preserve"> their </w:t>
      </w:r>
      <w:r w:rsidR="006827D3">
        <w:t>allocated category.</w:t>
      </w:r>
      <w:r w:rsidR="00F854E7" w:rsidRPr="00F721FD">
        <w:t xml:space="preserve"> </w:t>
      </w:r>
      <w:r w:rsidR="006827D3">
        <w:t>T</w:t>
      </w:r>
      <w:r w:rsidR="00F854E7" w:rsidRPr="00F721FD">
        <w:t xml:space="preserve">his will address </w:t>
      </w:r>
      <w:r>
        <w:t>instances</w:t>
      </w:r>
      <w:r w:rsidRPr="00F721FD">
        <w:t xml:space="preserve"> </w:t>
      </w:r>
      <w:r w:rsidR="00F854E7" w:rsidRPr="00F721FD">
        <w:t>where elements that have been historically added</w:t>
      </w:r>
      <w:r w:rsidR="0026397A">
        <w:t xml:space="preserve"> </w:t>
      </w:r>
      <w:r w:rsidR="00F854E7" w:rsidRPr="00F721FD">
        <w:t>have resulted in</w:t>
      </w:r>
      <w:r w:rsidR="006827D3">
        <w:t xml:space="preserve"> </w:t>
      </w:r>
      <w:r w:rsidR="00F854E7" w:rsidRPr="00F721FD">
        <w:t>organisation</w:t>
      </w:r>
      <w:r w:rsidR="00772716">
        <w:t>s</w:t>
      </w:r>
      <w:r w:rsidR="00F854E7" w:rsidRPr="00F721FD">
        <w:t xml:space="preserve"> </w:t>
      </w:r>
      <w:r w:rsidR="00772716">
        <w:t>with</w:t>
      </w:r>
      <w:r w:rsidR="00F854E7" w:rsidRPr="00F721FD">
        <w:t>in the same category having different base level</w:t>
      </w:r>
      <w:r w:rsidR="006827D3">
        <w:t>s</w:t>
      </w:r>
      <w:r w:rsidR="00F854E7" w:rsidRPr="00F721FD">
        <w:t xml:space="preserve"> of funding.</w:t>
      </w:r>
      <w:r w:rsidR="00F22EF5">
        <w:t xml:space="preserve"> </w:t>
      </w:r>
      <w:r w:rsidR="00C128A8" w:rsidRPr="00831B85">
        <w:t xml:space="preserve">It should be noted </w:t>
      </w:r>
      <w:r w:rsidR="00E72162">
        <w:t>in instances where</w:t>
      </w:r>
      <w:r w:rsidR="00C128A8" w:rsidRPr="00831B85">
        <w:t xml:space="preserve"> </w:t>
      </w:r>
      <w:r w:rsidR="00241413">
        <w:t>State Sporting Associations</w:t>
      </w:r>
      <w:r w:rsidR="000C66C4">
        <w:t>’</w:t>
      </w:r>
      <w:r w:rsidR="00E72162">
        <w:t xml:space="preserve"> new funding allocations result in a decrease of funding, a </w:t>
      </w:r>
      <w:proofErr w:type="gramStart"/>
      <w:r w:rsidR="00847879" w:rsidRPr="00831B85">
        <w:t>12</w:t>
      </w:r>
      <w:r w:rsidR="00D156A6">
        <w:t xml:space="preserve"> </w:t>
      </w:r>
      <w:r w:rsidR="00847879" w:rsidRPr="00831B85">
        <w:t>month</w:t>
      </w:r>
      <w:proofErr w:type="gramEnd"/>
      <w:r w:rsidR="00C128A8" w:rsidRPr="00831B85">
        <w:t xml:space="preserve"> transition period </w:t>
      </w:r>
      <w:r w:rsidR="005B793F">
        <w:t xml:space="preserve">will be implemented. </w:t>
      </w:r>
    </w:p>
    <w:p w14:paraId="59CF9739" w14:textId="6B7ECF00" w:rsidR="00AA568B" w:rsidRDefault="00AA568B" w:rsidP="00E71BAA">
      <w:r>
        <w:t>Previously funded Industry Representation Organisations will evolve to be either a Peak Body or</w:t>
      </w:r>
      <w:r w:rsidR="0016167F">
        <w:t xml:space="preserve"> a</w:t>
      </w:r>
      <w:r>
        <w:t xml:space="preserve"> Sport and Recreation Agent. Further consultation is required with impacted organisations to </w:t>
      </w:r>
      <w:r w:rsidR="000D1256">
        <w:t xml:space="preserve">either </w:t>
      </w:r>
      <w:r>
        <w:t xml:space="preserve">confirm </w:t>
      </w:r>
      <w:r w:rsidR="000D1256">
        <w:t>their</w:t>
      </w:r>
      <w:r>
        <w:t xml:space="preserve"> status as a peak body or to assist in the </w:t>
      </w:r>
      <w:r w:rsidRPr="00EA100D">
        <w:t>recognition process</w:t>
      </w:r>
      <w:r>
        <w:t xml:space="preserve"> for a Sport and Recreation Agent</w:t>
      </w:r>
      <w:r w:rsidR="000D1256">
        <w:t xml:space="preserve">. This process will be announced following the next round of the Strategic Funding Review. </w:t>
      </w:r>
    </w:p>
    <w:p w14:paraId="09C3400C" w14:textId="5ACD54E0" w:rsidR="00C36D4C" w:rsidRPr="00F721FD" w:rsidRDefault="00C36D4C" w:rsidP="006827D3">
      <w:r w:rsidRPr="00CD2946">
        <w:t xml:space="preserve">It should also be noted </w:t>
      </w:r>
      <w:r w:rsidR="000C66C4">
        <w:t xml:space="preserve">that </w:t>
      </w:r>
      <w:r w:rsidR="00F33272" w:rsidRPr="00CD2946">
        <w:t xml:space="preserve">in November 2018 the Minister </w:t>
      </w:r>
      <w:r w:rsidR="000C66C4">
        <w:t xml:space="preserve">for Sport and Recreation </w:t>
      </w:r>
      <w:r w:rsidR="00F33272" w:rsidRPr="00CD2946">
        <w:t xml:space="preserve">wrote to all </w:t>
      </w:r>
      <w:r w:rsidR="00241413">
        <w:t>State Sporting Associations</w:t>
      </w:r>
      <w:r w:rsidR="00F33272" w:rsidRPr="00CD2946">
        <w:t xml:space="preserve"> </w:t>
      </w:r>
      <w:r w:rsidR="00F20D33" w:rsidRPr="00CD2946">
        <w:t xml:space="preserve">notifying </w:t>
      </w:r>
      <w:r w:rsidR="00F20D33" w:rsidRPr="00A01D51">
        <w:t xml:space="preserve">them of the introduction of </w:t>
      </w:r>
      <w:r w:rsidR="000C66C4" w:rsidRPr="00A01D51">
        <w:t>a target of 50 per cent</w:t>
      </w:r>
      <w:r w:rsidR="00FE4710" w:rsidRPr="00A01D51">
        <w:t xml:space="preserve"> female </w:t>
      </w:r>
      <w:r w:rsidR="00931F47" w:rsidRPr="00A01D51">
        <w:t xml:space="preserve">representation on </w:t>
      </w:r>
      <w:r w:rsidR="000C66C4" w:rsidRPr="00A01D51">
        <w:t>sport and recreation boards</w:t>
      </w:r>
      <w:r w:rsidR="0007651E" w:rsidRPr="00A01D51">
        <w:t>.</w:t>
      </w:r>
      <w:r w:rsidR="00F20D33" w:rsidRPr="00CD2946">
        <w:t xml:space="preserve"> The department has </w:t>
      </w:r>
      <w:r w:rsidR="00260B7B" w:rsidRPr="00CD2946">
        <w:t xml:space="preserve">agreed </w:t>
      </w:r>
      <w:r w:rsidR="00DF40BD" w:rsidRPr="00CD2946">
        <w:t xml:space="preserve">to work in </w:t>
      </w:r>
      <w:r w:rsidR="00DF40BD" w:rsidRPr="00E2394B">
        <w:t xml:space="preserve">partnership with the industry </w:t>
      </w:r>
      <w:r w:rsidR="00102B06" w:rsidRPr="00E2394B">
        <w:t>to develop a staged implementation plan. This will be considered further in the next sta</w:t>
      </w:r>
      <w:r w:rsidR="000C792B" w:rsidRPr="00E2394B">
        <w:t>g</w:t>
      </w:r>
      <w:r w:rsidR="00102B06" w:rsidRPr="00E2394B">
        <w:t xml:space="preserve">e </w:t>
      </w:r>
      <w:r w:rsidR="00931F47" w:rsidRPr="00E2394B">
        <w:t>of the Strategic Funding Review and with the Gender Diversity Advisory Group</w:t>
      </w:r>
      <w:r w:rsidR="00896749" w:rsidRPr="00E2394B">
        <w:t>, w</w:t>
      </w:r>
      <w:r w:rsidR="00E20FFF" w:rsidRPr="00E2394B">
        <w:t>ith t</w:t>
      </w:r>
      <w:r w:rsidR="00196E57" w:rsidRPr="00E2394B">
        <w:t xml:space="preserve">he staged implementation </w:t>
      </w:r>
      <w:r w:rsidR="00896749" w:rsidRPr="00E2394B">
        <w:t>plan reflected</w:t>
      </w:r>
      <w:r w:rsidR="00695621" w:rsidRPr="00E2394B">
        <w:t xml:space="preserve"> in the final categorisation tables.</w:t>
      </w:r>
      <w:r w:rsidR="00695621">
        <w:t xml:space="preserve"> </w:t>
      </w:r>
    </w:p>
    <w:p w14:paraId="3810E76C" w14:textId="15C73EE9" w:rsidR="00E8170C" w:rsidRPr="00F721FD" w:rsidRDefault="00FA76FD" w:rsidP="003E02EA">
      <w:r w:rsidRPr="00F721FD">
        <w:t>There will be an ongoing review process with the industry to examine the criteria</w:t>
      </w:r>
      <w:r w:rsidR="007B6D43">
        <w:t xml:space="preserve"> </w:t>
      </w:r>
      <w:r w:rsidRPr="00F721FD">
        <w:t xml:space="preserve">and the ability </w:t>
      </w:r>
      <w:r w:rsidR="000C66C4">
        <w:t>of</w:t>
      </w:r>
      <w:r w:rsidR="000C66C4" w:rsidRPr="00F721FD">
        <w:t xml:space="preserve"> </w:t>
      </w:r>
      <w:r w:rsidRPr="00F721FD">
        <w:t xml:space="preserve">the industry to make recommendations for </w:t>
      </w:r>
      <w:r w:rsidR="007B6D43" w:rsidRPr="00F721FD">
        <w:t>changes</w:t>
      </w:r>
      <w:r w:rsidR="007B6D43" w:rsidRPr="00F721FD" w:rsidDel="00FA76FD">
        <w:t>.</w:t>
      </w:r>
      <w:r w:rsidR="0019357A" w:rsidRPr="0019357A">
        <w:t xml:space="preserve"> It is also proposed that the values of the categories and increments be reviewed </w:t>
      </w:r>
      <w:r w:rsidR="00B82D85">
        <w:t xml:space="preserve">prior to </w:t>
      </w:r>
      <w:r w:rsidR="0019357A" w:rsidRPr="0019357A">
        <w:t xml:space="preserve">the next </w:t>
      </w:r>
      <w:proofErr w:type="gramStart"/>
      <w:r w:rsidR="0019357A" w:rsidRPr="0019357A">
        <w:t>three</w:t>
      </w:r>
      <w:r w:rsidR="00D156A6">
        <w:t xml:space="preserve"> </w:t>
      </w:r>
      <w:r w:rsidR="0019357A" w:rsidRPr="0019357A">
        <w:t>year</w:t>
      </w:r>
      <w:proofErr w:type="gramEnd"/>
      <w:r w:rsidR="0019357A" w:rsidRPr="0019357A">
        <w:t xml:space="preserve"> </w:t>
      </w:r>
      <w:r w:rsidR="00FB78D3">
        <w:t xml:space="preserve">funding </w:t>
      </w:r>
      <w:r w:rsidR="0019357A" w:rsidRPr="0019357A">
        <w:t>block</w:t>
      </w:r>
      <w:r w:rsidR="00B82D85">
        <w:t xml:space="preserve"> (2022/2023 to </w:t>
      </w:r>
      <w:r w:rsidR="00F854E7">
        <w:t>2024/2025)</w:t>
      </w:r>
      <w:r w:rsidR="0019357A" w:rsidRPr="0019357A">
        <w:t>.</w:t>
      </w:r>
    </w:p>
    <w:p w14:paraId="4CC32992" w14:textId="7F031406" w:rsidR="00181086" w:rsidRPr="00A26151" w:rsidRDefault="00181086" w:rsidP="00E71BAA">
      <w:pPr>
        <w:rPr>
          <w:color w:val="000000" w:themeColor="text1"/>
        </w:rPr>
      </w:pPr>
      <w:r w:rsidRPr="00F721FD">
        <w:t xml:space="preserve">The current categorisation criteria </w:t>
      </w:r>
      <w:r w:rsidR="00512B00">
        <w:t>are</w:t>
      </w:r>
      <w:r w:rsidRPr="00F721FD">
        <w:t xml:space="preserve"> provided </w:t>
      </w:r>
      <w:r w:rsidRPr="00A26151">
        <w:t xml:space="preserve">in </w:t>
      </w:r>
      <w:r w:rsidR="00866CD3" w:rsidRPr="00A26151">
        <w:rPr>
          <w:color w:val="000000" w:themeColor="text1"/>
        </w:rPr>
        <w:t xml:space="preserve">Appendix </w:t>
      </w:r>
      <w:r w:rsidR="00A26151" w:rsidRPr="00A26151">
        <w:rPr>
          <w:color w:val="000000" w:themeColor="text1"/>
        </w:rPr>
        <w:t>B</w:t>
      </w:r>
      <w:r w:rsidRPr="00A26151">
        <w:rPr>
          <w:color w:val="000000" w:themeColor="text1"/>
        </w:rPr>
        <w:t xml:space="preserve">. It is recommended that the industry provides comment of the criteria </w:t>
      </w:r>
      <w:r w:rsidR="001C6E8C" w:rsidRPr="00A26151">
        <w:rPr>
          <w:color w:val="000000" w:themeColor="text1"/>
        </w:rPr>
        <w:t xml:space="preserve">in the next round of </w:t>
      </w:r>
      <w:r w:rsidR="000C66C4" w:rsidRPr="00A26151">
        <w:rPr>
          <w:color w:val="000000" w:themeColor="text1"/>
        </w:rPr>
        <w:t xml:space="preserve">the Strategic Funding Review </w:t>
      </w:r>
      <w:r w:rsidR="001C6E8C" w:rsidRPr="00A26151">
        <w:rPr>
          <w:color w:val="000000" w:themeColor="text1"/>
        </w:rPr>
        <w:t>consultation</w:t>
      </w:r>
      <w:r w:rsidRPr="00A26151">
        <w:rPr>
          <w:color w:val="000000" w:themeColor="text1"/>
        </w:rPr>
        <w:t xml:space="preserve">. </w:t>
      </w:r>
    </w:p>
    <w:p w14:paraId="788B703E" w14:textId="30889FD5" w:rsidR="006F714A" w:rsidRPr="00A26151" w:rsidRDefault="00CA4221">
      <w:pPr>
        <w:pStyle w:val="Heading4"/>
      </w:pPr>
      <w:r w:rsidRPr="00A26151">
        <w:t>Recommendations</w:t>
      </w:r>
    </w:p>
    <w:p w14:paraId="3B25BF27" w14:textId="69F9693E" w:rsidR="00E20A97" w:rsidRPr="003E02EA" w:rsidRDefault="00E20A97" w:rsidP="00E20A97">
      <w:pPr>
        <w:pStyle w:val="ListParagraph"/>
        <w:numPr>
          <w:ilvl w:val="0"/>
          <w:numId w:val="8"/>
        </w:numPr>
      </w:pPr>
      <w:r w:rsidRPr="00A26151">
        <w:t xml:space="preserve">The department to publish the </w:t>
      </w:r>
      <w:r w:rsidR="00241413" w:rsidRPr="00A26151">
        <w:t>Industry Investment Program</w:t>
      </w:r>
      <w:r w:rsidRPr="00A26151">
        <w:t xml:space="preserve"> categorisation criteria </w:t>
      </w:r>
      <w:r w:rsidR="00AA568B" w:rsidRPr="00A26151">
        <w:t xml:space="preserve">for State Sporting Associations </w:t>
      </w:r>
      <w:r w:rsidRPr="00A26151">
        <w:t xml:space="preserve">(Appendix </w:t>
      </w:r>
      <w:r w:rsidR="00A26151" w:rsidRPr="00A26151">
        <w:t>B</w:t>
      </w:r>
      <w:r w:rsidRPr="00A26151">
        <w:t>)</w:t>
      </w:r>
      <w:r w:rsidRPr="003E02EA">
        <w:t xml:space="preserve"> </w:t>
      </w:r>
      <w:r w:rsidR="00AA568B">
        <w:t>for</w:t>
      </w:r>
      <w:r w:rsidR="00CF1B2C">
        <w:t xml:space="preserve"> </w:t>
      </w:r>
      <w:r>
        <w:t>review by</w:t>
      </w:r>
      <w:r w:rsidRPr="003E02EA">
        <w:t xml:space="preserve"> the industry before implementation in 2019/202</w:t>
      </w:r>
      <w:r>
        <w:t xml:space="preserve">0 – this will include the category’s eligibility to apply for other funding programs and will outline other policy requirements i.e. gender targets. </w:t>
      </w:r>
    </w:p>
    <w:p w14:paraId="53FD0621" w14:textId="03339825" w:rsidR="000D1256" w:rsidRPr="00F721FD" w:rsidRDefault="00E20A97" w:rsidP="000D1256">
      <w:pPr>
        <w:pStyle w:val="ListParagraph"/>
        <w:numPr>
          <w:ilvl w:val="0"/>
          <w:numId w:val="8"/>
        </w:numPr>
      </w:pPr>
      <w:r>
        <w:t xml:space="preserve">The </w:t>
      </w:r>
      <w:r w:rsidR="00241413" w:rsidRPr="00CC58C2">
        <w:t>Industry Investment Program</w:t>
      </w:r>
      <w:r w:rsidRPr="00F721FD">
        <w:t xml:space="preserve"> </w:t>
      </w:r>
      <w:r>
        <w:t>to</w:t>
      </w:r>
      <w:r w:rsidRPr="00F721FD">
        <w:t xml:space="preserve"> have </w:t>
      </w:r>
      <w:proofErr w:type="gramStart"/>
      <w:r w:rsidRPr="00F721FD">
        <w:t>three</w:t>
      </w:r>
      <w:r w:rsidR="00D156A6">
        <w:t xml:space="preserve"> </w:t>
      </w:r>
      <w:r w:rsidRPr="00F721FD">
        <w:t>year</w:t>
      </w:r>
      <w:proofErr w:type="gramEnd"/>
      <w:r w:rsidRPr="00F721FD">
        <w:t xml:space="preserve"> funding block</w:t>
      </w:r>
      <w:r>
        <w:t xml:space="preserve">s, with </w:t>
      </w:r>
      <w:r w:rsidRPr="00F721FD">
        <w:t xml:space="preserve">an annual </w:t>
      </w:r>
      <w:r>
        <w:t xml:space="preserve">assessment. </w:t>
      </w:r>
      <w:r w:rsidRPr="00F721FD">
        <w:t xml:space="preserve">Each organisation will be determined to fit a category based on their capability and capacity. </w:t>
      </w:r>
    </w:p>
    <w:p w14:paraId="0590CEEC" w14:textId="549549FD" w:rsidR="00E20A97" w:rsidRPr="00F721FD" w:rsidRDefault="00E20A97">
      <w:pPr>
        <w:pStyle w:val="ListParagraph"/>
        <w:numPr>
          <w:ilvl w:val="0"/>
          <w:numId w:val="8"/>
        </w:numPr>
      </w:pPr>
      <w:r>
        <w:lastRenderedPageBreak/>
        <w:t>All</w:t>
      </w:r>
      <w:r w:rsidRPr="00F721FD">
        <w:t xml:space="preserve"> </w:t>
      </w:r>
      <w:r>
        <w:t xml:space="preserve">organisations’ </w:t>
      </w:r>
      <w:r w:rsidR="00241413" w:rsidRPr="00CC58C2">
        <w:t>Industry Investment Program</w:t>
      </w:r>
      <w:r w:rsidRPr="00F721FD">
        <w:t xml:space="preserve"> </w:t>
      </w:r>
      <w:r>
        <w:t>allocation</w:t>
      </w:r>
      <w:r w:rsidRPr="00F721FD">
        <w:t xml:space="preserve"> for the 2019/20 financial year</w:t>
      </w:r>
      <w:r>
        <w:t xml:space="preserve"> will be reset to the base funding level of the category. </w:t>
      </w:r>
      <w:r w:rsidR="008D5DE2">
        <w:t>T</w:t>
      </w:r>
      <w:r>
        <w:t xml:space="preserve">here </w:t>
      </w:r>
      <w:r w:rsidRPr="00067305">
        <w:t>will</w:t>
      </w:r>
      <w:r>
        <w:t xml:space="preserve"> be a</w:t>
      </w:r>
      <w:r w:rsidRPr="00067305">
        <w:t xml:space="preserve"> </w:t>
      </w:r>
      <w:proofErr w:type="gramStart"/>
      <w:r w:rsidRPr="00067305">
        <w:t>12</w:t>
      </w:r>
      <w:r w:rsidR="00D156A6">
        <w:t xml:space="preserve"> </w:t>
      </w:r>
      <w:r w:rsidRPr="00067305">
        <w:t>month</w:t>
      </w:r>
      <w:proofErr w:type="gramEnd"/>
      <w:r w:rsidRPr="00067305">
        <w:t xml:space="preserve"> transition period until new funding allocations are implemented where </w:t>
      </w:r>
      <w:r w:rsidR="008D5DE2">
        <w:t>changes result</w:t>
      </w:r>
      <w:r w:rsidRPr="00067305">
        <w:t xml:space="preserve"> in a decrease of funding.</w:t>
      </w:r>
    </w:p>
    <w:p w14:paraId="1F5EE291" w14:textId="078A5A32" w:rsidR="00E20A97" w:rsidRPr="007926AD" w:rsidRDefault="00E20A97" w:rsidP="00E20A97">
      <w:pPr>
        <w:pStyle w:val="ListParagraph"/>
        <w:numPr>
          <w:ilvl w:val="0"/>
          <w:numId w:val="8"/>
        </w:numPr>
      </w:pPr>
      <w:bookmarkStart w:id="23" w:name="_Hlk535348442"/>
      <w:r w:rsidRPr="007926AD">
        <w:t xml:space="preserve">Regional Organisation </w:t>
      </w:r>
      <w:r w:rsidR="008D5DE2">
        <w:t xml:space="preserve">Grants </w:t>
      </w:r>
      <w:r w:rsidRPr="007926AD">
        <w:t xml:space="preserve">and Regional Servicing </w:t>
      </w:r>
      <w:r w:rsidR="008D5DE2">
        <w:t>G</w:t>
      </w:r>
      <w:r w:rsidRPr="007926AD">
        <w:t xml:space="preserve">rants </w:t>
      </w:r>
      <w:r w:rsidR="008D5DE2">
        <w:t xml:space="preserve">will be consolidated </w:t>
      </w:r>
      <w:r w:rsidRPr="007926AD">
        <w:t>within</w:t>
      </w:r>
      <w:r w:rsidR="008D5DE2">
        <w:t xml:space="preserve"> the</w:t>
      </w:r>
      <w:r w:rsidRPr="007926AD">
        <w:t xml:space="preserve"> </w:t>
      </w:r>
      <w:r w:rsidR="00241413" w:rsidRPr="00CC58C2">
        <w:t>Industry Investment Program</w:t>
      </w:r>
      <w:r w:rsidRPr="007926AD">
        <w:t>.</w:t>
      </w:r>
    </w:p>
    <w:bookmarkEnd w:id="23"/>
    <w:p w14:paraId="45C687AC" w14:textId="77777777" w:rsidR="00A82184" w:rsidRPr="00F721FD" w:rsidRDefault="00A82184" w:rsidP="00A82184"/>
    <w:p w14:paraId="1E1951A0" w14:textId="5D37B79A" w:rsidR="006F714A" w:rsidRPr="00F721FD" w:rsidRDefault="006F714A" w:rsidP="003E02EA">
      <w:pPr>
        <w:pStyle w:val="Heading3"/>
      </w:pPr>
      <w:bookmarkStart w:id="24" w:name="_Toc1571683"/>
      <w:r w:rsidRPr="00F721FD">
        <w:t>Targeted Participation Program</w:t>
      </w:r>
      <w:bookmarkEnd w:id="24"/>
    </w:p>
    <w:p w14:paraId="5FD6EA17" w14:textId="30DB8AAE" w:rsidR="006B0307" w:rsidRDefault="00EC67A0" w:rsidP="00E71BAA">
      <w:r w:rsidRPr="00F721FD">
        <w:t xml:space="preserve">The </w:t>
      </w:r>
      <w:r w:rsidR="00E060C4">
        <w:t xml:space="preserve">Targeted Participation Program </w:t>
      </w:r>
      <w:r w:rsidR="00382AE7">
        <w:t xml:space="preserve">was </w:t>
      </w:r>
      <w:r w:rsidR="00E060C4">
        <w:t>review</w:t>
      </w:r>
      <w:r w:rsidR="00382AE7">
        <w:t>ed</w:t>
      </w:r>
      <w:r w:rsidR="00E060C4">
        <w:t xml:space="preserve"> in 2018, </w:t>
      </w:r>
      <w:r w:rsidR="008D5DE2">
        <w:t xml:space="preserve">commencing a </w:t>
      </w:r>
      <w:r w:rsidRPr="00F721FD">
        <w:t>funding partnership with Healthway</w:t>
      </w:r>
      <w:r w:rsidR="00E52E32" w:rsidRPr="00F721FD">
        <w:t>.</w:t>
      </w:r>
      <w:r w:rsidRPr="00F721FD">
        <w:t xml:space="preserve"> </w:t>
      </w:r>
      <w:r w:rsidR="00FA76FD" w:rsidRPr="00F721FD">
        <w:t>The revised program is a consolidation of three smaller grant programs</w:t>
      </w:r>
      <w:r w:rsidR="00A125F1">
        <w:t xml:space="preserve">; </w:t>
      </w:r>
      <w:r w:rsidR="00FA76FD" w:rsidRPr="00F721FD">
        <w:t>Community Participation Fund</w:t>
      </w:r>
      <w:r w:rsidR="00A125F1">
        <w:t xml:space="preserve">, </w:t>
      </w:r>
      <w:r w:rsidR="00FA76FD" w:rsidRPr="00F721FD">
        <w:t>Youth Engagement Scheme</w:t>
      </w:r>
      <w:r w:rsidR="00A125F1">
        <w:t xml:space="preserve"> and the previous Targeted Participation Program</w:t>
      </w:r>
      <w:r w:rsidR="00FA76FD" w:rsidRPr="00F721FD">
        <w:t xml:space="preserve">. </w:t>
      </w:r>
    </w:p>
    <w:p w14:paraId="2598DCF5" w14:textId="36FAF3C7" w:rsidR="00EC67A0" w:rsidRPr="00F721FD" w:rsidRDefault="00FA76FD" w:rsidP="003E02EA">
      <w:r w:rsidRPr="00F721FD">
        <w:t>A</w:t>
      </w:r>
      <w:r w:rsidR="00E8403F" w:rsidRPr="00F721FD">
        <w:t xml:space="preserve">t the time of the </w:t>
      </w:r>
      <w:r w:rsidR="008D5DE2">
        <w:t xml:space="preserve">Strategic Funding Review </w:t>
      </w:r>
      <w:r w:rsidR="00E8403F" w:rsidRPr="00F721FD">
        <w:t>consultation</w:t>
      </w:r>
      <w:r w:rsidR="008D5DE2">
        <w:t xml:space="preserve"> process,</w:t>
      </w:r>
      <w:r w:rsidR="00E8403F" w:rsidRPr="00F721FD">
        <w:t xml:space="preserve"> the announcements of the 2018 funding round had not been made</w:t>
      </w:r>
      <w:r w:rsidR="00E40400">
        <w:t>.</w:t>
      </w:r>
      <w:r w:rsidRPr="00F721FD">
        <w:t xml:space="preserve"> </w:t>
      </w:r>
      <w:r w:rsidR="00E40400">
        <w:t>A</w:t>
      </w:r>
      <w:r w:rsidRPr="00F721FD">
        <w:t>s a result, the feedback to the program was mixed</w:t>
      </w:r>
      <w:r w:rsidR="00E8403F" w:rsidRPr="00F721FD">
        <w:t>.</w:t>
      </w:r>
      <w:r w:rsidR="00996AE9" w:rsidRPr="00F721FD">
        <w:t xml:space="preserve"> During the workshops it was explained that part of the funding partnership is a comprehensive evaluation process.</w:t>
      </w:r>
    </w:p>
    <w:p w14:paraId="71758274" w14:textId="15386761" w:rsidR="00EC67A0" w:rsidRPr="00F721FD" w:rsidRDefault="00E66DD6" w:rsidP="003E02EA">
      <w:pPr>
        <w:rPr>
          <w:lang w:val="en-US"/>
        </w:rPr>
      </w:pPr>
      <w:r w:rsidRPr="00F721FD">
        <w:t>Based on</w:t>
      </w:r>
      <w:r w:rsidR="00996AE9" w:rsidRPr="00F721FD">
        <w:t xml:space="preserve"> the changes from the previous programs and an understanding that there is an </w:t>
      </w:r>
      <w:r w:rsidR="00EC67A0" w:rsidRPr="00F721FD">
        <w:rPr>
          <w:lang w:val="en-US"/>
        </w:rPr>
        <w:t>evaluation process to be undertaken</w:t>
      </w:r>
      <w:r w:rsidR="00353E00">
        <w:rPr>
          <w:lang w:val="en-US"/>
        </w:rPr>
        <w:t>,</w:t>
      </w:r>
      <w:r w:rsidR="00EC67A0" w:rsidRPr="00F721FD">
        <w:rPr>
          <w:lang w:val="en-US"/>
        </w:rPr>
        <w:t xml:space="preserve"> the </w:t>
      </w:r>
      <w:r w:rsidR="007C451F">
        <w:rPr>
          <w:lang w:val="en-US"/>
        </w:rPr>
        <w:t>conclusion</w:t>
      </w:r>
      <w:r w:rsidR="00996AE9" w:rsidRPr="00F721FD">
        <w:rPr>
          <w:lang w:val="en-US"/>
        </w:rPr>
        <w:t xml:space="preserve"> from the workshops was </w:t>
      </w:r>
      <w:r w:rsidR="00EC67A0" w:rsidRPr="00F721FD">
        <w:rPr>
          <w:lang w:val="en-US"/>
        </w:rPr>
        <w:t>that it is too soon to determine effectiveness and value</w:t>
      </w:r>
      <w:r w:rsidR="00353E00">
        <w:rPr>
          <w:lang w:val="en-US"/>
        </w:rPr>
        <w:t>.</w:t>
      </w:r>
      <w:r w:rsidR="00E8403F" w:rsidRPr="00F721FD">
        <w:rPr>
          <w:lang w:val="en-US"/>
        </w:rPr>
        <w:t xml:space="preserve"> </w:t>
      </w:r>
      <w:r w:rsidR="00353E00">
        <w:rPr>
          <w:lang w:val="en-US"/>
        </w:rPr>
        <w:t>I</w:t>
      </w:r>
      <w:r w:rsidR="00EC67A0" w:rsidRPr="00F721FD">
        <w:rPr>
          <w:lang w:val="en-US"/>
        </w:rPr>
        <w:t>t is proposed that any recommendations for change will be associated with the finding</w:t>
      </w:r>
      <w:r w:rsidR="003F71A5">
        <w:rPr>
          <w:lang w:val="en-US"/>
        </w:rPr>
        <w:t>s of the program</w:t>
      </w:r>
      <w:r w:rsidR="008D5DE2">
        <w:rPr>
          <w:lang w:val="en-US"/>
        </w:rPr>
        <w:t>’</w:t>
      </w:r>
      <w:r w:rsidR="003F71A5">
        <w:rPr>
          <w:lang w:val="en-US"/>
        </w:rPr>
        <w:t xml:space="preserve">s evaluation. </w:t>
      </w:r>
    </w:p>
    <w:p w14:paraId="3983D123" w14:textId="27D6AB74" w:rsidR="000031C4" w:rsidRDefault="000031C4">
      <w:pPr>
        <w:rPr>
          <w:lang w:val="en-US"/>
        </w:rPr>
      </w:pPr>
      <w:r>
        <w:rPr>
          <w:lang w:val="en-US"/>
        </w:rPr>
        <w:t xml:space="preserve">This is notwithstanding that initial feedback </w:t>
      </w:r>
      <w:r w:rsidR="008D5DE2">
        <w:rPr>
          <w:lang w:val="en-US"/>
        </w:rPr>
        <w:t xml:space="preserve">about the program included the comments: </w:t>
      </w:r>
      <w:r>
        <w:rPr>
          <w:lang w:val="en-US"/>
        </w:rPr>
        <w:t xml:space="preserve"> </w:t>
      </w:r>
    </w:p>
    <w:p w14:paraId="27255311" w14:textId="717C57FB" w:rsidR="000031C4" w:rsidRDefault="008D5DE2" w:rsidP="000031C4">
      <w:pPr>
        <w:pStyle w:val="DotPoints-level1"/>
        <w:rPr>
          <w:lang w:val="en-US"/>
        </w:rPr>
      </w:pPr>
      <w:r>
        <w:rPr>
          <w:lang w:val="en-US"/>
        </w:rPr>
        <w:t>There is a need for g</w:t>
      </w:r>
      <w:r w:rsidR="00CA4221" w:rsidRPr="00F721FD">
        <w:rPr>
          <w:lang w:val="en-US"/>
        </w:rPr>
        <w:t>reater promotion of the process for the determination of the priority geographical areas and targeted populations</w:t>
      </w:r>
      <w:r w:rsidR="000031C4">
        <w:rPr>
          <w:lang w:val="en-US"/>
        </w:rPr>
        <w:t xml:space="preserve">. </w:t>
      </w:r>
    </w:p>
    <w:p w14:paraId="628BCA8A" w14:textId="4A482607" w:rsidR="000031C4" w:rsidRDefault="000031C4" w:rsidP="003E02EA">
      <w:pPr>
        <w:pStyle w:val="DotPoints-level1"/>
        <w:rPr>
          <w:lang w:val="en-US"/>
        </w:rPr>
      </w:pPr>
      <w:r>
        <w:rPr>
          <w:lang w:val="en-US"/>
        </w:rPr>
        <w:t>C</w:t>
      </w:r>
      <w:r w:rsidR="00CA4221" w:rsidRPr="00091183">
        <w:rPr>
          <w:lang w:val="en-US"/>
        </w:rPr>
        <w:t xml:space="preserve">onsideration of the Category 3 program being open </w:t>
      </w:r>
      <w:r w:rsidR="008447F9" w:rsidRPr="00091183">
        <w:rPr>
          <w:lang w:val="en-US"/>
        </w:rPr>
        <w:t>year-round</w:t>
      </w:r>
      <w:r w:rsidR="00CA4221" w:rsidRPr="00091183">
        <w:rPr>
          <w:lang w:val="en-US"/>
        </w:rPr>
        <w:t xml:space="preserve"> </w:t>
      </w:r>
      <w:r w:rsidR="008D5DE2" w:rsidRPr="007A35DA">
        <w:rPr>
          <w:lang w:val="en-US"/>
        </w:rPr>
        <w:t>should</w:t>
      </w:r>
      <w:r w:rsidR="008D5DE2" w:rsidRPr="00091183">
        <w:rPr>
          <w:lang w:val="en-US"/>
        </w:rPr>
        <w:t xml:space="preserve"> </w:t>
      </w:r>
      <w:r w:rsidR="00CA4221" w:rsidRPr="00091183">
        <w:rPr>
          <w:lang w:val="en-US"/>
        </w:rPr>
        <w:t xml:space="preserve">be part of the inputs into the evaluation. </w:t>
      </w:r>
    </w:p>
    <w:p w14:paraId="3169DA1E" w14:textId="48DDEA9A" w:rsidR="00C67ECB" w:rsidRPr="00DC6C36" w:rsidRDefault="008D5DE2" w:rsidP="00E06782">
      <w:pPr>
        <w:pStyle w:val="DotPoints-level1"/>
        <w:rPr>
          <w:lang w:val="en-US"/>
        </w:rPr>
      </w:pPr>
      <w:r>
        <w:t xml:space="preserve">The program should be broadened to </w:t>
      </w:r>
      <w:r w:rsidR="009C2D96" w:rsidRPr="00F721FD">
        <w:t>general participation</w:t>
      </w:r>
      <w:r w:rsidR="007A35D0">
        <w:t xml:space="preserve"> (noting this is not the purpose of </w:t>
      </w:r>
      <w:r w:rsidR="00241413">
        <w:t xml:space="preserve">Targeted Participation Program </w:t>
      </w:r>
      <w:r w:rsidR="007A35D0">
        <w:t>funding)</w:t>
      </w:r>
      <w:r w:rsidR="009C2D96">
        <w:t>. Participation funding is being considered within the next round of consultation.</w:t>
      </w:r>
    </w:p>
    <w:p w14:paraId="1665243D" w14:textId="047DECF1" w:rsidR="00DC6C36" w:rsidRPr="00083E2F" w:rsidRDefault="00DC6C36" w:rsidP="00E06782">
      <w:pPr>
        <w:pStyle w:val="DotPoints-level1"/>
        <w:rPr>
          <w:lang w:val="en-US"/>
        </w:rPr>
      </w:pPr>
      <w:r>
        <w:rPr>
          <w:lang w:val="en-US"/>
        </w:rPr>
        <w:t>The purpose of the fu</w:t>
      </w:r>
      <w:r w:rsidR="00F3763E">
        <w:rPr>
          <w:lang w:val="en-US"/>
        </w:rPr>
        <w:t>nding is</w:t>
      </w:r>
      <w:r w:rsidR="00817E9E">
        <w:rPr>
          <w:lang w:val="en-US"/>
        </w:rPr>
        <w:t xml:space="preserve"> for the delivery of new projects and</w:t>
      </w:r>
      <w:r w:rsidR="00F3763E">
        <w:rPr>
          <w:lang w:val="en-US"/>
        </w:rPr>
        <w:t xml:space="preserve"> not for the delivery of </w:t>
      </w:r>
      <w:r w:rsidR="00817E9E">
        <w:rPr>
          <w:lang w:val="en-US"/>
        </w:rPr>
        <w:t>core business or outcomes that are funded through</w:t>
      </w:r>
      <w:r w:rsidR="00241413">
        <w:rPr>
          <w:lang w:val="en-US"/>
        </w:rPr>
        <w:t xml:space="preserve"> the</w:t>
      </w:r>
      <w:r w:rsidR="00817E9E">
        <w:rPr>
          <w:lang w:val="en-US"/>
        </w:rPr>
        <w:t xml:space="preserve"> </w:t>
      </w:r>
      <w:r w:rsidR="00241413" w:rsidRPr="00CC58C2">
        <w:t>Industry Investment Program</w:t>
      </w:r>
      <w:r w:rsidR="00817E9E">
        <w:rPr>
          <w:lang w:val="en-US"/>
        </w:rPr>
        <w:t xml:space="preserve">. </w:t>
      </w:r>
    </w:p>
    <w:p w14:paraId="5FD0466C" w14:textId="07D06751" w:rsidR="00CA4221" w:rsidRPr="00F721FD" w:rsidRDefault="00CA4221" w:rsidP="003E02EA">
      <w:r w:rsidRPr="00E4637F">
        <w:rPr>
          <w:lang w:val="en-US"/>
        </w:rPr>
        <w:t xml:space="preserve">These </w:t>
      </w:r>
      <w:r w:rsidR="003350B3">
        <w:rPr>
          <w:lang w:val="en-US"/>
        </w:rPr>
        <w:t>comments will be considered within the program</w:t>
      </w:r>
      <w:r w:rsidR="001E7E7F">
        <w:rPr>
          <w:lang w:val="en-US"/>
        </w:rPr>
        <w:t>’</w:t>
      </w:r>
      <w:r w:rsidR="009C2D96">
        <w:rPr>
          <w:lang w:val="en-US"/>
        </w:rPr>
        <w:t>s</w:t>
      </w:r>
      <w:r w:rsidR="003350B3">
        <w:rPr>
          <w:lang w:val="en-US"/>
        </w:rPr>
        <w:t xml:space="preserve"> evaluation. </w:t>
      </w:r>
    </w:p>
    <w:p w14:paraId="3F12126D" w14:textId="67778AFD" w:rsidR="00AE7D07" w:rsidRDefault="00CA4221" w:rsidP="000D2A8E">
      <w:pPr>
        <w:pStyle w:val="Heading4"/>
      </w:pPr>
      <w:r w:rsidRPr="00F721FD">
        <w:t>Recommendations</w:t>
      </w:r>
    </w:p>
    <w:p w14:paraId="6EB468B5" w14:textId="4C407ED8" w:rsidR="00A011DC" w:rsidRDefault="00E20A97" w:rsidP="003E02EA">
      <w:r>
        <w:t>Changes</w:t>
      </w:r>
      <w:r w:rsidR="00924B03" w:rsidRPr="00924B03">
        <w:t xml:space="preserve"> to the </w:t>
      </w:r>
      <w:r w:rsidR="00241413">
        <w:t>Targeted Participation Program</w:t>
      </w:r>
      <w:r w:rsidR="00924B03" w:rsidRPr="00924B03">
        <w:t xml:space="preserve"> will be considered as part of the evaluation process to be undertaken in 2019.</w:t>
      </w:r>
    </w:p>
    <w:p w14:paraId="13389573" w14:textId="77777777" w:rsidR="00AE4BC8" w:rsidRPr="00F721FD" w:rsidRDefault="00AE4BC8" w:rsidP="003E02EA"/>
    <w:p w14:paraId="5134C871" w14:textId="77777777" w:rsidR="00432AEF" w:rsidRDefault="00432AEF">
      <w:pPr>
        <w:jc w:val="left"/>
        <w:rPr>
          <w:rFonts w:eastAsiaTheme="majorEastAsia"/>
          <w:b/>
          <w:color w:val="0070C0"/>
          <w:sz w:val="24"/>
          <w:szCs w:val="24"/>
        </w:rPr>
      </w:pPr>
      <w:r>
        <w:br w:type="page"/>
      </w:r>
    </w:p>
    <w:p w14:paraId="3D8B86AE" w14:textId="4E8EA3F5" w:rsidR="006F714A" w:rsidRPr="00F721FD" w:rsidRDefault="006F714A" w:rsidP="003E02EA">
      <w:pPr>
        <w:pStyle w:val="Heading3"/>
      </w:pPr>
      <w:bookmarkStart w:id="25" w:name="_Toc1571684"/>
      <w:r w:rsidRPr="00F721FD">
        <w:lastRenderedPageBreak/>
        <w:t>Every Club</w:t>
      </w:r>
      <w:bookmarkEnd w:id="25"/>
    </w:p>
    <w:p w14:paraId="2E091A85" w14:textId="03739CD3" w:rsidR="000929BB" w:rsidRDefault="000929BB">
      <w:proofErr w:type="gramStart"/>
      <w:r>
        <w:t>The Every</w:t>
      </w:r>
      <w:proofErr w:type="gramEnd"/>
      <w:r w:rsidR="008D5DE2">
        <w:t xml:space="preserve"> </w:t>
      </w:r>
      <w:r>
        <w:t xml:space="preserve">Club program was launched in 2018 after a comprehensive review of the </w:t>
      </w:r>
      <w:r w:rsidR="00F42763">
        <w:t>d</w:t>
      </w:r>
      <w:r>
        <w:t>epartment</w:t>
      </w:r>
      <w:r w:rsidR="00F42763">
        <w:t>’</w:t>
      </w:r>
      <w:r>
        <w:t>s previous Club Development Officer</w:t>
      </w:r>
      <w:r w:rsidR="000F65B0">
        <w:t xml:space="preserve"> S</w:t>
      </w:r>
      <w:r>
        <w:t xml:space="preserve">cheme. </w:t>
      </w:r>
    </w:p>
    <w:p w14:paraId="4FEE9C50" w14:textId="628A2F80" w:rsidR="00CA4221" w:rsidRPr="00F721FD" w:rsidRDefault="00CA4221" w:rsidP="003E02EA">
      <w:r w:rsidRPr="00F721FD">
        <w:t xml:space="preserve">Like the </w:t>
      </w:r>
      <w:r w:rsidR="00241413">
        <w:t>Targeted Participation Program</w:t>
      </w:r>
      <w:r w:rsidR="002424E9" w:rsidRPr="00F721FD">
        <w:t>,</w:t>
      </w:r>
      <w:r w:rsidRPr="00F721FD">
        <w:t xml:space="preserve"> the overall feedback was that it was too soon to </w:t>
      </w:r>
      <w:r w:rsidR="00A7431C">
        <w:t xml:space="preserve">know the </w:t>
      </w:r>
      <w:r w:rsidRPr="00F721FD">
        <w:t xml:space="preserve">impact </w:t>
      </w:r>
      <w:r w:rsidR="00A7431C">
        <w:t>of the</w:t>
      </w:r>
      <w:r w:rsidR="00A7431C" w:rsidRPr="00F721FD">
        <w:t xml:space="preserve"> </w:t>
      </w:r>
      <w:r w:rsidRPr="00F721FD">
        <w:t>program</w:t>
      </w:r>
      <w:r w:rsidR="00A7431C">
        <w:t xml:space="preserve">. </w:t>
      </w:r>
    </w:p>
    <w:p w14:paraId="259A5F41" w14:textId="2248CD89" w:rsidR="00CA4221" w:rsidRPr="00F721FD" w:rsidRDefault="005C0E69" w:rsidP="003E02EA">
      <w:r>
        <w:t>In developing</w:t>
      </w:r>
      <w:r w:rsidR="00CA4221" w:rsidRPr="00F721FD">
        <w:t xml:space="preserve"> </w:t>
      </w:r>
      <w:proofErr w:type="gramStart"/>
      <w:r w:rsidR="008D5DE2">
        <w:t xml:space="preserve">the </w:t>
      </w:r>
      <w:r w:rsidR="00CA4221" w:rsidRPr="00F721FD">
        <w:t>Every</w:t>
      </w:r>
      <w:proofErr w:type="gramEnd"/>
      <w:r w:rsidR="008D5DE2">
        <w:t xml:space="preserve"> </w:t>
      </w:r>
      <w:r w:rsidR="00CA4221" w:rsidRPr="00F721FD">
        <w:t xml:space="preserve">Club </w:t>
      </w:r>
      <w:r w:rsidR="008D5DE2">
        <w:t xml:space="preserve">program </w:t>
      </w:r>
      <w:r w:rsidR="00CA4221" w:rsidRPr="00F721FD">
        <w:t>there was an extensive research process undertaken by the department</w:t>
      </w:r>
      <w:r w:rsidR="00CF72BF">
        <w:t>.</w:t>
      </w:r>
      <w:r w:rsidR="00CA4221" w:rsidRPr="00F721FD">
        <w:t xml:space="preserve"> </w:t>
      </w:r>
      <w:r w:rsidR="00CF72BF">
        <w:t>O</w:t>
      </w:r>
      <w:r w:rsidR="00CA4221" w:rsidRPr="00F721FD">
        <w:t xml:space="preserve">ne of </w:t>
      </w:r>
      <w:r w:rsidR="00CF72BF">
        <w:t xml:space="preserve">key </w:t>
      </w:r>
      <w:r w:rsidR="00CA4221" w:rsidRPr="00F721FD">
        <w:t>the issues explored was</w:t>
      </w:r>
      <w:r w:rsidR="008D5DE2">
        <w:t xml:space="preserve"> the responsibility for sport and recreation club development. </w:t>
      </w:r>
      <w:r w:rsidR="003C0AC2">
        <w:t>It was concluded</w:t>
      </w:r>
      <w:r w:rsidR="00CB6484">
        <w:t xml:space="preserve"> </w:t>
      </w:r>
      <w:r w:rsidR="00251543">
        <w:t>that</w:t>
      </w:r>
      <w:r w:rsidR="008D5DE2">
        <w:t xml:space="preserve"> responsibility for</w:t>
      </w:r>
      <w:r w:rsidR="00251543">
        <w:t xml:space="preserve"> </w:t>
      </w:r>
      <w:r w:rsidR="008D5DE2">
        <w:t xml:space="preserve">club development should be that of the </w:t>
      </w:r>
      <w:r w:rsidR="00F83B0C">
        <w:t xml:space="preserve">department, </w:t>
      </w:r>
      <w:r w:rsidR="00304E87">
        <w:t xml:space="preserve">State Sporting Associations </w:t>
      </w:r>
      <w:r w:rsidR="00CB6484">
        <w:t xml:space="preserve">and </w:t>
      </w:r>
      <w:r w:rsidR="003C0AC2">
        <w:t>l</w:t>
      </w:r>
      <w:r w:rsidR="00CB6484">
        <w:t xml:space="preserve">ocal </w:t>
      </w:r>
      <w:r w:rsidR="003C0AC2">
        <w:t>g</w:t>
      </w:r>
      <w:r w:rsidR="00CB6484">
        <w:t>overnments</w:t>
      </w:r>
      <w:r w:rsidR="008D5DE2">
        <w:t xml:space="preserve"> alike. A variety of support should be provided to clubs </w:t>
      </w:r>
      <w:r w:rsidR="00CB6484">
        <w:t xml:space="preserve">based on their priorities, ability and capacity. </w:t>
      </w:r>
      <w:r w:rsidR="001B1530">
        <w:t xml:space="preserve">Through </w:t>
      </w:r>
      <w:r w:rsidR="008D5DE2">
        <w:t xml:space="preserve">the </w:t>
      </w:r>
      <w:r w:rsidR="008B02C8">
        <w:t>Strategic Funding Review</w:t>
      </w:r>
      <w:r w:rsidR="008D5DE2">
        <w:t xml:space="preserve"> </w:t>
      </w:r>
      <w:r w:rsidR="001B1530">
        <w:t>consultation</w:t>
      </w:r>
      <w:r w:rsidR="008B02C8">
        <w:t xml:space="preserve"> process,</w:t>
      </w:r>
      <w:r w:rsidR="001B1530">
        <w:t xml:space="preserve"> </w:t>
      </w:r>
      <w:r w:rsidR="001B1530" w:rsidRPr="00F721FD">
        <w:t xml:space="preserve">it </w:t>
      </w:r>
      <w:r w:rsidR="008B02C8">
        <w:t>is apparent</w:t>
      </w:r>
      <w:r w:rsidR="008B02C8" w:rsidRPr="00F721FD">
        <w:t xml:space="preserve"> </w:t>
      </w:r>
      <w:r w:rsidR="001B1530" w:rsidRPr="00F721FD">
        <w:t xml:space="preserve">that this is still a </w:t>
      </w:r>
      <w:r w:rsidR="001B1530">
        <w:t>pertinent</w:t>
      </w:r>
      <w:r w:rsidR="001B1530" w:rsidRPr="00F721FD">
        <w:t xml:space="preserve"> issue </w:t>
      </w:r>
      <w:r w:rsidR="001B1530">
        <w:t>for</w:t>
      </w:r>
      <w:r w:rsidR="001B1530" w:rsidRPr="00F721FD">
        <w:t xml:space="preserve"> the </w:t>
      </w:r>
      <w:r w:rsidR="008B02C8">
        <w:t xml:space="preserve">sport and recreation </w:t>
      </w:r>
      <w:r w:rsidR="001B1530" w:rsidRPr="00F721FD">
        <w:t>industry</w:t>
      </w:r>
      <w:r w:rsidR="008B02C8">
        <w:t xml:space="preserve">. There is a </w:t>
      </w:r>
      <w:r>
        <w:t xml:space="preserve">need for </w:t>
      </w:r>
      <w:r w:rsidR="005B2B99">
        <w:t>ongoing</w:t>
      </w:r>
      <w:r w:rsidR="00CB6484">
        <w:t xml:space="preserve"> communication and coordination to reduce </w:t>
      </w:r>
      <w:r w:rsidR="00CB6484" w:rsidRPr="00434278">
        <w:t>duplication and identify gaps</w:t>
      </w:r>
      <w:r w:rsidR="00CB6484">
        <w:t xml:space="preserve">. </w:t>
      </w:r>
      <w:r w:rsidR="00F650E0">
        <w:t xml:space="preserve">It is therefore recommended to review this scope of works and continue to work with the industry and local governments to determine the roles and responsibilities in club development. </w:t>
      </w:r>
      <w:r w:rsidR="00FF0A81">
        <w:t>It is recommended t</w:t>
      </w:r>
      <w:r w:rsidR="00F650E0" w:rsidRPr="00083E2F">
        <w:t>he department host</w:t>
      </w:r>
      <w:r w:rsidR="00FF0A81">
        <w:t xml:space="preserve">s </w:t>
      </w:r>
      <w:r w:rsidR="00F650E0" w:rsidRPr="00083E2F">
        <w:t>a session</w:t>
      </w:r>
      <w:r w:rsidR="00F650E0">
        <w:t xml:space="preserve"> between the industry and local governments to discuss this issue further. </w:t>
      </w:r>
    </w:p>
    <w:p w14:paraId="320C4E6B" w14:textId="4C3CEC61" w:rsidR="000925B8" w:rsidRPr="00F721FD" w:rsidRDefault="008B02C8" w:rsidP="003E02EA">
      <w:r>
        <w:t xml:space="preserve">The consultation process revealed that there are questions about </w:t>
      </w:r>
      <w:r w:rsidR="00284452" w:rsidRPr="00F721FD">
        <w:t>whether</w:t>
      </w:r>
      <w:r w:rsidR="00CA4221" w:rsidRPr="00F721FD">
        <w:t xml:space="preserve"> </w:t>
      </w:r>
      <w:proofErr w:type="gramStart"/>
      <w:r w:rsidR="00CA4221" w:rsidRPr="00F721FD">
        <w:t>the Every</w:t>
      </w:r>
      <w:proofErr w:type="gramEnd"/>
      <w:r>
        <w:t xml:space="preserve"> </w:t>
      </w:r>
      <w:r w:rsidR="00CA4221" w:rsidRPr="00F721FD">
        <w:t xml:space="preserve">Club program </w:t>
      </w:r>
      <w:r w:rsidR="00284452">
        <w:t xml:space="preserve">should </w:t>
      </w:r>
      <w:r>
        <w:t>be refined</w:t>
      </w:r>
      <w:r w:rsidR="00CA4221" w:rsidRPr="00F721FD">
        <w:t xml:space="preserve"> </w:t>
      </w:r>
      <w:r w:rsidR="000925B8" w:rsidRPr="00F721FD">
        <w:t xml:space="preserve">to reflect differences </w:t>
      </w:r>
      <w:r w:rsidR="000925B8" w:rsidRPr="00F721FD">
        <w:rPr>
          <w:lang w:val="en-US"/>
        </w:rPr>
        <w:t xml:space="preserve">between the capacity and capability of </w:t>
      </w:r>
      <w:r>
        <w:rPr>
          <w:lang w:val="en-US"/>
        </w:rPr>
        <w:t xml:space="preserve">clubs in regional and metropolitan Western Australia. </w:t>
      </w:r>
      <w:proofErr w:type="gramStart"/>
      <w:r>
        <w:rPr>
          <w:lang w:val="en-US"/>
        </w:rPr>
        <w:t>Also</w:t>
      </w:r>
      <w:proofErr w:type="gramEnd"/>
      <w:r>
        <w:rPr>
          <w:lang w:val="en-US"/>
        </w:rPr>
        <w:t xml:space="preserve"> to be taken into consideration is the capacity of local government to </w:t>
      </w:r>
      <w:r w:rsidR="000925B8" w:rsidRPr="00F721FD">
        <w:rPr>
          <w:lang w:val="en-US"/>
        </w:rPr>
        <w:t xml:space="preserve">deliver and support </w:t>
      </w:r>
      <w:r>
        <w:rPr>
          <w:lang w:val="en-US"/>
        </w:rPr>
        <w:t xml:space="preserve">clubs. </w:t>
      </w:r>
    </w:p>
    <w:p w14:paraId="276C1576" w14:textId="58452B11" w:rsidR="00372B06" w:rsidRPr="00F721FD" w:rsidRDefault="00FF74D4" w:rsidP="003E02EA">
      <w:proofErr w:type="gramStart"/>
      <w:r>
        <w:t>The</w:t>
      </w:r>
      <w:r w:rsidR="000925B8" w:rsidRPr="00F721FD">
        <w:t xml:space="preserve"> Every</w:t>
      </w:r>
      <w:proofErr w:type="gramEnd"/>
      <w:r w:rsidR="008B02C8">
        <w:t xml:space="preserve"> </w:t>
      </w:r>
      <w:r w:rsidR="000925B8" w:rsidRPr="00F721FD">
        <w:t xml:space="preserve">Club program </w:t>
      </w:r>
      <w:r>
        <w:t>will</w:t>
      </w:r>
      <w:r w:rsidR="000925B8" w:rsidRPr="00F721FD">
        <w:t xml:space="preserve"> </w:t>
      </w:r>
      <w:r w:rsidR="000925B8" w:rsidRPr="00083E2F">
        <w:t xml:space="preserve">commence year </w:t>
      </w:r>
      <w:r w:rsidR="00372B06" w:rsidRPr="00083E2F">
        <w:t>two</w:t>
      </w:r>
      <w:r>
        <w:t xml:space="preserve"> of funding in 2019/2020, with this </w:t>
      </w:r>
      <w:r w:rsidR="000925B8" w:rsidRPr="00F721FD">
        <w:t xml:space="preserve">there is the potential to undertake a health-check of the </w:t>
      </w:r>
      <w:r w:rsidR="00372B06">
        <w:t>funded programs</w:t>
      </w:r>
      <w:r w:rsidR="000925B8" w:rsidRPr="00F721FD">
        <w:t xml:space="preserve"> to </w:t>
      </w:r>
      <w:r w:rsidR="003E42EE" w:rsidRPr="00F721FD">
        <w:t>identify areas for i</w:t>
      </w:r>
      <w:r w:rsidR="00372B06">
        <w:t xml:space="preserve">mprovement. </w:t>
      </w:r>
    </w:p>
    <w:p w14:paraId="5644DFA7" w14:textId="09251498" w:rsidR="00AE7D07" w:rsidRPr="00F721FD" w:rsidRDefault="000925B8">
      <w:pPr>
        <w:pStyle w:val="Heading4"/>
      </w:pPr>
      <w:r w:rsidRPr="00F721FD">
        <w:t>Recommendations</w:t>
      </w:r>
    </w:p>
    <w:p w14:paraId="2B44F3FE" w14:textId="5C3C7BAB" w:rsidR="00AE7D07" w:rsidRPr="00E81CA8" w:rsidRDefault="000925B8" w:rsidP="00E06782">
      <w:pPr>
        <w:pStyle w:val="ListParagraph"/>
        <w:numPr>
          <w:ilvl w:val="0"/>
          <w:numId w:val="8"/>
        </w:numPr>
      </w:pPr>
      <w:r w:rsidRPr="00F721FD">
        <w:t>The department undertakes a health check</w:t>
      </w:r>
      <w:r w:rsidR="004A6BB2">
        <w:t xml:space="preserve"> o</w:t>
      </w:r>
      <w:r w:rsidRPr="00F721FD">
        <w:t xml:space="preserve">f </w:t>
      </w:r>
      <w:proofErr w:type="gramStart"/>
      <w:r w:rsidRPr="00F721FD">
        <w:t>the Every</w:t>
      </w:r>
      <w:proofErr w:type="gramEnd"/>
      <w:r w:rsidR="008B02C8">
        <w:t xml:space="preserve"> </w:t>
      </w:r>
      <w:r w:rsidRPr="00F721FD">
        <w:t xml:space="preserve">Club program to make </w:t>
      </w:r>
      <w:r w:rsidRPr="00E81CA8">
        <w:t xml:space="preserve">refinements </w:t>
      </w:r>
      <w:r w:rsidR="004A6BB2" w:rsidRPr="00E81CA8">
        <w:t xml:space="preserve">for any </w:t>
      </w:r>
      <w:r w:rsidR="00147C87" w:rsidRPr="00E81CA8">
        <w:t xml:space="preserve">future </w:t>
      </w:r>
      <w:r w:rsidRPr="00E81CA8">
        <w:t xml:space="preserve">funding </w:t>
      </w:r>
      <w:r w:rsidR="00147C87" w:rsidRPr="00E81CA8">
        <w:t>rounds.</w:t>
      </w:r>
    </w:p>
    <w:p w14:paraId="04291224" w14:textId="78A1C845" w:rsidR="00251C60" w:rsidRPr="00E81CA8" w:rsidRDefault="00251C60" w:rsidP="00E06782">
      <w:pPr>
        <w:pStyle w:val="ListParagraph"/>
        <w:numPr>
          <w:ilvl w:val="0"/>
          <w:numId w:val="8"/>
        </w:numPr>
      </w:pPr>
      <w:r w:rsidRPr="00E81CA8">
        <w:t>The department develop</w:t>
      </w:r>
      <w:r w:rsidR="000226DF" w:rsidRPr="00E81CA8">
        <w:t>s</w:t>
      </w:r>
      <w:r w:rsidRPr="00E81CA8">
        <w:t xml:space="preserve"> an implementation strategy (including stakeholder consultation and communications plan) based on the previous work undertaken by the department which examined the roles and responsibilities for club development in Western Australia. </w:t>
      </w:r>
    </w:p>
    <w:p w14:paraId="6B327D5B" w14:textId="5D517D4A" w:rsidR="004A6BB2" w:rsidRPr="00F721FD" w:rsidRDefault="004A6BB2" w:rsidP="00E06782">
      <w:pPr>
        <w:pStyle w:val="ListParagraph"/>
        <w:numPr>
          <w:ilvl w:val="0"/>
          <w:numId w:val="8"/>
        </w:numPr>
      </w:pPr>
      <w:r w:rsidRPr="00E81CA8">
        <w:t>The department to host</w:t>
      </w:r>
      <w:r>
        <w:t xml:space="preserve"> a leadership forum between local governments and State Sporting Associations to discuss the roles and responsibilities of club development. </w:t>
      </w:r>
    </w:p>
    <w:p w14:paraId="068B2A72" w14:textId="23E81D40" w:rsidR="006F714A" w:rsidRPr="00F721FD" w:rsidRDefault="006F714A" w:rsidP="00F721FD">
      <w:pPr>
        <w:pStyle w:val="ListParagraph"/>
      </w:pPr>
    </w:p>
    <w:p w14:paraId="748EC519" w14:textId="2BF9E616" w:rsidR="006F714A" w:rsidRPr="00F721FD" w:rsidRDefault="006F714A" w:rsidP="003E02EA">
      <w:pPr>
        <w:pStyle w:val="Heading3"/>
      </w:pPr>
      <w:bookmarkStart w:id="26" w:name="_Toc1571685"/>
      <w:r w:rsidRPr="00F721FD">
        <w:t>KidSport</w:t>
      </w:r>
      <w:bookmarkEnd w:id="26"/>
    </w:p>
    <w:p w14:paraId="040BE86D" w14:textId="53485A5F" w:rsidR="00202038" w:rsidRDefault="00273720">
      <w:r w:rsidRPr="00F721FD">
        <w:t xml:space="preserve">The </w:t>
      </w:r>
      <w:r w:rsidR="000925B8" w:rsidRPr="00F721FD">
        <w:t>Kid</w:t>
      </w:r>
      <w:r w:rsidR="008B02C8">
        <w:t>S</w:t>
      </w:r>
      <w:r w:rsidR="000925B8" w:rsidRPr="00F721FD">
        <w:t xml:space="preserve">port </w:t>
      </w:r>
      <w:r w:rsidR="00E66DD6" w:rsidRPr="00F721FD">
        <w:t xml:space="preserve">program </w:t>
      </w:r>
      <w:r w:rsidRPr="00F721FD">
        <w:t xml:space="preserve">was </w:t>
      </w:r>
      <w:r w:rsidR="00B55ECF">
        <w:t>acknowledged as being</w:t>
      </w:r>
      <w:r w:rsidR="000925B8" w:rsidRPr="00F721FD">
        <w:t xml:space="preserve"> highly relevant and needed</w:t>
      </w:r>
      <w:r w:rsidR="00771761">
        <w:t xml:space="preserve"> by the industry</w:t>
      </w:r>
      <w:r w:rsidRPr="00F721FD">
        <w:t>.</w:t>
      </w:r>
      <w:r w:rsidR="00202038">
        <w:t xml:space="preserve"> It was </w:t>
      </w:r>
      <w:r w:rsidR="00771761">
        <w:t xml:space="preserve">acknowledged </w:t>
      </w:r>
      <w:r w:rsidR="00202038">
        <w:t xml:space="preserve">that the recent review has </w:t>
      </w:r>
      <w:r w:rsidR="00233CC5">
        <w:t>seen a simplification of processes</w:t>
      </w:r>
      <w:r w:rsidR="00DF00AF">
        <w:t xml:space="preserve"> from an administrative standpoint.</w:t>
      </w:r>
    </w:p>
    <w:p w14:paraId="69B9E635" w14:textId="3917A305" w:rsidR="00613493" w:rsidRPr="00F721FD" w:rsidRDefault="00EF473E" w:rsidP="003E02EA">
      <w:r>
        <w:t xml:space="preserve">It was suggested </w:t>
      </w:r>
      <w:r w:rsidR="00613493">
        <w:t>however</w:t>
      </w:r>
      <w:r w:rsidR="00A35360">
        <w:t>,</w:t>
      </w:r>
      <w:r w:rsidR="00613493">
        <w:t xml:space="preserve"> </w:t>
      </w:r>
      <w:r>
        <w:t>that there is</w:t>
      </w:r>
      <w:r w:rsidR="00273720" w:rsidRPr="00F721FD">
        <w:t xml:space="preserve"> a need to </w:t>
      </w:r>
      <w:r w:rsidR="00613493">
        <w:t>review</w:t>
      </w:r>
      <w:r w:rsidR="00613493" w:rsidRPr="00F721FD">
        <w:t xml:space="preserve"> </w:t>
      </w:r>
      <w:r w:rsidR="00273720" w:rsidRPr="00F721FD">
        <w:t>the delivery mechanism for regional and remote communities</w:t>
      </w:r>
      <w:r w:rsidR="000925B8" w:rsidRPr="00F721FD">
        <w:t xml:space="preserve"> </w:t>
      </w:r>
      <w:r w:rsidR="000925B8" w:rsidRPr="00F721FD">
        <w:rPr>
          <w:lang w:val="en-US"/>
        </w:rPr>
        <w:t xml:space="preserve">where access to on-line registration, club structure and documents including the Health Care Card </w:t>
      </w:r>
      <w:r w:rsidR="00CB63FE">
        <w:rPr>
          <w:lang w:val="en-US"/>
        </w:rPr>
        <w:t>are</w:t>
      </w:r>
      <w:r w:rsidR="00CB63FE" w:rsidRPr="00F721FD">
        <w:rPr>
          <w:lang w:val="en-US"/>
        </w:rPr>
        <w:t xml:space="preserve"> </w:t>
      </w:r>
      <w:r w:rsidR="000925B8" w:rsidRPr="00F721FD">
        <w:rPr>
          <w:lang w:val="en-US"/>
        </w:rPr>
        <w:t>difficu</w:t>
      </w:r>
      <w:r w:rsidR="000925B8" w:rsidRPr="000226DF">
        <w:rPr>
          <w:lang w:val="en-US"/>
        </w:rPr>
        <w:t xml:space="preserve">lt. </w:t>
      </w:r>
      <w:r w:rsidR="00674877" w:rsidRPr="000226DF">
        <w:rPr>
          <w:lang w:val="en-US"/>
        </w:rPr>
        <w:t xml:space="preserve">The department has progressed with this recommendation and </w:t>
      </w:r>
      <w:r w:rsidR="00A17C74" w:rsidRPr="000226DF">
        <w:rPr>
          <w:lang w:val="en-US"/>
        </w:rPr>
        <w:t>is currently</w:t>
      </w:r>
      <w:r w:rsidR="004E258B" w:rsidRPr="000226DF">
        <w:rPr>
          <w:lang w:val="en-US"/>
        </w:rPr>
        <w:t xml:space="preserve"> looking to</w:t>
      </w:r>
      <w:r w:rsidR="00A17C74" w:rsidRPr="000226DF">
        <w:rPr>
          <w:lang w:val="en-US"/>
        </w:rPr>
        <w:t xml:space="preserve"> pilot</w:t>
      </w:r>
      <w:r w:rsidR="004E258B" w:rsidRPr="000226DF">
        <w:rPr>
          <w:lang w:val="en-US"/>
        </w:rPr>
        <w:t xml:space="preserve"> a new </w:t>
      </w:r>
      <w:r w:rsidR="00E76231" w:rsidRPr="000226DF">
        <w:rPr>
          <w:lang w:val="en-US"/>
        </w:rPr>
        <w:t xml:space="preserve">initiative in selected regional communities. It should be noted that this will not be </w:t>
      </w:r>
      <w:r w:rsidR="008B02C8">
        <w:rPr>
          <w:lang w:val="en-US"/>
        </w:rPr>
        <w:t xml:space="preserve">part of the </w:t>
      </w:r>
      <w:r w:rsidR="00E76231" w:rsidRPr="000226DF">
        <w:rPr>
          <w:lang w:val="en-US"/>
        </w:rPr>
        <w:t>KidSport</w:t>
      </w:r>
      <w:r w:rsidR="008B02C8">
        <w:rPr>
          <w:lang w:val="en-US"/>
        </w:rPr>
        <w:t xml:space="preserve"> program. It will be a </w:t>
      </w:r>
      <w:r w:rsidR="008B02C8">
        <w:rPr>
          <w:lang w:val="en-US"/>
        </w:rPr>
        <w:lastRenderedPageBreak/>
        <w:t xml:space="preserve">further </w:t>
      </w:r>
      <w:r w:rsidR="00B64F60">
        <w:rPr>
          <w:lang w:val="en-US"/>
        </w:rPr>
        <w:t>support</w:t>
      </w:r>
      <w:r w:rsidR="004F7676" w:rsidRPr="000226DF">
        <w:rPr>
          <w:lang w:val="en-US"/>
        </w:rPr>
        <w:t xml:space="preserve"> to facilitate participation in regi</w:t>
      </w:r>
      <w:r w:rsidR="00CB6A05">
        <w:rPr>
          <w:lang w:val="en-US"/>
        </w:rPr>
        <w:t>o</w:t>
      </w:r>
      <w:r w:rsidR="004F7676" w:rsidRPr="000226DF">
        <w:rPr>
          <w:lang w:val="en-US"/>
        </w:rPr>
        <w:t xml:space="preserve">nal and remote communities in </w:t>
      </w:r>
      <w:r w:rsidR="008B02C8">
        <w:rPr>
          <w:lang w:val="en-US"/>
        </w:rPr>
        <w:t>Western Australia</w:t>
      </w:r>
      <w:r w:rsidR="004F7676" w:rsidRPr="000226DF">
        <w:rPr>
          <w:lang w:val="en-US"/>
        </w:rPr>
        <w:t xml:space="preserve">. </w:t>
      </w:r>
    </w:p>
    <w:p w14:paraId="24A6EE3B" w14:textId="580E8A90" w:rsidR="00466AEA" w:rsidRPr="00B62952" w:rsidRDefault="00B64F60" w:rsidP="003E02EA">
      <w:r w:rsidRPr="00B64F60">
        <w:t>Other feedback was related to policy changes that were enforced in 2017 and 2018</w:t>
      </w:r>
      <w:proofErr w:type="gramStart"/>
      <w:r w:rsidR="008B02C8">
        <w:t xml:space="preserve">, in particular, </w:t>
      </w:r>
      <w:r w:rsidRPr="00B64F60">
        <w:t>a</w:t>
      </w:r>
      <w:proofErr w:type="gramEnd"/>
      <w:r w:rsidRPr="00B64F60">
        <w:t xml:space="preserve"> desire to return to $200</w:t>
      </w:r>
      <w:r>
        <w:t xml:space="preserve"> per annum</w:t>
      </w:r>
      <w:r w:rsidRPr="00B64F60">
        <w:t xml:space="preserve"> and reintroducing equipment and uniform as eligible items. The department has committed to examining the impacts of these changes through a review in 2019/2020.</w:t>
      </w:r>
      <w:r>
        <w:t xml:space="preserve"> </w:t>
      </w:r>
    </w:p>
    <w:p w14:paraId="3D55A5F4" w14:textId="77777777" w:rsidR="00545AF5" w:rsidRDefault="00545AF5" w:rsidP="000D2A8E">
      <w:pPr>
        <w:pStyle w:val="Heading4"/>
      </w:pPr>
      <w:r>
        <w:t>Recommendations</w:t>
      </w:r>
    </w:p>
    <w:p w14:paraId="7159AE2C" w14:textId="4300C37E" w:rsidR="006F714A" w:rsidRDefault="00545AF5" w:rsidP="00E06782">
      <w:pPr>
        <w:pStyle w:val="ListParagraph"/>
        <w:numPr>
          <w:ilvl w:val="0"/>
          <w:numId w:val="8"/>
        </w:numPr>
        <w:jc w:val="left"/>
      </w:pPr>
      <w:r>
        <w:t xml:space="preserve">The department </w:t>
      </w:r>
      <w:r w:rsidR="009E7C84">
        <w:t xml:space="preserve">will implement a pilot to trial </w:t>
      </w:r>
      <w:r>
        <w:t xml:space="preserve">alternative models of support for kids to access sport in targeted regional and remote locations where </w:t>
      </w:r>
      <w:r w:rsidR="009E7C84">
        <w:t xml:space="preserve">the </w:t>
      </w:r>
      <w:r>
        <w:t xml:space="preserve">KidSport </w:t>
      </w:r>
      <w:r w:rsidR="009E7C84">
        <w:t xml:space="preserve">model is not suitable. </w:t>
      </w:r>
    </w:p>
    <w:p w14:paraId="0F589B15" w14:textId="1CB54E22" w:rsidR="009E7C84" w:rsidRDefault="009E7C84" w:rsidP="00E06782">
      <w:pPr>
        <w:pStyle w:val="ListParagraph"/>
        <w:numPr>
          <w:ilvl w:val="0"/>
          <w:numId w:val="8"/>
        </w:numPr>
        <w:jc w:val="left"/>
      </w:pPr>
      <w:r>
        <w:t>The department will undertake a review of the program in 2019/2020 to examine the impact of policy changes</w:t>
      </w:r>
      <w:r w:rsidR="00AF210F">
        <w:t xml:space="preserve"> that were enforced</w:t>
      </w:r>
      <w:r>
        <w:t xml:space="preserve"> in </w:t>
      </w:r>
      <w:r w:rsidR="00D645B2">
        <w:t xml:space="preserve">2017 and </w:t>
      </w:r>
      <w:r w:rsidR="00AF210F">
        <w:t xml:space="preserve">2018. </w:t>
      </w:r>
    </w:p>
    <w:p w14:paraId="03EE5BBC" w14:textId="77777777" w:rsidR="00545AF5" w:rsidRPr="00F721FD" w:rsidRDefault="00545AF5" w:rsidP="003E02EA">
      <w:pPr>
        <w:jc w:val="left"/>
      </w:pPr>
    </w:p>
    <w:p w14:paraId="696B9829" w14:textId="0F011476" w:rsidR="006F714A" w:rsidRPr="00F721FD" w:rsidRDefault="006F714A" w:rsidP="003E02EA">
      <w:pPr>
        <w:pStyle w:val="Heading3"/>
      </w:pPr>
      <w:bookmarkStart w:id="27" w:name="_Toc1571686"/>
      <w:r w:rsidRPr="00F721FD">
        <w:t>Regional Based Grants</w:t>
      </w:r>
      <w:bookmarkEnd w:id="27"/>
    </w:p>
    <w:p w14:paraId="5063B71D" w14:textId="40E6A548" w:rsidR="009A4CC7" w:rsidRDefault="00D269E7">
      <w:r>
        <w:t xml:space="preserve">The </w:t>
      </w:r>
      <w:r w:rsidR="008B02C8">
        <w:t>d</w:t>
      </w:r>
      <w:r>
        <w:t>epartment currently has a range of funding programs that support the delivery of sport and recreation opportunities in regional and remo</w:t>
      </w:r>
      <w:r w:rsidR="009A4CC7">
        <w:t>t</w:t>
      </w:r>
      <w:r>
        <w:t xml:space="preserve">e communities. </w:t>
      </w:r>
      <w:r w:rsidR="009A4CC7">
        <w:t>It was identified through t</w:t>
      </w:r>
      <w:r w:rsidR="00C379E2" w:rsidRPr="00F721FD">
        <w:t>he</w:t>
      </w:r>
      <w:r w:rsidR="009A4CC7">
        <w:t xml:space="preserve"> consultation that the</w:t>
      </w:r>
      <w:r w:rsidR="00C379E2" w:rsidRPr="00F721FD">
        <w:t xml:space="preserve"> current regional funding programs </w:t>
      </w:r>
      <w:r w:rsidR="009A4CC7">
        <w:t xml:space="preserve">face a range of </w:t>
      </w:r>
      <w:r w:rsidR="00C379E2" w:rsidRPr="00F721FD">
        <w:t xml:space="preserve">challenges and </w:t>
      </w:r>
      <w:r w:rsidR="009A4CC7">
        <w:t xml:space="preserve">have </w:t>
      </w:r>
      <w:r w:rsidR="008B02C8">
        <w:t xml:space="preserve">potential </w:t>
      </w:r>
      <w:r w:rsidR="00C379E2" w:rsidRPr="00F721FD">
        <w:t>areas for improvement</w:t>
      </w:r>
      <w:r w:rsidR="009A4CC7">
        <w:t xml:space="preserve">. </w:t>
      </w:r>
    </w:p>
    <w:p w14:paraId="20DA2B39" w14:textId="5D78E93E" w:rsidR="0064599C" w:rsidRDefault="00E8045D">
      <w:r>
        <w:t>T</w:t>
      </w:r>
      <w:r w:rsidR="00C379E2" w:rsidRPr="00F721FD">
        <w:t xml:space="preserve">he </w:t>
      </w:r>
      <w:r w:rsidR="00C379E2" w:rsidRPr="007818E3">
        <w:t>Regional Servicing Grants</w:t>
      </w:r>
      <w:r w:rsidR="00E66DD6" w:rsidRPr="00F721FD">
        <w:t>, which provide funding to State Sporting Associations to service regional areas</w:t>
      </w:r>
      <w:r>
        <w:t xml:space="preserve">, </w:t>
      </w:r>
      <w:r w:rsidR="00C546C5">
        <w:t>were</w:t>
      </w:r>
      <w:r>
        <w:t xml:space="preserve"> noted as valuable, however it was clear there were numerous administrative challenges. </w:t>
      </w:r>
      <w:r w:rsidR="00F95261">
        <w:t>T</w:t>
      </w:r>
      <w:r w:rsidR="00D30626">
        <w:t>he</w:t>
      </w:r>
      <w:r w:rsidR="00E66DD6" w:rsidRPr="00F721FD">
        <w:t xml:space="preserve"> program has resulted in</w:t>
      </w:r>
      <w:r w:rsidR="00D30626">
        <w:t xml:space="preserve"> the duplication of service</w:t>
      </w:r>
      <w:r w:rsidR="008B02C8">
        <w:t>s</w:t>
      </w:r>
      <w:r w:rsidR="00D30626">
        <w:t xml:space="preserve"> with</w:t>
      </w:r>
      <w:r w:rsidR="00E66DD6" w:rsidRPr="00F721FD">
        <w:t xml:space="preserve"> some organisations </w:t>
      </w:r>
      <w:r w:rsidR="007818E3">
        <w:t xml:space="preserve">having to </w:t>
      </w:r>
      <w:r w:rsidR="00E66DD6" w:rsidRPr="00F721FD">
        <w:t>mak</w:t>
      </w:r>
      <w:r w:rsidR="007818E3">
        <w:t>e</w:t>
      </w:r>
      <w:r w:rsidR="00E66DD6" w:rsidRPr="00F721FD">
        <w:t xml:space="preserve"> multiple applications and having multiple funding agreements. </w:t>
      </w:r>
      <w:r w:rsidR="008B02C8">
        <w:t xml:space="preserve">It is proposed that it is integrated with the </w:t>
      </w:r>
      <w:r w:rsidR="00C379E2" w:rsidRPr="00F721FD">
        <w:t>Industry Investment Program</w:t>
      </w:r>
      <w:r w:rsidR="008B02C8">
        <w:t xml:space="preserve">, due to the level of cross over. </w:t>
      </w:r>
      <w:r w:rsidR="00573AA6">
        <w:t xml:space="preserve">Benefits of this recommendation include: </w:t>
      </w:r>
    </w:p>
    <w:p w14:paraId="6C6F4E5A" w14:textId="3C9F6D5E" w:rsidR="00822B33" w:rsidRPr="00F721FD" w:rsidRDefault="00573AA6" w:rsidP="003E02EA">
      <w:pPr>
        <w:pStyle w:val="DotPoints-level1"/>
      </w:pPr>
      <w:r>
        <w:t>Organis</w:t>
      </w:r>
      <w:r w:rsidR="00A6433A">
        <w:t xml:space="preserve">ations that are funded through </w:t>
      </w:r>
      <w:r w:rsidR="008B02C8">
        <w:t xml:space="preserve">the Industry Investment Program </w:t>
      </w:r>
      <w:r w:rsidR="00A6433A">
        <w:t xml:space="preserve">to service </w:t>
      </w:r>
      <w:r w:rsidR="00822B33">
        <w:t xml:space="preserve">regional </w:t>
      </w:r>
      <w:r w:rsidR="008B02C8">
        <w:t xml:space="preserve">Western Australia </w:t>
      </w:r>
      <w:r w:rsidR="00822B33">
        <w:t xml:space="preserve">won’t be </w:t>
      </w:r>
      <w:r w:rsidR="007818E3">
        <w:t xml:space="preserve">required to apply for further regional servicing allocations. </w:t>
      </w:r>
    </w:p>
    <w:p w14:paraId="41A26923" w14:textId="076540F9" w:rsidR="007818E3" w:rsidRPr="00F721FD" w:rsidRDefault="007818E3" w:rsidP="007818E3">
      <w:pPr>
        <w:pStyle w:val="DotPoints-level1"/>
      </w:pPr>
      <w:r>
        <w:t>T</w:t>
      </w:r>
      <w:r w:rsidRPr="00F721FD">
        <w:t>he department</w:t>
      </w:r>
      <w:r>
        <w:t xml:space="preserve"> will be able to allocate</w:t>
      </w:r>
      <w:r w:rsidRPr="00F721FD">
        <w:t xml:space="preserve"> additional investment into </w:t>
      </w:r>
      <w:r w:rsidR="008B02C8">
        <w:t>State Sporting Associations</w:t>
      </w:r>
      <w:r w:rsidR="008B02C8" w:rsidRPr="00F721FD">
        <w:t xml:space="preserve"> </w:t>
      </w:r>
      <w:r>
        <w:t xml:space="preserve">when growth is identified </w:t>
      </w:r>
      <w:r w:rsidRPr="00F721FD">
        <w:t xml:space="preserve">through their </w:t>
      </w:r>
      <w:r w:rsidR="00C97169">
        <w:t xml:space="preserve">strategic plan and regional servicing. </w:t>
      </w:r>
    </w:p>
    <w:p w14:paraId="69EF1ACF" w14:textId="1D6595B2" w:rsidR="00C379E2" w:rsidRPr="00F721FD" w:rsidRDefault="00C379E2" w:rsidP="003E02EA">
      <w:r w:rsidRPr="002F08F9">
        <w:t xml:space="preserve">Similarly, the Regional Organisation Grants program </w:t>
      </w:r>
      <w:r w:rsidR="00C97169">
        <w:t xml:space="preserve">should </w:t>
      </w:r>
      <w:r w:rsidRPr="002F08F9">
        <w:t xml:space="preserve">be monitored so organisations that are required to deliver to regions via their </w:t>
      </w:r>
      <w:r w:rsidR="00C97169">
        <w:t xml:space="preserve">Industry Investment </w:t>
      </w:r>
      <w:r w:rsidR="00B51DBF">
        <w:t>Program f</w:t>
      </w:r>
      <w:r w:rsidR="00C97169">
        <w:t xml:space="preserve">unding </w:t>
      </w:r>
      <w:r w:rsidRPr="002F08F9">
        <w:t>do so</w:t>
      </w:r>
      <w:r w:rsidR="00C97169">
        <w:t xml:space="preserve">. They are then not </w:t>
      </w:r>
      <w:r w:rsidRPr="002F08F9">
        <w:t>seeking additional funding to meet this core function.</w:t>
      </w:r>
    </w:p>
    <w:p w14:paraId="1E5F00A3" w14:textId="7D5C33F9" w:rsidR="002E34F4" w:rsidRDefault="00966EE5">
      <w:r w:rsidRPr="00F721FD">
        <w:t xml:space="preserve">The role of the Country Sport Enrichment Program was not discussed </w:t>
      </w:r>
      <w:r w:rsidR="00C97169">
        <w:t xml:space="preserve">at length during the consultation process. However, there were </w:t>
      </w:r>
      <w:r w:rsidR="00AD302E" w:rsidRPr="00F721FD">
        <w:t>suggestion</w:t>
      </w:r>
      <w:r w:rsidR="00893C8C">
        <w:t>s that</w:t>
      </w:r>
      <w:r w:rsidR="00AD302E" w:rsidRPr="00F721FD">
        <w:t xml:space="preserve"> funding for large regional sporting carnivals could occur through this program</w:t>
      </w:r>
      <w:r w:rsidR="00C97169">
        <w:t xml:space="preserve">. </w:t>
      </w:r>
      <w:r w:rsidR="00893C8C">
        <w:t xml:space="preserve">This will be further explored in the next round of consultation with the department proposing the establishment of a mid-tier events funding program. </w:t>
      </w:r>
    </w:p>
    <w:p w14:paraId="552AD357" w14:textId="43DA4102" w:rsidR="002E34F4" w:rsidRDefault="002E34F4">
      <w:r>
        <w:t xml:space="preserve">The </w:t>
      </w:r>
      <w:r w:rsidRPr="00F721FD">
        <w:t xml:space="preserve">Active Regional Community Grants </w:t>
      </w:r>
      <w:r w:rsidR="00C97169">
        <w:t>program was noted during the consultation process</w:t>
      </w:r>
      <w:r w:rsidR="000F5FBA">
        <w:t xml:space="preserve"> as </w:t>
      </w:r>
      <w:r w:rsidRPr="00F721FD">
        <w:t>a relevant program</w:t>
      </w:r>
      <w:r w:rsidR="00C97169">
        <w:t xml:space="preserve">, enabling </w:t>
      </w:r>
      <w:r>
        <w:t>a</w:t>
      </w:r>
      <w:r w:rsidRPr="00F721FD">
        <w:t xml:space="preserve"> local</w:t>
      </w:r>
      <w:r>
        <w:t>ised</w:t>
      </w:r>
      <w:r w:rsidRPr="00F721FD">
        <w:t xml:space="preserve"> response to community initiatives</w:t>
      </w:r>
      <w:r>
        <w:t xml:space="preserve">. It was </w:t>
      </w:r>
      <w:r>
        <w:lastRenderedPageBreak/>
        <w:t xml:space="preserve">suggested that </w:t>
      </w:r>
      <w:r w:rsidR="00640079">
        <w:t>promotion of this program needs to be increased</w:t>
      </w:r>
      <w:r>
        <w:t xml:space="preserve">. </w:t>
      </w:r>
      <w:r w:rsidR="00640079">
        <w:t>It has been recommended that this program remains as</w:t>
      </w:r>
      <w:r w:rsidR="00C97169">
        <w:t xml:space="preserve"> it</w:t>
      </w:r>
      <w:r w:rsidR="00640079">
        <w:t xml:space="preserve"> is and is </w:t>
      </w:r>
      <w:r w:rsidR="005D67F9">
        <w:t>promoted</w:t>
      </w:r>
      <w:r w:rsidR="00640079">
        <w:t xml:space="preserve"> more broadly. </w:t>
      </w:r>
    </w:p>
    <w:p w14:paraId="7AE70620" w14:textId="13105703" w:rsidR="006F714A" w:rsidRPr="00F721FD" w:rsidRDefault="00500C2F" w:rsidP="003E02EA">
      <w:r w:rsidRPr="00F721FD">
        <w:t xml:space="preserve">The Regional Athlete </w:t>
      </w:r>
      <w:r w:rsidR="00164EF2">
        <w:t>Travel Subsidy Scheme</w:t>
      </w:r>
      <w:r w:rsidRPr="00F721FD">
        <w:t xml:space="preserve"> was also considered to be relevant</w:t>
      </w:r>
      <w:r w:rsidR="00164EF2">
        <w:t xml:space="preserve">, however </w:t>
      </w:r>
      <w:r w:rsidRPr="00F721FD">
        <w:t xml:space="preserve">there were requests that the eligibility of the program be extended </w:t>
      </w:r>
      <w:r w:rsidRPr="00A06308">
        <w:t>to include coaches and officials</w:t>
      </w:r>
      <w:r w:rsidR="00164EF2" w:rsidRPr="00A06308">
        <w:t>,</w:t>
      </w:r>
      <w:r w:rsidRPr="00A06308">
        <w:t xml:space="preserve"> as well as the potential for </w:t>
      </w:r>
      <w:r w:rsidR="002424E9" w:rsidRPr="00A06308">
        <w:t>club-based</w:t>
      </w:r>
      <w:r w:rsidRPr="00A06308">
        <w:t xml:space="preserve"> equipment</w:t>
      </w:r>
      <w:r w:rsidR="00164EF2" w:rsidRPr="00A06308">
        <w:t xml:space="preserve"> to be included</w:t>
      </w:r>
      <w:r w:rsidRPr="00A06308">
        <w:t>.</w:t>
      </w:r>
      <w:r w:rsidR="00164EF2" w:rsidRPr="00A06308">
        <w:t xml:space="preserve"> The</w:t>
      </w:r>
      <w:r w:rsidR="00B5690F" w:rsidRPr="00A06308">
        <w:t xml:space="preserve"> Regional Athlete Travel Subsidy Scheme is currently funded through Royalties for Regions </w:t>
      </w:r>
      <w:r w:rsidR="00E107EF" w:rsidRPr="00A06308">
        <w:t xml:space="preserve">until June 2020. </w:t>
      </w:r>
      <w:r w:rsidR="00763B44" w:rsidRPr="00A06308">
        <w:t>A</w:t>
      </w:r>
      <w:r w:rsidR="00B5690F" w:rsidRPr="00A06308">
        <w:t xml:space="preserve"> review of the eligibility is not currently being con</w:t>
      </w:r>
      <w:r w:rsidR="00763B44" w:rsidRPr="00A06308">
        <w:t>sidered</w:t>
      </w:r>
      <w:r w:rsidR="00A06308">
        <w:t>,</w:t>
      </w:r>
      <w:r w:rsidR="00763B44" w:rsidRPr="00A06308">
        <w:t xml:space="preserve"> </w:t>
      </w:r>
      <w:r w:rsidR="0048609A">
        <w:t xml:space="preserve">however may be reconsidered in any future project proposals. </w:t>
      </w:r>
    </w:p>
    <w:p w14:paraId="5B8CAC48" w14:textId="7C21887B" w:rsidR="00545AF5" w:rsidRPr="00F721FD" w:rsidRDefault="00AD302E" w:rsidP="003E02EA">
      <w:pPr>
        <w:pStyle w:val="Heading4"/>
      </w:pPr>
      <w:r w:rsidRPr="00F721FD">
        <w:t xml:space="preserve">Recommendations </w:t>
      </w:r>
    </w:p>
    <w:p w14:paraId="763B2A2F" w14:textId="64E4C71B" w:rsidR="00F84ACF" w:rsidRPr="00F721FD" w:rsidRDefault="00777A4C" w:rsidP="00E06782">
      <w:pPr>
        <w:pStyle w:val="ListParagraph"/>
        <w:numPr>
          <w:ilvl w:val="0"/>
          <w:numId w:val="8"/>
        </w:numPr>
      </w:pPr>
      <w:r>
        <w:t xml:space="preserve">The </w:t>
      </w:r>
      <w:r w:rsidR="00A924EC" w:rsidRPr="00F721FD">
        <w:t>Active Regional Community Grants program to be more widely promoted</w:t>
      </w:r>
      <w:r w:rsidR="00194919">
        <w:t xml:space="preserve"> and an increase in funding to the pool is being considered</w:t>
      </w:r>
      <w:r>
        <w:t>.</w:t>
      </w:r>
    </w:p>
    <w:p w14:paraId="58A74D39" w14:textId="4991273A" w:rsidR="006F714A" w:rsidRDefault="00893022" w:rsidP="00893022">
      <w:pPr>
        <w:ind w:left="360"/>
      </w:pPr>
      <w:r w:rsidRPr="00893022">
        <w:rPr>
          <w:b/>
        </w:rPr>
        <w:t>Note</w:t>
      </w:r>
      <w:r>
        <w:t xml:space="preserve">: </w:t>
      </w:r>
      <w:r w:rsidRPr="007A35DA">
        <w:t>Recommendation 4.</w:t>
      </w:r>
      <w:r>
        <w:t xml:space="preserve"> Within </w:t>
      </w:r>
      <w:r w:rsidR="00C97169">
        <w:t xml:space="preserve">the Industry Investment Program </w:t>
      </w:r>
      <w:r>
        <w:t xml:space="preserve">- </w:t>
      </w:r>
      <w:r w:rsidRPr="00893022">
        <w:t xml:space="preserve">Consolidate Regional Organisation and Regional Servicing grants within </w:t>
      </w:r>
      <w:r w:rsidR="00241413">
        <w:t xml:space="preserve">the </w:t>
      </w:r>
      <w:r w:rsidR="00241413" w:rsidRPr="00CC58C2">
        <w:t>Industry Investment Program</w:t>
      </w:r>
      <w:r w:rsidRPr="00893022">
        <w:t>.</w:t>
      </w:r>
    </w:p>
    <w:p w14:paraId="057E2D44" w14:textId="7CAFCBA3" w:rsidR="00893022" w:rsidRPr="00F721FD" w:rsidRDefault="00893022" w:rsidP="00893022">
      <w:pPr>
        <w:pStyle w:val="Mainbodytext"/>
      </w:pPr>
    </w:p>
    <w:p w14:paraId="68684CAF" w14:textId="7103B92C" w:rsidR="006F714A" w:rsidRPr="00F721FD" w:rsidRDefault="006F714A" w:rsidP="003E02EA">
      <w:pPr>
        <w:pStyle w:val="Heading3"/>
      </w:pPr>
      <w:bookmarkStart w:id="28" w:name="_Toc1571687"/>
      <w:r w:rsidRPr="003C11A7">
        <w:t>Infrastructure Grants</w:t>
      </w:r>
      <w:r w:rsidR="003B62DC" w:rsidRPr="003C11A7">
        <w:rPr>
          <w:rStyle w:val="FootnoteReference"/>
        </w:rPr>
        <w:footnoteReference w:id="9"/>
      </w:r>
      <w:bookmarkEnd w:id="28"/>
    </w:p>
    <w:p w14:paraId="7D57E89B" w14:textId="33261202" w:rsidR="00CA2503" w:rsidRPr="00CE41AC" w:rsidRDefault="008D6CDF" w:rsidP="003E02EA">
      <w:r>
        <w:t xml:space="preserve">The </w:t>
      </w:r>
      <w:r w:rsidRPr="00CE41AC">
        <w:t xml:space="preserve">Community </w:t>
      </w:r>
      <w:r w:rsidR="00CA2503" w:rsidRPr="00CE41AC">
        <w:t>S</w:t>
      </w:r>
      <w:r w:rsidRPr="00CE41AC">
        <w:t xml:space="preserve">port and Recreation </w:t>
      </w:r>
      <w:r w:rsidR="00CA2503" w:rsidRPr="00CE41AC">
        <w:t>F</w:t>
      </w:r>
      <w:r w:rsidRPr="00CE41AC">
        <w:t xml:space="preserve">acility </w:t>
      </w:r>
      <w:r w:rsidR="00CA2503" w:rsidRPr="00CE41AC">
        <w:t>F</w:t>
      </w:r>
      <w:r w:rsidRPr="00CE41AC">
        <w:t xml:space="preserve">und </w:t>
      </w:r>
      <w:r w:rsidR="00304E87">
        <w:t>i</w:t>
      </w:r>
      <w:r w:rsidR="00CA2503" w:rsidRPr="00CE41AC">
        <w:t xml:space="preserve">s </w:t>
      </w:r>
      <w:r w:rsidR="00AE5A34" w:rsidRPr="00CE41AC">
        <w:t xml:space="preserve">a </w:t>
      </w:r>
      <w:proofErr w:type="spellStart"/>
      <w:r w:rsidR="00CA2503" w:rsidRPr="00CE41AC">
        <w:t>well established</w:t>
      </w:r>
      <w:proofErr w:type="spellEnd"/>
      <w:r w:rsidR="00CA2503" w:rsidRPr="00CE41AC">
        <w:t xml:space="preserve"> program, </w:t>
      </w:r>
      <w:r w:rsidR="00C97169">
        <w:t xml:space="preserve">and </w:t>
      </w:r>
      <w:r w:rsidR="00AE5A34" w:rsidRPr="00CE41AC">
        <w:t>its</w:t>
      </w:r>
      <w:r w:rsidR="00CA2503" w:rsidRPr="00CE41AC">
        <w:t xml:space="preserve"> valu</w:t>
      </w:r>
      <w:r w:rsidR="00AE5A34" w:rsidRPr="00CE41AC">
        <w:t xml:space="preserve">e </w:t>
      </w:r>
      <w:r w:rsidR="00CA2503" w:rsidRPr="00CE41AC">
        <w:t xml:space="preserve">was extensively discussed through the workshops. The main areas of </w:t>
      </w:r>
      <w:r w:rsidR="00AE5A34" w:rsidRPr="00CE41AC">
        <w:t xml:space="preserve">improvement </w:t>
      </w:r>
      <w:r w:rsidR="00CA2503" w:rsidRPr="00CE41AC">
        <w:t>discuss</w:t>
      </w:r>
      <w:r w:rsidR="00AE5A34" w:rsidRPr="00CE41AC">
        <w:t>ed</w:t>
      </w:r>
      <w:r w:rsidR="00CA2503" w:rsidRPr="00CE41AC">
        <w:t xml:space="preserve"> related to the size of the funding pool</w:t>
      </w:r>
      <w:r w:rsidR="004E4D6B" w:rsidRPr="00CE41AC">
        <w:t>,</w:t>
      </w:r>
      <w:r w:rsidR="00CA2503" w:rsidRPr="00CE41AC">
        <w:t xml:space="preserve"> views </w:t>
      </w:r>
      <w:r w:rsidR="004E4D6B" w:rsidRPr="00CE41AC">
        <w:t>of th</w:t>
      </w:r>
      <w:r w:rsidR="00CA2503" w:rsidRPr="00CE41AC">
        <w:t>e eligibility and potential funding split between metropolitan and regional locations.</w:t>
      </w:r>
    </w:p>
    <w:p w14:paraId="1A591B01" w14:textId="698A2CAE" w:rsidR="003B62DC" w:rsidRPr="00F721FD" w:rsidRDefault="004E4D6B" w:rsidP="003E02EA">
      <w:r w:rsidRPr="00CE41AC">
        <w:t xml:space="preserve">The </w:t>
      </w:r>
      <w:r w:rsidR="00CA2503" w:rsidRPr="00CE41AC">
        <w:t>S</w:t>
      </w:r>
      <w:r w:rsidR="008D6CDF" w:rsidRPr="00CE41AC">
        <w:t xml:space="preserve">tate </w:t>
      </w:r>
      <w:r w:rsidR="00CA2503" w:rsidRPr="00CE41AC">
        <w:t>S</w:t>
      </w:r>
      <w:r w:rsidR="008D6CDF" w:rsidRPr="00CE41AC">
        <w:t xml:space="preserve">porting Infrastructure </w:t>
      </w:r>
      <w:r w:rsidR="00CA2503" w:rsidRPr="00CE41AC">
        <w:t>F</w:t>
      </w:r>
      <w:r w:rsidR="008D6CDF" w:rsidRPr="00CE41AC">
        <w:t xml:space="preserve">und </w:t>
      </w:r>
      <w:r>
        <w:t>is</w:t>
      </w:r>
      <w:r w:rsidRPr="00F721FD">
        <w:t xml:space="preserve"> </w:t>
      </w:r>
      <w:r w:rsidR="00CA2503" w:rsidRPr="00F721FD">
        <w:t>well understood by recipients of the program</w:t>
      </w:r>
      <w:r>
        <w:t>,</w:t>
      </w:r>
      <w:r w:rsidR="00CA2503" w:rsidRPr="00F721FD">
        <w:t xml:space="preserve"> </w:t>
      </w:r>
      <w:r>
        <w:t>however</w:t>
      </w:r>
      <w:r w:rsidR="00CA2503" w:rsidRPr="00F721FD">
        <w:t xml:space="preserve"> not widely known outside of the metropolitan area. When explained that its purpose is to assist in the operation of </w:t>
      </w:r>
      <w:r w:rsidR="00C97169">
        <w:t>S</w:t>
      </w:r>
      <w:r w:rsidR="00CA2503" w:rsidRPr="00F721FD">
        <w:t xml:space="preserve">tate level sporting infrastructure managed by </w:t>
      </w:r>
      <w:r w:rsidR="00241413">
        <w:t>State Sporting Associations</w:t>
      </w:r>
      <w:r w:rsidR="00CA2503" w:rsidRPr="00F721FD">
        <w:t>, there was general acceptance that it would not be a widely known program.</w:t>
      </w:r>
    </w:p>
    <w:p w14:paraId="18315475" w14:textId="77777777" w:rsidR="00B66F56" w:rsidRDefault="00B00CBD" w:rsidP="00B66F56">
      <w:pPr>
        <w:pStyle w:val="Heading4"/>
      </w:pPr>
      <w:r>
        <w:t>Recommendations</w:t>
      </w:r>
    </w:p>
    <w:p w14:paraId="385B2F60" w14:textId="7C0017D2" w:rsidR="00740E0F" w:rsidRDefault="00B66F56" w:rsidP="00B66F56">
      <w:pPr>
        <w:pStyle w:val="Mainbodytext"/>
      </w:pPr>
      <w:r w:rsidRPr="00B66F56">
        <w:t xml:space="preserve">Separate processes will </w:t>
      </w:r>
      <w:r w:rsidR="00C97169">
        <w:t>occur</w:t>
      </w:r>
      <w:r w:rsidRPr="00B66F56">
        <w:t xml:space="preserve"> in 2019 in relation to the State Sporting Facilities Plan and the </w:t>
      </w:r>
      <w:r w:rsidR="00304E87" w:rsidRPr="00CE41AC">
        <w:t>Community Sport and Recreation Facility Fund</w:t>
      </w:r>
      <w:r w:rsidRPr="00B66F56">
        <w:t>.</w:t>
      </w:r>
    </w:p>
    <w:p w14:paraId="2A9ECDCC" w14:textId="77777777" w:rsidR="00127C2F" w:rsidRPr="00F721FD" w:rsidRDefault="00127C2F" w:rsidP="00B66F56">
      <w:pPr>
        <w:pStyle w:val="Mainbodytext"/>
      </w:pPr>
    </w:p>
    <w:p w14:paraId="542B3C98" w14:textId="77777777" w:rsidR="00432AEF" w:rsidRPr="007A35DA" w:rsidRDefault="00432AEF" w:rsidP="007A35DA">
      <w:pPr>
        <w:pStyle w:val="Mainbodytext"/>
      </w:pPr>
      <w:r>
        <w:br w:type="page"/>
      </w:r>
    </w:p>
    <w:p w14:paraId="5CB4B437" w14:textId="3135A301" w:rsidR="00773CBC" w:rsidRPr="00F721FD" w:rsidRDefault="00773CBC" w:rsidP="003559AA">
      <w:pPr>
        <w:pStyle w:val="Heading1"/>
      </w:pPr>
      <w:bookmarkStart w:id="29" w:name="_Toc1571688"/>
      <w:r w:rsidRPr="00F721FD">
        <w:lastRenderedPageBreak/>
        <w:t xml:space="preserve">Gaps in </w:t>
      </w:r>
      <w:r w:rsidR="00D1056E">
        <w:t>c</w:t>
      </w:r>
      <w:r w:rsidR="008D6CDF">
        <w:t xml:space="preserve">urrent </w:t>
      </w:r>
      <w:r w:rsidR="00D1056E">
        <w:t>s</w:t>
      </w:r>
      <w:r w:rsidR="008D6CDF">
        <w:t xml:space="preserve">ervice </w:t>
      </w:r>
      <w:r w:rsidR="00D1056E">
        <w:t>pr</w:t>
      </w:r>
      <w:r w:rsidR="008D6CDF">
        <w:t>ovision</w:t>
      </w:r>
      <w:bookmarkEnd w:id="29"/>
    </w:p>
    <w:p w14:paraId="1B728D5B" w14:textId="33BD7121" w:rsidR="00773CBC" w:rsidRPr="00F721FD" w:rsidRDefault="00500C2F" w:rsidP="00F721FD">
      <w:r w:rsidRPr="00F721FD">
        <w:t xml:space="preserve">Through the development of the Common Ground document and through the </w:t>
      </w:r>
      <w:r w:rsidR="00574009">
        <w:t xml:space="preserve">consultation </w:t>
      </w:r>
      <w:r w:rsidR="00C97169">
        <w:t>process</w:t>
      </w:r>
      <w:r w:rsidR="00C97169" w:rsidRPr="00F721FD">
        <w:t xml:space="preserve"> </w:t>
      </w:r>
      <w:r w:rsidRPr="00F721FD">
        <w:t>there were suggestions as to areas where the department may have a current gap in service delivery or funding.</w:t>
      </w:r>
    </w:p>
    <w:p w14:paraId="31D2DC9E" w14:textId="5E2FA2DC" w:rsidR="00500C2F" w:rsidRPr="00F721FD" w:rsidRDefault="00C97169" w:rsidP="00F721FD">
      <w:r>
        <w:t>K</w:t>
      </w:r>
      <w:r w:rsidR="00235141">
        <w:t xml:space="preserve">ey </w:t>
      </w:r>
      <w:r w:rsidR="00500C2F" w:rsidRPr="00F721FD">
        <w:t>areas</w:t>
      </w:r>
      <w:r w:rsidR="00235141">
        <w:t xml:space="preserve"> that have been identified for </w:t>
      </w:r>
      <w:r w:rsidR="00FD102D">
        <w:t xml:space="preserve">possible </w:t>
      </w:r>
      <w:r w:rsidR="00235141">
        <w:t>action include the</w:t>
      </w:r>
      <w:r w:rsidR="00500C2F" w:rsidRPr="00F721FD">
        <w:t xml:space="preserve"> following:</w:t>
      </w:r>
    </w:p>
    <w:p w14:paraId="14A59AB4" w14:textId="6C9C9BDD" w:rsidR="00773CBC" w:rsidRDefault="00B602B0" w:rsidP="00E06782">
      <w:pPr>
        <w:pStyle w:val="ListParagraph"/>
        <w:numPr>
          <w:ilvl w:val="0"/>
          <w:numId w:val="4"/>
        </w:numPr>
      </w:pPr>
      <w:r>
        <w:t>Develop</w:t>
      </w:r>
      <w:r w:rsidR="00FD102D">
        <w:t>ment of</w:t>
      </w:r>
      <w:r>
        <w:t xml:space="preserve"> a </w:t>
      </w:r>
      <w:r w:rsidR="00C97169">
        <w:t>m</w:t>
      </w:r>
      <w:r w:rsidR="00C97169" w:rsidRPr="006C52B0">
        <w:t>id</w:t>
      </w:r>
      <w:r w:rsidR="19FB91B8" w:rsidRPr="006C52B0">
        <w:t xml:space="preserve">-tier </w:t>
      </w:r>
      <w:r w:rsidR="00C97169">
        <w:t>e</w:t>
      </w:r>
      <w:r w:rsidR="00C97169" w:rsidRPr="006C52B0">
        <w:t>vents</w:t>
      </w:r>
      <w:r w:rsidR="00C97169">
        <w:t xml:space="preserve"> funding </w:t>
      </w:r>
      <w:r>
        <w:t>program</w:t>
      </w:r>
      <w:r w:rsidR="00E06782">
        <w:t xml:space="preserve">. </w:t>
      </w:r>
      <w:r w:rsidR="00803739">
        <w:t xml:space="preserve">This would assist with: </w:t>
      </w:r>
    </w:p>
    <w:p w14:paraId="05CA298E" w14:textId="6C2EE58A" w:rsidR="00E06782" w:rsidRDefault="00C97169" w:rsidP="008F1AF9">
      <w:pPr>
        <w:pStyle w:val="Dotpoints-level2"/>
        <w:numPr>
          <w:ilvl w:val="0"/>
          <w:numId w:val="15"/>
        </w:numPr>
      </w:pPr>
      <w:r>
        <w:t>s</w:t>
      </w:r>
      <w:r w:rsidR="00E06782">
        <w:t>upport</w:t>
      </w:r>
      <w:r w:rsidR="00803739">
        <w:t xml:space="preserve">ing </w:t>
      </w:r>
      <w:r w:rsidR="00E06782">
        <w:t>national and international events in Perth that deliver tourism and sport development outcomes</w:t>
      </w:r>
      <w:r w:rsidR="0040347D">
        <w:t>.</w:t>
      </w:r>
    </w:p>
    <w:p w14:paraId="71B446E8" w14:textId="5E28D8D1" w:rsidR="00003062" w:rsidRDefault="00C97169" w:rsidP="008F1AF9">
      <w:pPr>
        <w:pStyle w:val="Dotpoints-level2"/>
        <w:numPr>
          <w:ilvl w:val="0"/>
          <w:numId w:val="15"/>
        </w:numPr>
      </w:pPr>
      <w:r>
        <w:t>s</w:t>
      </w:r>
      <w:r w:rsidR="00003062">
        <w:t>upport</w:t>
      </w:r>
      <w:r w:rsidR="00300BEA">
        <w:t>ing</w:t>
      </w:r>
      <w:r w:rsidR="00003062">
        <w:t xml:space="preserve"> State Sporting Associations in </w:t>
      </w:r>
      <w:r w:rsidR="00003062" w:rsidRPr="003A32D4">
        <w:t xml:space="preserve">tendering for sporting events </w:t>
      </w:r>
      <w:r w:rsidR="00003062">
        <w:t>when applying through a competitive bidding process</w:t>
      </w:r>
      <w:r w:rsidR="0040347D">
        <w:t>.</w:t>
      </w:r>
    </w:p>
    <w:p w14:paraId="24EBB37E" w14:textId="6012A32A" w:rsidR="00E06782" w:rsidRDefault="00C97169" w:rsidP="008F1AF9">
      <w:pPr>
        <w:pStyle w:val="Dotpoints-level2"/>
        <w:numPr>
          <w:ilvl w:val="0"/>
          <w:numId w:val="15"/>
        </w:numPr>
      </w:pPr>
      <w:r>
        <w:t xml:space="preserve">supporting </w:t>
      </w:r>
      <w:r w:rsidR="00300BEA">
        <w:t>the attraction of regional events that deliver regional tourism and sport development outcomes</w:t>
      </w:r>
      <w:r w:rsidR="0040347D">
        <w:t>.</w:t>
      </w:r>
    </w:p>
    <w:p w14:paraId="20885689" w14:textId="7E496A60" w:rsidR="00B4226F" w:rsidRPr="006C52B0" w:rsidRDefault="00C97169" w:rsidP="008F1AF9">
      <w:pPr>
        <w:pStyle w:val="Dotpoints-level2"/>
        <w:numPr>
          <w:ilvl w:val="0"/>
          <w:numId w:val="15"/>
        </w:numPr>
      </w:pPr>
      <w:r>
        <w:t xml:space="preserve">supporting </w:t>
      </w:r>
      <w:r w:rsidR="00B4226F">
        <w:t xml:space="preserve">the development of an economic value measurement of mid-tier events. </w:t>
      </w:r>
    </w:p>
    <w:p w14:paraId="5B3EBC4D" w14:textId="77777777" w:rsidR="009E6660" w:rsidRDefault="00382D23" w:rsidP="00E06782">
      <w:pPr>
        <w:pStyle w:val="ListParagraph"/>
        <w:numPr>
          <w:ilvl w:val="0"/>
          <w:numId w:val="4"/>
        </w:numPr>
      </w:pPr>
      <w:r>
        <w:t xml:space="preserve">Development of a </w:t>
      </w:r>
      <w:r w:rsidR="006350F6">
        <w:t xml:space="preserve">mechanism to respond </w:t>
      </w:r>
      <w:r w:rsidR="19FB91B8" w:rsidRPr="006C52B0">
        <w:t xml:space="preserve">to </w:t>
      </w:r>
      <w:r w:rsidR="001475E1">
        <w:t>innovation</w:t>
      </w:r>
      <w:r w:rsidR="19FB91B8" w:rsidRPr="006C52B0">
        <w:t xml:space="preserve"> or ideas outside of existing funding programs.</w:t>
      </w:r>
      <w:r w:rsidR="001475E1">
        <w:t xml:space="preserve"> </w:t>
      </w:r>
      <w:r w:rsidR="009E6660">
        <w:t xml:space="preserve">This would assist with: </w:t>
      </w:r>
    </w:p>
    <w:p w14:paraId="42AF7826" w14:textId="6A2E2DC6" w:rsidR="009E6660" w:rsidRDefault="00C97169" w:rsidP="009E6660">
      <w:pPr>
        <w:pStyle w:val="Dotpoints-level2"/>
      </w:pPr>
      <w:r>
        <w:t>s</w:t>
      </w:r>
      <w:r w:rsidR="009E6660">
        <w:t>upporting industry lead solutions to challenges or trends</w:t>
      </w:r>
      <w:r w:rsidR="00357FC8">
        <w:t>.</w:t>
      </w:r>
    </w:p>
    <w:p w14:paraId="589C2F65" w14:textId="08D908E0" w:rsidR="001475E1" w:rsidRPr="006C52B0" w:rsidRDefault="00C97169" w:rsidP="009E6660">
      <w:pPr>
        <w:pStyle w:val="Dotpoints-level2"/>
      </w:pPr>
      <w:r>
        <w:t>s</w:t>
      </w:r>
      <w:r w:rsidR="009E6660">
        <w:t xml:space="preserve">upporting the diversification of the industry. </w:t>
      </w:r>
    </w:p>
    <w:p w14:paraId="0F752DD5" w14:textId="09362104" w:rsidR="000E3551" w:rsidRPr="00F721FD" w:rsidRDefault="0059138E" w:rsidP="00F721FD">
      <w:r w:rsidRPr="00F721FD">
        <w:t>The</w:t>
      </w:r>
      <w:r w:rsidR="00500C2F" w:rsidRPr="00F721FD">
        <w:t xml:space="preserve"> department will consider how these gaps could be </w:t>
      </w:r>
      <w:r w:rsidR="00C97169">
        <w:t>mitigated</w:t>
      </w:r>
      <w:r w:rsidR="00C97169" w:rsidRPr="00F721FD">
        <w:t xml:space="preserve"> </w:t>
      </w:r>
      <w:r w:rsidR="00500C2F" w:rsidRPr="00F721FD">
        <w:t>in the 2019/</w:t>
      </w:r>
      <w:r w:rsidR="00CE41AC">
        <w:t>20</w:t>
      </w:r>
      <w:r w:rsidR="00500C2F" w:rsidRPr="00F721FD">
        <w:t xml:space="preserve">20 financial year and will be </w:t>
      </w:r>
      <w:r w:rsidR="006A72F6">
        <w:t xml:space="preserve">further </w:t>
      </w:r>
      <w:r w:rsidR="00500C2F" w:rsidRPr="00F721FD">
        <w:t>explored through the</w:t>
      </w:r>
      <w:r w:rsidR="006A72F6">
        <w:t xml:space="preserve"> next</w:t>
      </w:r>
      <w:r w:rsidR="00500C2F" w:rsidRPr="00F721FD">
        <w:t xml:space="preserve"> consultation process</w:t>
      </w:r>
      <w:r w:rsidR="003647A3">
        <w:t xml:space="preserve">. </w:t>
      </w:r>
    </w:p>
    <w:p w14:paraId="726518D6" w14:textId="7EAE4755" w:rsidR="00B052D6" w:rsidRDefault="00B052D6" w:rsidP="003E02EA"/>
    <w:p w14:paraId="7EF38D3F" w14:textId="49AD0A37" w:rsidR="00E511CC" w:rsidRDefault="00E511CC" w:rsidP="00E511CC">
      <w:pPr>
        <w:pStyle w:val="Heading4"/>
      </w:pPr>
      <w:r>
        <w:t>Recommendations</w:t>
      </w:r>
    </w:p>
    <w:p w14:paraId="5E565A81" w14:textId="76D7767F" w:rsidR="000C30E5" w:rsidRDefault="000C30E5" w:rsidP="000C30E5">
      <w:pPr>
        <w:pStyle w:val="ListParagraph"/>
        <w:numPr>
          <w:ilvl w:val="0"/>
          <w:numId w:val="8"/>
        </w:numPr>
      </w:pPr>
      <w:r>
        <w:t>A mid-tier events strategy will be developed to fund metro</w:t>
      </w:r>
      <w:r w:rsidR="00C97169">
        <w:t>politan</w:t>
      </w:r>
      <w:r>
        <w:t xml:space="preserve"> and regional sporting events. </w:t>
      </w:r>
    </w:p>
    <w:p w14:paraId="31DAE5F3" w14:textId="7C9D4D4C" w:rsidR="000C30E5" w:rsidRPr="00D759DA" w:rsidRDefault="000C30E5" w:rsidP="000C30E5">
      <w:pPr>
        <w:pStyle w:val="ListParagraph"/>
        <w:numPr>
          <w:ilvl w:val="0"/>
          <w:numId w:val="8"/>
        </w:numPr>
      </w:pPr>
      <w:r>
        <w:t xml:space="preserve">An innovation funding pool will be explored </w:t>
      </w:r>
      <w:r w:rsidR="00C97169">
        <w:t>to</w:t>
      </w:r>
      <w:r>
        <w:t xml:space="preserve"> provide responsive funding to challenges and trends. This will be progressed through a Request for Proposal process in response to developing trends and initiatives. </w:t>
      </w:r>
    </w:p>
    <w:p w14:paraId="635C4FE7" w14:textId="77777777" w:rsidR="00432AEF" w:rsidRDefault="00432AEF">
      <w:pPr>
        <w:jc w:val="left"/>
        <w:rPr>
          <w:rFonts w:eastAsiaTheme="majorEastAsia"/>
          <w:b/>
          <w:color w:val="EC661C"/>
          <w:sz w:val="36"/>
          <w:szCs w:val="32"/>
        </w:rPr>
      </w:pPr>
      <w:r>
        <w:br w:type="page"/>
      </w:r>
    </w:p>
    <w:p w14:paraId="04DCF8DE" w14:textId="36B49264" w:rsidR="00432AEF" w:rsidRPr="00432AEF" w:rsidRDefault="00432AEF" w:rsidP="00432AEF">
      <w:pPr>
        <w:pStyle w:val="Heading1"/>
      </w:pPr>
      <w:bookmarkStart w:id="30" w:name="_Toc1571689"/>
      <w:r w:rsidRPr="00432AEF">
        <w:lastRenderedPageBreak/>
        <w:t xml:space="preserve">Next </w:t>
      </w:r>
      <w:r w:rsidR="00D1056E">
        <w:t>s</w:t>
      </w:r>
      <w:r w:rsidRPr="00432AEF">
        <w:t>teps</w:t>
      </w:r>
      <w:bookmarkEnd w:id="30"/>
    </w:p>
    <w:p w14:paraId="1D39C7D9" w14:textId="197B428C" w:rsidR="009D347F" w:rsidRPr="00F721FD" w:rsidRDefault="009D347F" w:rsidP="000D2A8E">
      <w:pPr>
        <w:pStyle w:val="Heading2"/>
      </w:pPr>
      <w:bookmarkStart w:id="31" w:name="_Toc1571690"/>
      <w:r w:rsidRPr="00F721FD">
        <w:t xml:space="preserve">Consultation </w:t>
      </w:r>
      <w:r w:rsidR="00C56D36">
        <w:t>p</w:t>
      </w:r>
      <w:r w:rsidRPr="000D2A8E">
        <w:t>rocess</w:t>
      </w:r>
      <w:bookmarkEnd w:id="31"/>
    </w:p>
    <w:p w14:paraId="3ED718D5" w14:textId="171A66C8" w:rsidR="003D7D5A" w:rsidRDefault="0091263A" w:rsidP="00EA4487">
      <w:r>
        <w:t xml:space="preserve">The department is seeking </w:t>
      </w:r>
      <w:r w:rsidR="00433C56">
        <w:t>a final round</w:t>
      </w:r>
      <w:r w:rsidR="00C97169">
        <w:t xml:space="preserve"> of</w:t>
      </w:r>
      <w:r>
        <w:t xml:space="preserve"> feedback from the</w:t>
      </w:r>
      <w:r w:rsidR="00C97169">
        <w:t xml:space="preserve"> sport and recreation</w:t>
      </w:r>
      <w:r>
        <w:t xml:space="preserve"> industry</w:t>
      </w:r>
      <w:r w:rsidR="00C97169">
        <w:t>. This will enable the industry to comment on the</w:t>
      </w:r>
      <w:r w:rsidR="00983D08">
        <w:t xml:space="preserve"> recommendations</w:t>
      </w:r>
      <w:r w:rsidR="00C97169">
        <w:t xml:space="preserve"> proposed in this report, and ensure it accurately reflects feedback from the </w:t>
      </w:r>
      <w:r w:rsidR="003D7D5A">
        <w:t>consultation period</w:t>
      </w:r>
      <w:r w:rsidR="00433C56">
        <w:t xml:space="preserve">. </w:t>
      </w:r>
    </w:p>
    <w:p w14:paraId="11C8AD45" w14:textId="44DFE8BD" w:rsidR="00C80C02" w:rsidRPr="00F721FD" w:rsidRDefault="002E2747" w:rsidP="002E2747">
      <w:pPr>
        <w:rPr>
          <w:lang w:val="en-US"/>
        </w:rPr>
      </w:pPr>
      <w:r w:rsidRPr="00F721FD">
        <w:rPr>
          <w:lang w:val="en-US"/>
        </w:rPr>
        <w:t xml:space="preserve">This process will include further workshops, </w:t>
      </w:r>
      <w:r w:rsidR="00433C56">
        <w:rPr>
          <w:lang w:val="en-US"/>
        </w:rPr>
        <w:t xml:space="preserve">a </w:t>
      </w:r>
      <w:r w:rsidRPr="00F721FD">
        <w:rPr>
          <w:lang w:val="en-US"/>
        </w:rPr>
        <w:t xml:space="preserve">survey and an invitation for comments on this </w:t>
      </w:r>
      <w:r w:rsidR="00C97169">
        <w:rPr>
          <w:lang w:val="en-US"/>
        </w:rPr>
        <w:t>report</w:t>
      </w:r>
      <w:r w:rsidRPr="00F721FD">
        <w:rPr>
          <w:lang w:val="en-US"/>
        </w:rPr>
        <w:t>.</w:t>
      </w:r>
    </w:p>
    <w:p w14:paraId="057C8BEC" w14:textId="4B805B5D" w:rsidR="002E2747" w:rsidRDefault="002E2747" w:rsidP="002E2747">
      <w:pPr>
        <w:pStyle w:val="Heading3"/>
      </w:pPr>
      <w:bookmarkStart w:id="32" w:name="_Toc1571691"/>
      <w:r>
        <w:t>Workshops</w:t>
      </w:r>
      <w:bookmarkEnd w:id="32"/>
    </w:p>
    <w:p w14:paraId="53EA6AC0" w14:textId="31DE9CF4" w:rsidR="00533F3C" w:rsidRDefault="00EA77D1" w:rsidP="002E2747">
      <w:r>
        <w:t xml:space="preserve">There will be a series of workshops </w:t>
      </w:r>
      <w:r w:rsidR="00070CDD">
        <w:t xml:space="preserve">will be </w:t>
      </w:r>
      <w:r>
        <w:t xml:space="preserve">held for </w:t>
      </w:r>
      <w:r w:rsidR="00241413">
        <w:t xml:space="preserve">sport and recreation </w:t>
      </w:r>
      <w:r>
        <w:t>organisations to attend</w:t>
      </w:r>
      <w:r w:rsidR="00070CDD">
        <w:t xml:space="preserve"> between February and March 2019</w:t>
      </w:r>
      <w:r>
        <w:t>.</w:t>
      </w:r>
    </w:p>
    <w:p w14:paraId="3B79E66E" w14:textId="5BED9EED" w:rsidR="00E6780B" w:rsidRPr="00744884" w:rsidRDefault="00C6165C" w:rsidP="007F7F3F">
      <w:pPr>
        <w:pStyle w:val="ListParagraph"/>
        <w:numPr>
          <w:ilvl w:val="0"/>
          <w:numId w:val="4"/>
        </w:numPr>
      </w:pPr>
      <w:r w:rsidRPr="00744884">
        <w:t xml:space="preserve">Thursday </w:t>
      </w:r>
      <w:r w:rsidR="00070CDD" w:rsidRPr="00744884">
        <w:t>21 February 2019</w:t>
      </w:r>
      <w:r w:rsidR="00744884">
        <w:t xml:space="preserve">, </w:t>
      </w:r>
      <w:r w:rsidR="00744884" w:rsidRPr="00744884">
        <w:t xml:space="preserve">hosted by the department in </w:t>
      </w:r>
      <w:r w:rsidR="00070CDD" w:rsidRPr="00744884">
        <w:t xml:space="preserve">Geraldton </w:t>
      </w:r>
    </w:p>
    <w:p w14:paraId="190C5722" w14:textId="2F98392B" w:rsidR="00E6780B" w:rsidRPr="00744884" w:rsidRDefault="0071406C" w:rsidP="007F7F3F">
      <w:pPr>
        <w:pStyle w:val="ListParagraph"/>
        <w:numPr>
          <w:ilvl w:val="0"/>
          <w:numId w:val="4"/>
        </w:numPr>
      </w:pPr>
      <w:r w:rsidRPr="00744884">
        <w:t xml:space="preserve">Wednesday </w:t>
      </w:r>
      <w:r w:rsidR="007F7F3F" w:rsidRPr="00744884">
        <w:t>27 February 2019</w:t>
      </w:r>
      <w:r w:rsidRPr="00744884">
        <w:t xml:space="preserve">, hosted by </w:t>
      </w:r>
      <w:r w:rsidR="007F7F3F" w:rsidRPr="00744884">
        <w:t>Parks and Leisure Australia (WA)</w:t>
      </w:r>
    </w:p>
    <w:p w14:paraId="1FF97FCC" w14:textId="1B59CC3E" w:rsidR="00C6165C" w:rsidRPr="00744884" w:rsidRDefault="0071406C" w:rsidP="007F7F3F">
      <w:pPr>
        <w:pStyle w:val="ListParagraph"/>
        <w:numPr>
          <w:ilvl w:val="0"/>
          <w:numId w:val="4"/>
        </w:numPr>
      </w:pPr>
      <w:r w:rsidRPr="00744884">
        <w:t xml:space="preserve">Thursday 28 February 2019, hosted by WA Sports Federation </w:t>
      </w:r>
    </w:p>
    <w:p w14:paraId="5279B6F9" w14:textId="14E7C5A3" w:rsidR="0071406C" w:rsidRPr="00744884" w:rsidRDefault="00744884" w:rsidP="007F7F3F">
      <w:pPr>
        <w:pStyle w:val="ListParagraph"/>
        <w:numPr>
          <w:ilvl w:val="0"/>
          <w:numId w:val="4"/>
        </w:numPr>
      </w:pPr>
      <w:r w:rsidRPr="00744884">
        <w:t>Friday 1 March 2019, hosted by the department in Bunbury</w:t>
      </w:r>
    </w:p>
    <w:p w14:paraId="2641A805" w14:textId="77777777" w:rsidR="00F52B4F" w:rsidRPr="00FC0581" w:rsidRDefault="00F52B4F" w:rsidP="002E2747">
      <w:pPr>
        <w:rPr>
          <w:highlight w:val="green"/>
        </w:rPr>
      </w:pPr>
    </w:p>
    <w:p w14:paraId="163DE0DF" w14:textId="07B42303" w:rsidR="002E2747" w:rsidRDefault="002E2747" w:rsidP="003E02EA">
      <w:pPr>
        <w:pStyle w:val="Heading3"/>
      </w:pPr>
      <w:bookmarkStart w:id="33" w:name="_Toc1571692"/>
      <w:r>
        <w:t>Survey</w:t>
      </w:r>
      <w:bookmarkEnd w:id="33"/>
      <w:r>
        <w:t xml:space="preserve"> </w:t>
      </w:r>
    </w:p>
    <w:p w14:paraId="257242AE" w14:textId="740B3F42" w:rsidR="002E2747" w:rsidRDefault="00AD338C" w:rsidP="002E2747">
      <w:r>
        <w:t>A s</w:t>
      </w:r>
      <w:r w:rsidR="002E2747">
        <w:t xml:space="preserve">urvey </w:t>
      </w:r>
      <w:r>
        <w:t>will be dis</w:t>
      </w:r>
      <w:r w:rsidR="00E52CA3">
        <w:t>seminated to</w:t>
      </w:r>
      <w:r w:rsidR="002E2747">
        <w:t xml:space="preserve"> participants who attended the initial workshops </w:t>
      </w:r>
      <w:r w:rsidR="00241413">
        <w:t xml:space="preserve">requesting their </w:t>
      </w:r>
      <w:r w:rsidR="002E2747">
        <w:t>views of the findings</w:t>
      </w:r>
      <w:r w:rsidR="002E2747" w:rsidRPr="004269C5">
        <w:t xml:space="preserve"> and </w:t>
      </w:r>
      <w:r w:rsidR="002E2747">
        <w:t>the recommendations</w:t>
      </w:r>
      <w:r w:rsidR="00E52CA3">
        <w:t>.</w:t>
      </w:r>
    </w:p>
    <w:p w14:paraId="36BA3FE7" w14:textId="0C83A8F5" w:rsidR="002F34E3" w:rsidRDefault="00E52CA3" w:rsidP="002E2747">
      <w:r w:rsidRPr="00CC58C2">
        <w:t xml:space="preserve">A survey will also be sent to </w:t>
      </w:r>
      <w:r w:rsidR="002E2747" w:rsidRPr="00CC58C2">
        <w:t xml:space="preserve">all organisations that receive funding </w:t>
      </w:r>
      <w:r w:rsidR="00CC58C2" w:rsidRPr="00CC58C2">
        <w:t>through the Industry Investment Program</w:t>
      </w:r>
      <w:r w:rsidR="002E2747" w:rsidRPr="00CC58C2">
        <w:t>.</w:t>
      </w:r>
      <w:r w:rsidR="002E2747" w:rsidRPr="00F721FD">
        <w:t xml:space="preserve"> </w:t>
      </w:r>
    </w:p>
    <w:p w14:paraId="74174FA7" w14:textId="2AFF0BB4" w:rsidR="002E2747" w:rsidRPr="00F721FD" w:rsidRDefault="002E2747" w:rsidP="002E2747">
      <w:r w:rsidRPr="00F721FD">
        <w:t xml:space="preserve">The survey will be used to measure the level of support for the </w:t>
      </w:r>
      <w:r w:rsidR="00BD4F7B">
        <w:t xml:space="preserve">recommendations. It </w:t>
      </w:r>
      <w:r w:rsidRPr="00F721FD">
        <w:t xml:space="preserve">will also provide </w:t>
      </w:r>
      <w:r w:rsidR="00BD4F7B">
        <w:t xml:space="preserve">the </w:t>
      </w:r>
      <w:r w:rsidRPr="00F721FD">
        <w:t>opportunity for comments.</w:t>
      </w:r>
    </w:p>
    <w:p w14:paraId="0C12F12A" w14:textId="3909161E" w:rsidR="002E2747" w:rsidRPr="000D2A8E" w:rsidRDefault="002E2747" w:rsidP="000D2A8E">
      <w:pPr>
        <w:pStyle w:val="Heading3"/>
      </w:pPr>
      <w:bookmarkStart w:id="34" w:name="_Toc1571693"/>
      <w:r>
        <w:t xml:space="preserve">Written </w:t>
      </w:r>
      <w:r w:rsidR="00C56D36">
        <w:t>r</w:t>
      </w:r>
      <w:r>
        <w:t>esponses</w:t>
      </w:r>
      <w:bookmarkEnd w:id="34"/>
    </w:p>
    <w:p w14:paraId="6A81B629" w14:textId="6E86B126" w:rsidR="00B93141" w:rsidRDefault="00B93141" w:rsidP="00C61CC9">
      <w:r>
        <w:t xml:space="preserve">The industry is encouraged to respond to the findings via a written submission. </w:t>
      </w:r>
    </w:p>
    <w:p w14:paraId="068A899B" w14:textId="138FA004" w:rsidR="00C61CC9" w:rsidRDefault="002F34E3" w:rsidP="00C61CC9">
      <w:pPr>
        <w:rPr>
          <w:b/>
        </w:rPr>
      </w:pPr>
      <w:r>
        <w:t xml:space="preserve">This </w:t>
      </w:r>
      <w:r w:rsidR="00C61CC9" w:rsidRPr="00F721FD">
        <w:t xml:space="preserve">document </w:t>
      </w:r>
      <w:r w:rsidR="00C61CC9">
        <w:t>will be</w:t>
      </w:r>
      <w:r w:rsidR="00C61CC9" w:rsidRPr="00F721FD">
        <w:t xml:space="preserve"> open for industry comment until</w:t>
      </w:r>
      <w:r w:rsidR="00BD2F94">
        <w:t xml:space="preserve"> </w:t>
      </w:r>
      <w:r w:rsidR="003C394F">
        <w:t xml:space="preserve">Thursday </w:t>
      </w:r>
      <w:r w:rsidR="00BD2F94">
        <w:t>21 March 2019.</w:t>
      </w:r>
    </w:p>
    <w:p w14:paraId="0BCDBFAD" w14:textId="77777777" w:rsidR="00C61CC9" w:rsidRPr="00F721FD" w:rsidRDefault="00C61CC9" w:rsidP="000D2A8E">
      <w:pPr>
        <w:pStyle w:val="Heading2"/>
      </w:pPr>
      <w:bookmarkStart w:id="35" w:name="_Toc1571694"/>
      <w:r w:rsidRPr="000D2A8E">
        <w:t>Implementation</w:t>
      </w:r>
      <w:r w:rsidRPr="00F721FD">
        <w:t xml:space="preserve"> of the Strategic Funding Review</w:t>
      </w:r>
      <w:bookmarkEnd w:id="35"/>
      <w:r w:rsidRPr="00F721FD">
        <w:t xml:space="preserve"> </w:t>
      </w:r>
    </w:p>
    <w:p w14:paraId="0D800C52" w14:textId="4046E77B" w:rsidR="00951F76" w:rsidRDefault="00951F76" w:rsidP="002E2747">
      <w:pPr>
        <w:rPr>
          <w:lang w:val="en-US"/>
        </w:rPr>
      </w:pPr>
      <w:r w:rsidRPr="00F721FD">
        <w:rPr>
          <w:lang w:val="en-US"/>
        </w:rPr>
        <w:t>The findings and recommendations will be incorporated into a final report for endorsement and implementation in the 2019</w:t>
      </w:r>
      <w:r w:rsidR="00241413">
        <w:rPr>
          <w:lang w:val="en-US"/>
        </w:rPr>
        <w:t>/</w:t>
      </w:r>
      <w:r w:rsidRPr="00F721FD">
        <w:rPr>
          <w:lang w:val="en-US"/>
        </w:rPr>
        <w:t>20 financial year.</w:t>
      </w:r>
    </w:p>
    <w:p w14:paraId="6F3F0472" w14:textId="07FA6FEE" w:rsidR="00C61CC9" w:rsidRDefault="00C61CC9" w:rsidP="00C61CC9">
      <w:pPr>
        <w:rPr>
          <w:lang w:val="en-US"/>
        </w:rPr>
      </w:pPr>
      <w:r w:rsidRPr="00F721FD">
        <w:rPr>
          <w:lang w:val="en-US"/>
        </w:rPr>
        <w:t>An implementation strategy document will be developed in parallel with the development of the finali</w:t>
      </w:r>
      <w:r>
        <w:rPr>
          <w:lang w:val="en-US"/>
        </w:rPr>
        <w:t>s</w:t>
      </w:r>
      <w:r w:rsidRPr="00F721FD">
        <w:rPr>
          <w:lang w:val="en-US"/>
        </w:rPr>
        <w:t>ation of the Strategic Funding Review.</w:t>
      </w:r>
    </w:p>
    <w:p w14:paraId="206168B4" w14:textId="5518D972" w:rsidR="00740E0F" w:rsidRPr="00070CDD" w:rsidRDefault="001739E7" w:rsidP="00070CDD">
      <w:pPr>
        <w:pStyle w:val="Mainbodytext"/>
      </w:pPr>
      <w:r>
        <w:br w:type="page"/>
      </w:r>
    </w:p>
    <w:p w14:paraId="7699AC72" w14:textId="51654487" w:rsidR="00C956E9" w:rsidRPr="00C56D36" w:rsidRDefault="00C956E9" w:rsidP="00C956E9">
      <w:pPr>
        <w:pStyle w:val="Heading1"/>
        <w:jc w:val="left"/>
      </w:pPr>
      <w:bookmarkStart w:id="36" w:name="_Toc1571695"/>
      <w:r w:rsidRPr="00C56D36">
        <w:lastRenderedPageBreak/>
        <w:t>Appendix A: Findings and Recommendations</w:t>
      </w:r>
      <w:bookmarkEnd w:id="36"/>
      <w:r w:rsidRPr="00C56D36">
        <w:t xml:space="preserve"> </w:t>
      </w:r>
    </w:p>
    <w:p w14:paraId="3502E0DC" w14:textId="42E3E773" w:rsidR="000F7181" w:rsidRDefault="000F7181" w:rsidP="000F7181"/>
    <w:p w14:paraId="0DA8482F" w14:textId="77777777" w:rsidR="000B0D01" w:rsidRDefault="000B0D01" w:rsidP="000B0D01">
      <w:pPr>
        <w:pStyle w:val="Heading2"/>
      </w:pPr>
      <w:bookmarkStart w:id="37" w:name="_Toc1571696"/>
      <w:r>
        <w:t>Findings</w:t>
      </w:r>
      <w:bookmarkEnd w:id="37"/>
      <w:r>
        <w:t xml:space="preserve"> </w:t>
      </w:r>
    </w:p>
    <w:p w14:paraId="0BE5E594" w14:textId="77777777" w:rsidR="000B0D01" w:rsidRPr="00D759DA" w:rsidRDefault="000B0D01" w:rsidP="000B0D01"/>
    <w:p w14:paraId="0DA52294" w14:textId="77777777" w:rsidR="000B0D01" w:rsidRPr="00D759DA" w:rsidRDefault="000B0D01" w:rsidP="000B0D01">
      <w:pPr>
        <w:rPr>
          <w:b/>
        </w:rPr>
      </w:pPr>
      <w:r w:rsidRPr="00D759DA">
        <w:rPr>
          <w:b/>
        </w:rPr>
        <w:t>Are the department’s funding programs appropriate to make a difference to the industry?</w:t>
      </w:r>
    </w:p>
    <w:p w14:paraId="132C4A01" w14:textId="1C6E1A57" w:rsidR="000B0D01" w:rsidRPr="00F721FD" w:rsidRDefault="000B0D01" w:rsidP="00FF6985">
      <w:pPr>
        <w:pStyle w:val="DotPoints-Numbers"/>
        <w:numPr>
          <w:ilvl w:val="0"/>
          <w:numId w:val="19"/>
        </w:numPr>
      </w:pPr>
      <w:r w:rsidRPr="00F721FD">
        <w:t>The investment in sport and recreation organisations has made a difference to the industry either to ensure that operations continue</w:t>
      </w:r>
      <w:r w:rsidR="00AF7B7F">
        <w:t>,</w:t>
      </w:r>
      <w:r w:rsidRPr="00F721FD">
        <w:t xml:space="preserve"> or to improve the professionalism of an organisation.</w:t>
      </w:r>
    </w:p>
    <w:p w14:paraId="251FD1B8" w14:textId="77777777" w:rsidR="000B0D01" w:rsidRPr="00C10B4B" w:rsidRDefault="000B0D01" w:rsidP="000B0D01">
      <w:pPr>
        <w:pStyle w:val="ListParagraph"/>
        <w:numPr>
          <w:ilvl w:val="0"/>
          <w:numId w:val="5"/>
        </w:numPr>
      </w:pPr>
      <w:r w:rsidRPr="00C10B4B">
        <w:t>There is room for improvement in terms of the tailoring requirements for smaller organisations and continuing to review what core business is.</w:t>
      </w:r>
    </w:p>
    <w:p w14:paraId="50BD5303" w14:textId="77777777" w:rsidR="000B0D01" w:rsidRDefault="000B0D01" w:rsidP="000B0D01">
      <w:pPr>
        <w:pStyle w:val="ListParagraph"/>
        <w:numPr>
          <w:ilvl w:val="0"/>
          <w:numId w:val="5"/>
        </w:numPr>
      </w:pPr>
      <w:r w:rsidRPr="00F721FD">
        <w:t xml:space="preserve">Further work is required to review the appropriateness of funding programs against the </w:t>
      </w:r>
      <w:r>
        <w:t>d</w:t>
      </w:r>
      <w:r w:rsidRPr="00F721FD">
        <w:t xml:space="preserve">epartment’s outcomes and </w:t>
      </w:r>
      <w:r>
        <w:t xml:space="preserve">State </w:t>
      </w:r>
      <w:r w:rsidRPr="00F721FD">
        <w:t>Government priorities</w:t>
      </w:r>
      <w:r>
        <w:t xml:space="preserve">. </w:t>
      </w:r>
    </w:p>
    <w:p w14:paraId="0A268BC2" w14:textId="77777777" w:rsidR="000B0D01" w:rsidRDefault="000B0D01" w:rsidP="000B0D01">
      <w:pPr>
        <w:rPr>
          <w:b/>
        </w:rPr>
      </w:pPr>
      <w:r w:rsidRPr="00D759DA">
        <w:rPr>
          <w:b/>
        </w:rPr>
        <w:t>Define and deliver core business</w:t>
      </w:r>
    </w:p>
    <w:p w14:paraId="03CC5A03" w14:textId="77777777" w:rsidR="000B0D01" w:rsidRPr="004F14B2" w:rsidRDefault="000B0D01" w:rsidP="000B0D01">
      <w:pPr>
        <w:rPr>
          <w:i/>
        </w:rPr>
      </w:pPr>
      <w:r>
        <w:rPr>
          <w:i/>
        </w:rPr>
        <w:t>Industry view of the Department</w:t>
      </w:r>
    </w:p>
    <w:p w14:paraId="51A5D1F9" w14:textId="77777777" w:rsidR="000B0D01" w:rsidRDefault="000B0D01" w:rsidP="000B0D01">
      <w:pPr>
        <w:pStyle w:val="DotPoints-Numbers"/>
      </w:pPr>
      <w:r w:rsidRPr="00660069">
        <w:t xml:space="preserve">There </w:t>
      </w:r>
      <w:r>
        <w:t>are</w:t>
      </w:r>
      <w:r w:rsidRPr="00660069">
        <w:t xml:space="preserve"> a wide range of expectations </w:t>
      </w:r>
      <w:r>
        <w:t>of</w:t>
      </w:r>
      <w:r w:rsidRPr="00660069">
        <w:t xml:space="preserve"> the role of the department in supporting the industry</w:t>
      </w:r>
      <w:r>
        <w:t>,</w:t>
      </w:r>
      <w:r w:rsidRPr="00660069">
        <w:t xml:space="preserve"> with</w:t>
      </w:r>
      <w:r>
        <w:t xml:space="preserve"> a</w:t>
      </w:r>
      <w:r w:rsidRPr="00660069">
        <w:t xml:space="preserve"> shift of focus towards facilitating outcomes rather than leading the delivery</w:t>
      </w:r>
      <w:r>
        <w:t>.</w:t>
      </w:r>
    </w:p>
    <w:p w14:paraId="61750FBA" w14:textId="77777777" w:rsidR="000B0D01" w:rsidRPr="00F721FD" w:rsidRDefault="000B0D01" w:rsidP="000B0D01">
      <w:pPr>
        <w:pStyle w:val="DotPoints-Numbers"/>
      </w:pPr>
      <w:r w:rsidRPr="00F721FD">
        <w:t>The department needs to continue to build the capacity and capability of organisations, recognising the</w:t>
      </w:r>
      <w:r>
        <w:t>re is</w:t>
      </w:r>
      <w:r w:rsidRPr="00F721FD">
        <w:t xml:space="preserve"> significant variation within the industry. How this occurs may require a different approach and relationship with the industry, including greater engagement</w:t>
      </w:r>
      <w:r>
        <w:t xml:space="preserve"> and partnerships.</w:t>
      </w:r>
    </w:p>
    <w:p w14:paraId="62E93D57" w14:textId="77777777" w:rsidR="000B0D01" w:rsidRDefault="000B0D01" w:rsidP="000B0D01">
      <w:pPr>
        <w:pStyle w:val="DotPoints-Numbers"/>
        <w:numPr>
          <w:ilvl w:val="0"/>
          <w:numId w:val="0"/>
        </w:numPr>
        <w:ind w:left="720" w:hanging="360"/>
      </w:pPr>
    </w:p>
    <w:p w14:paraId="28E32C97" w14:textId="77777777" w:rsidR="000B0D01" w:rsidRDefault="000B0D01" w:rsidP="000B0D01">
      <w:pPr>
        <w:pStyle w:val="DotPoints-Numbers"/>
        <w:numPr>
          <w:ilvl w:val="0"/>
          <w:numId w:val="0"/>
        </w:numPr>
        <w:ind w:left="360" w:hanging="360"/>
      </w:pPr>
      <w:r w:rsidRPr="00F623FB">
        <w:rPr>
          <w:i/>
        </w:rPr>
        <w:t>Industry view of themselves</w:t>
      </w:r>
    </w:p>
    <w:p w14:paraId="2E326B9B" w14:textId="77777777" w:rsidR="000B0D01" w:rsidRPr="00A65168" w:rsidRDefault="000B0D01" w:rsidP="000B0D01">
      <w:pPr>
        <w:pStyle w:val="DotPoints-Numbers"/>
      </w:pPr>
      <w:r w:rsidRPr="00A65168">
        <w:t>The industry’s view of itself is to provide participation opportunities, build the capacity of the sport and to ensure it is well governed.</w:t>
      </w:r>
    </w:p>
    <w:p w14:paraId="5F56EF79" w14:textId="77777777" w:rsidR="000B0D01" w:rsidRPr="00A65168" w:rsidRDefault="000B0D01" w:rsidP="000B0D01">
      <w:pPr>
        <w:pStyle w:val="DotPoints-Numbers"/>
      </w:pPr>
      <w:r w:rsidRPr="00A65168">
        <w:t xml:space="preserve">There is a need for the sport and recreation industry to evaluate its relationship with the department in order to ensure the correct roles and responsibilities are in place.   </w:t>
      </w:r>
    </w:p>
    <w:p w14:paraId="252DF0D1" w14:textId="77777777" w:rsidR="000B0D01" w:rsidRPr="00A65168" w:rsidRDefault="000B0D01" w:rsidP="000B0D01">
      <w:pPr>
        <w:pStyle w:val="DotPoints-Numbers"/>
      </w:pPr>
      <w:r w:rsidRPr="00A65168">
        <w:t>The department and the industry need to reposition relationships to work more collaboratively (as has occurred through this process).</w:t>
      </w:r>
    </w:p>
    <w:p w14:paraId="6E7C3F11" w14:textId="77777777" w:rsidR="000B0D01" w:rsidRPr="00A65168" w:rsidRDefault="000B0D01" w:rsidP="000B0D01">
      <w:pPr>
        <w:pStyle w:val="DotPoints-Numbers"/>
      </w:pPr>
      <w:r w:rsidRPr="00A65168">
        <w:t>The WA Sports Federation should strengthen its role as the peak advocacy body for sport.</w:t>
      </w:r>
    </w:p>
    <w:p w14:paraId="2F8C5168" w14:textId="77777777" w:rsidR="000B0D01" w:rsidRDefault="000B0D01" w:rsidP="000B0D01"/>
    <w:p w14:paraId="351BE1B7" w14:textId="77777777" w:rsidR="000B0D01" w:rsidRPr="00D759DA" w:rsidRDefault="000B0D01" w:rsidP="000B0D01">
      <w:pPr>
        <w:rPr>
          <w:b/>
        </w:rPr>
      </w:pPr>
      <w:bookmarkStart w:id="38" w:name="_Toc534722209"/>
      <w:r w:rsidRPr="00D759DA">
        <w:rPr>
          <w:b/>
        </w:rPr>
        <w:t>Customisation of approach</w:t>
      </w:r>
      <w:bookmarkEnd w:id="38"/>
    </w:p>
    <w:p w14:paraId="09AF08A5" w14:textId="77777777" w:rsidR="000B0D01" w:rsidRPr="001206AB" w:rsidRDefault="000B0D01" w:rsidP="000B0D01">
      <w:pPr>
        <w:pStyle w:val="DotPoints-Numbers"/>
      </w:pPr>
      <w:r w:rsidRPr="001206AB">
        <w:t xml:space="preserve">There is a need to consistently customise the requirements of organisations across all grant programs, to reflect their capacity, capability and reach, and reflect the level of funding. </w:t>
      </w:r>
    </w:p>
    <w:p w14:paraId="1AEB4948" w14:textId="77777777" w:rsidR="000B0D01" w:rsidRPr="001206AB" w:rsidRDefault="000B0D01" w:rsidP="000B0D01">
      <w:pPr>
        <w:pStyle w:val="DotPoints-Numbers"/>
      </w:pPr>
      <w:r w:rsidRPr="001206AB">
        <w:t>There should be transparency and accountability in how the funding for the Industry Investment Program is allocated.</w:t>
      </w:r>
    </w:p>
    <w:p w14:paraId="4F67107E" w14:textId="77777777" w:rsidR="000B0D01" w:rsidRDefault="000B0D01" w:rsidP="000B0D01"/>
    <w:p w14:paraId="3FF09A99" w14:textId="77777777" w:rsidR="000B0D01" w:rsidRDefault="000B0D01" w:rsidP="000B0D01"/>
    <w:p w14:paraId="0C67BDD8" w14:textId="77777777" w:rsidR="000B0D01" w:rsidRPr="00F721FD" w:rsidRDefault="000B0D01" w:rsidP="000B0D01">
      <w:bookmarkStart w:id="39" w:name="_Toc534722210"/>
      <w:r w:rsidRPr="00D759DA">
        <w:rPr>
          <w:b/>
        </w:rPr>
        <w:t>Simplification of the process and minimising effort</w:t>
      </w:r>
      <w:bookmarkEnd w:id="39"/>
    </w:p>
    <w:p w14:paraId="02EACE48" w14:textId="77777777" w:rsidR="000B0D01" w:rsidRPr="00D8143B" w:rsidRDefault="000B0D01" w:rsidP="000B0D01">
      <w:pPr>
        <w:pStyle w:val="DotPoints-Numbers"/>
      </w:pPr>
      <w:r w:rsidRPr="00D8143B">
        <w:t xml:space="preserve">The department should look at standardising the application and acquittal process for programs with aligned funding outcomes. </w:t>
      </w:r>
    </w:p>
    <w:p w14:paraId="04F84639" w14:textId="77777777" w:rsidR="000B0D01" w:rsidRPr="00D8143B" w:rsidRDefault="000B0D01" w:rsidP="000B0D01">
      <w:pPr>
        <w:pStyle w:val="DotPoints-Numbers"/>
      </w:pPr>
      <w:r w:rsidRPr="00D8143B">
        <w:t>The department should progress the development of a consolidated funding agreement with each State Sporting Association and Industry Recognised Organisation.</w:t>
      </w:r>
    </w:p>
    <w:p w14:paraId="43AAB6AD" w14:textId="77777777" w:rsidR="000B0D01" w:rsidRPr="00D8143B" w:rsidRDefault="000B0D01" w:rsidP="000B0D01">
      <w:pPr>
        <w:pStyle w:val="DotPoints-Numbers"/>
      </w:pPr>
      <w:r w:rsidRPr="00D8143B">
        <w:t>The department should provide online best practice guidance including templates, policies and procedures for State Sporting Associations.</w:t>
      </w:r>
    </w:p>
    <w:p w14:paraId="072EDDA3" w14:textId="77777777" w:rsidR="000B0D01" w:rsidRPr="00D8143B" w:rsidRDefault="000B0D01" w:rsidP="000B0D01">
      <w:pPr>
        <w:pStyle w:val="DotPoints-Numbers"/>
      </w:pPr>
      <w:r w:rsidRPr="00D8143B">
        <w:t>The department and the industry should work with Sport Australia to assist in the simplification of compliance and industry standards, and for the National Sporting Organisations to assist Western Australian State Sporting Associations.</w:t>
      </w:r>
    </w:p>
    <w:p w14:paraId="2BF975C1" w14:textId="77777777" w:rsidR="000B0D01" w:rsidRDefault="000B0D01" w:rsidP="000B0D01"/>
    <w:p w14:paraId="1C274827" w14:textId="77777777" w:rsidR="000B0D01" w:rsidRPr="00D759DA" w:rsidRDefault="000B0D01" w:rsidP="000B0D01">
      <w:pPr>
        <w:rPr>
          <w:b/>
        </w:rPr>
      </w:pPr>
      <w:bookmarkStart w:id="40" w:name="_Toc534722212"/>
      <w:r w:rsidRPr="00D759DA">
        <w:rPr>
          <w:b/>
        </w:rPr>
        <w:t>How does the sport and recreation sector engage with the health and education sectors in a more meaningful way?</w:t>
      </w:r>
      <w:bookmarkEnd w:id="40"/>
    </w:p>
    <w:p w14:paraId="2A07CE3F" w14:textId="77777777" w:rsidR="000B0D01" w:rsidRPr="00E0037B" w:rsidRDefault="000B0D01" w:rsidP="000B0D01">
      <w:pPr>
        <w:pStyle w:val="DotPoints-Numbers"/>
      </w:pPr>
      <w:r w:rsidRPr="00E0037B">
        <w:t>The department and the industry need to engage more effectively with the health and education sectors.</w:t>
      </w:r>
    </w:p>
    <w:p w14:paraId="088004B5" w14:textId="77777777" w:rsidR="000B0D01" w:rsidRPr="00E0037B" w:rsidRDefault="000B0D01" w:rsidP="000B0D01">
      <w:pPr>
        <w:pStyle w:val="DotPoints-Numbers"/>
      </w:pPr>
      <w:r w:rsidRPr="00E0037B">
        <w:t>The department should consider adopting a whole of government language, common to the health and education sectors.</w:t>
      </w:r>
    </w:p>
    <w:p w14:paraId="3241419C" w14:textId="77777777" w:rsidR="000B0D01" w:rsidRPr="00E0037B" w:rsidRDefault="000B0D01" w:rsidP="000B0D01">
      <w:pPr>
        <w:pStyle w:val="DotPoints-Numbers"/>
      </w:pPr>
      <w:r w:rsidRPr="00E0037B">
        <w:t>The department should investigate the process of developing a universal unit of measurement for the sport and recreation industry.</w:t>
      </w:r>
    </w:p>
    <w:p w14:paraId="0C7EDDCF" w14:textId="77777777" w:rsidR="000B0D01" w:rsidRPr="00D759DA" w:rsidRDefault="000B0D01" w:rsidP="000B0D01">
      <w:pPr>
        <w:rPr>
          <w:b/>
        </w:rPr>
      </w:pPr>
    </w:p>
    <w:p w14:paraId="7A100365" w14:textId="77777777" w:rsidR="000B0D01" w:rsidRPr="00D759DA" w:rsidRDefault="000B0D01" w:rsidP="000B0D01">
      <w:pPr>
        <w:rPr>
          <w:b/>
        </w:rPr>
      </w:pPr>
      <w:bookmarkStart w:id="41" w:name="_Toc534722213"/>
      <w:r w:rsidRPr="00D759DA">
        <w:rPr>
          <w:b/>
        </w:rPr>
        <w:t>Participation in a changing environment</w:t>
      </w:r>
      <w:bookmarkEnd w:id="41"/>
    </w:p>
    <w:p w14:paraId="535F388B" w14:textId="77777777" w:rsidR="000B0D01" w:rsidRDefault="000B0D01" w:rsidP="000B0D01">
      <w:pPr>
        <w:pStyle w:val="DotPoints-Numbers"/>
      </w:pPr>
      <w:r>
        <w:t xml:space="preserve">The expansion of the definition of sport at a Federal level to include physical activity needs to be reviewed at a State level with a position statement considered. </w:t>
      </w:r>
    </w:p>
    <w:p w14:paraId="07091A45" w14:textId="77777777" w:rsidR="000B0D01" w:rsidRDefault="000B0D01" w:rsidP="000B0D01">
      <w:pPr>
        <w:pStyle w:val="DotPoints-Numbers"/>
      </w:pPr>
      <w:r>
        <w:t xml:space="preserve">There is a point of difference between regional and metropolitan participants as to the value of investing in the traditional delivery model. </w:t>
      </w:r>
    </w:p>
    <w:p w14:paraId="03418084" w14:textId="38B6C808" w:rsidR="000B0D01" w:rsidRDefault="000B0D01" w:rsidP="000B0D01">
      <w:pPr>
        <w:pStyle w:val="DotPoints-Numbers"/>
      </w:pPr>
      <w:r>
        <w:t xml:space="preserve">Local government is a major player in community sport and recreation and needs to be factored into the delivery model. </w:t>
      </w:r>
    </w:p>
    <w:p w14:paraId="02EC0B51" w14:textId="77777777" w:rsidR="000B0D01" w:rsidRDefault="000B0D01" w:rsidP="000B0D01">
      <w:pPr>
        <w:pStyle w:val="DotPoints-Numbers"/>
      </w:pPr>
      <w:r>
        <w:t xml:space="preserve">There are market gaps in how the department supports events, participation and active recreation opportunities. </w:t>
      </w:r>
    </w:p>
    <w:p w14:paraId="347AE138" w14:textId="77777777" w:rsidR="000B0D01" w:rsidRDefault="000B0D01" w:rsidP="000B0D01">
      <w:pPr>
        <w:pStyle w:val="ListParagraph"/>
        <w:numPr>
          <w:ilvl w:val="0"/>
          <w:numId w:val="5"/>
        </w:numPr>
      </w:pPr>
      <w:r>
        <w:br w:type="page"/>
      </w:r>
    </w:p>
    <w:p w14:paraId="691EF40F" w14:textId="77777777" w:rsidR="000B0D01" w:rsidRDefault="000B0D01" w:rsidP="000B0D01">
      <w:pPr>
        <w:pStyle w:val="Heading2"/>
      </w:pPr>
      <w:bookmarkStart w:id="42" w:name="_Toc1571697"/>
      <w:r>
        <w:lastRenderedPageBreak/>
        <w:t>Recommendations</w:t>
      </w:r>
      <w:bookmarkEnd w:id="42"/>
      <w:r>
        <w:t xml:space="preserve"> </w:t>
      </w:r>
    </w:p>
    <w:p w14:paraId="6385CA06" w14:textId="77777777" w:rsidR="000B0D01" w:rsidRPr="00D759DA" w:rsidRDefault="000B0D01" w:rsidP="000B0D01"/>
    <w:p w14:paraId="1EA43B92" w14:textId="77777777" w:rsidR="000B0D01" w:rsidRPr="00F721FD" w:rsidRDefault="000B0D01" w:rsidP="000B0D01">
      <w:bookmarkStart w:id="43" w:name="_Toc534722217"/>
      <w:r w:rsidRPr="00D759DA">
        <w:rPr>
          <w:b/>
        </w:rPr>
        <w:t>Industry Investment Program</w:t>
      </w:r>
      <w:bookmarkEnd w:id="43"/>
    </w:p>
    <w:p w14:paraId="1D8E1F64" w14:textId="77777777" w:rsidR="000B0D01" w:rsidRPr="003E02EA" w:rsidRDefault="000B0D01" w:rsidP="000B0D01">
      <w:pPr>
        <w:pStyle w:val="DotPoints-Numbers"/>
        <w:numPr>
          <w:ilvl w:val="0"/>
          <w:numId w:val="17"/>
        </w:numPr>
      </w:pPr>
      <w:r w:rsidRPr="00A26151">
        <w:t>The department to publish the Industry Investment Program categorisation criteria for State Sporting Associations (Appendix B)</w:t>
      </w:r>
      <w:r w:rsidRPr="003E02EA">
        <w:t xml:space="preserve"> </w:t>
      </w:r>
      <w:r>
        <w:t>for review by</w:t>
      </w:r>
      <w:r w:rsidRPr="003E02EA">
        <w:t xml:space="preserve"> the industry before implementation in 2019/202</w:t>
      </w:r>
      <w:r>
        <w:t xml:space="preserve">0 – this will include the category’s eligibility to apply for other funding programs and will outline other policy requirements i.e. gender targets. </w:t>
      </w:r>
    </w:p>
    <w:p w14:paraId="70570083" w14:textId="77777777" w:rsidR="000B0D01" w:rsidRPr="00F721FD" w:rsidRDefault="000B0D01" w:rsidP="000B0D01">
      <w:pPr>
        <w:pStyle w:val="DotPoints-Numbers"/>
      </w:pPr>
      <w:r>
        <w:t xml:space="preserve">The </w:t>
      </w:r>
      <w:r w:rsidRPr="00CC58C2">
        <w:t>Industry Investment Program</w:t>
      </w:r>
      <w:r w:rsidRPr="00F721FD">
        <w:t xml:space="preserve"> </w:t>
      </w:r>
      <w:r>
        <w:t>to</w:t>
      </w:r>
      <w:r w:rsidRPr="00F721FD">
        <w:t xml:space="preserve"> have </w:t>
      </w:r>
      <w:proofErr w:type="gramStart"/>
      <w:r w:rsidRPr="00F721FD">
        <w:t>three</w:t>
      </w:r>
      <w:r>
        <w:t xml:space="preserve"> </w:t>
      </w:r>
      <w:r w:rsidRPr="00F721FD">
        <w:t>year</w:t>
      </w:r>
      <w:proofErr w:type="gramEnd"/>
      <w:r w:rsidRPr="00F721FD">
        <w:t xml:space="preserve"> funding block</w:t>
      </w:r>
      <w:r>
        <w:t xml:space="preserve">s, with </w:t>
      </w:r>
      <w:r w:rsidRPr="00F721FD">
        <w:t xml:space="preserve">an annual </w:t>
      </w:r>
      <w:r>
        <w:t xml:space="preserve">assessment. </w:t>
      </w:r>
      <w:r w:rsidRPr="00F721FD">
        <w:t xml:space="preserve">Each organisation will be determined to fit a category based on their capability and capacity. </w:t>
      </w:r>
    </w:p>
    <w:p w14:paraId="54BBA2D7" w14:textId="77777777" w:rsidR="000B0D01" w:rsidRPr="00F721FD" w:rsidRDefault="000B0D01" w:rsidP="000B0D01">
      <w:pPr>
        <w:pStyle w:val="DotPoints-Numbers"/>
      </w:pPr>
      <w:r>
        <w:t>All</w:t>
      </w:r>
      <w:r w:rsidRPr="00F721FD">
        <w:t xml:space="preserve"> </w:t>
      </w:r>
      <w:r>
        <w:t xml:space="preserve">organisations’ </w:t>
      </w:r>
      <w:r w:rsidRPr="00CC58C2">
        <w:t>Industry Investment Program</w:t>
      </w:r>
      <w:r w:rsidRPr="00F721FD">
        <w:t xml:space="preserve"> </w:t>
      </w:r>
      <w:r>
        <w:t>allocation</w:t>
      </w:r>
      <w:r w:rsidRPr="00F721FD">
        <w:t xml:space="preserve"> for the 2019/20 financial year</w:t>
      </w:r>
      <w:r>
        <w:t xml:space="preserve"> will be reset to the base funding level of the category. There </w:t>
      </w:r>
      <w:r w:rsidRPr="00067305">
        <w:t>will</w:t>
      </w:r>
      <w:r>
        <w:t xml:space="preserve"> be a</w:t>
      </w:r>
      <w:r w:rsidRPr="00067305">
        <w:t xml:space="preserve"> </w:t>
      </w:r>
      <w:proofErr w:type="gramStart"/>
      <w:r w:rsidRPr="00067305">
        <w:t>12</w:t>
      </w:r>
      <w:r>
        <w:t xml:space="preserve"> </w:t>
      </w:r>
      <w:r w:rsidRPr="00067305">
        <w:t>month</w:t>
      </w:r>
      <w:proofErr w:type="gramEnd"/>
      <w:r w:rsidRPr="00067305">
        <w:t xml:space="preserve"> transition period until new funding allocations are implemented where </w:t>
      </w:r>
      <w:r>
        <w:t>changes result</w:t>
      </w:r>
      <w:r w:rsidRPr="00067305">
        <w:t xml:space="preserve"> in a decrease of funding.</w:t>
      </w:r>
    </w:p>
    <w:p w14:paraId="3D62F8AF" w14:textId="77777777" w:rsidR="000B0D01" w:rsidRPr="007926AD" w:rsidRDefault="000B0D01" w:rsidP="000B0D01">
      <w:pPr>
        <w:pStyle w:val="DotPoints-Numbers"/>
      </w:pPr>
      <w:r w:rsidRPr="007926AD">
        <w:t xml:space="preserve">Regional Organisation </w:t>
      </w:r>
      <w:r>
        <w:t xml:space="preserve">Grants </w:t>
      </w:r>
      <w:r w:rsidRPr="007926AD">
        <w:t xml:space="preserve">and Regional Servicing </w:t>
      </w:r>
      <w:r>
        <w:t>G</w:t>
      </w:r>
      <w:r w:rsidRPr="007926AD">
        <w:t xml:space="preserve">rants </w:t>
      </w:r>
      <w:r>
        <w:t xml:space="preserve">will be consolidated </w:t>
      </w:r>
      <w:r w:rsidRPr="007926AD">
        <w:t>within</w:t>
      </w:r>
      <w:r>
        <w:t xml:space="preserve"> the</w:t>
      </w:r>
      <w:r w:rsidRPr="007926AD">
        <w:t xml:space="preserve"> </w:t>
      </w:r>
      <w:r w:rsidRPr="00CC58C2">
        <w:t>Industry Investment Program</w:t>
      </w:r>
      <w:r w:rsidRPr="007926AD">
        <w:t>.</w:t>
      </w:r>
    </w:p>
    <w:p w14:paraId="18EB1E9A" w14:textId="77777777" w:rsidR="000B0D01" w:rsidRDefault="000B0D01" w:rsidP="000B0D01"/>
    <w:p w14:paraId="0F01C94C" w14:textId="77777777" w:rsidR="000B0D01" w:rsidRPr="00F721FD" w:rsidRDefault="000B0D01" w:rsidP="000B0D01">
      <w:bookmarkStart w:id="44" w:name="_Toc534722218"/>
      <w:r w:rsidRPr="00D759DA">
        <w:rPr>
          <w:b/>
        </w:rPr>
        <w:t>Targeted Participation Program</w:t>
      </w:r>
      <w:bookmarkEnd w:id="44"/>
    </w:p>
    <w:p w14:paraId="529429CC" w14:textId="77777777" w:rsidR="000B0D01" w:rsidRDefault="000B0D01" w:rsidP="000B0D01">
      <w:pPr>
        <w:ind w:left="720"/>
      </w:pPr>
      <w:bookmarkStart w:id="45" w:name="_Toc534722219"/>
      <w:r w:rsidRPr="0047757C">
        <w:t>Changes to the Targeted Participation Program will be considered as part of the evaluation process to be undertaken in 2019.</w:t>
      </w:r>
    </w:p>
    <w:p w14:paraId="783A70E8" w14:textId="77777777" w:rsidR="00BF54A5" w:rsidRDefault="00BF54A5" w:rsidP="000B0D01">
      <w:pPr>
        <w:rPr>
          <w:b/>
        </w:rPr>
      </w:pPr>
    </w:p>
    <w:p w14:paraId="3B9A8A24" w14:textId="267F2EFD" w:rsidR="000B0D01" w:rsidRPr="00D759DA" w:rsidRDefault="000B0D01" w:rsidP="000B0D01">
      <w:pPr>
        <w:rPr>
          <w:b/>
        </w:rPr>
      </w:pPr>
      <w:r w:rsidRPr="00D759DA">
        <w:rPr>
          <w:b/>
        </w:rPr>
        <w:t>Every Club</w:t>
      </w:r>
      <w:bookmarkEnd w:id="45"/>
    </w:p>
    <w:p w14:paraId="32B24D23" w14:textId="77777777" w:rsidR="000B0D01" w:rsidRPr="00710544" w:rsidRDefault="000B0D01" w:rsidP="000B0D01">
      <w:pPr>
        <w:pStyle w:val="DotPoints-Numbers"/>
      </w:pPr>
      <w:r w:rsidRPr="00710544">
        <w:t xml:space="preserve">The department undertakes a health check of </w:t>
      </w:r>
      <w:proofErr w:type="gramStart"/>
      <w:r w:rsidRPr="00710544">
        <w:t>the Every</w:t>
      </w:r>
      <w:proofErr w:type="gramEnd"/>
      <w:r w:rsidRPr="00710544">
        <w:t xml:space="preserve"> Club program to make refinements for any future funding rounds.</w:t>
      </w:r>
    </w:p>
    <w:p w14:paraId="7D460B2E" w14:textId="77777777" w:rsidR="000B0D01" w:rsidRPr="00710544" w:rsidRDefault="000B0D01" w:rsidP="000B0D01">
      <w:pPr>
        <w:pStyle w:val="DotPoints-Numbers"/>
      </w:pPr>
      <w:r w:rsidRPr="00710544">
        <w:t xml:space="preserve">The department develops an implementation strategy (including stakeholder consultation and communications plan) based on the previous work undertaken by the department which examined the roles and responsibilities for club development in Western Australia. </w:t>
      </w:r>
    </w:p>
    <w:p w14:paraId="0327F141" w14:textId="77777777" w:rsidR="000B0D01" w:rsidRPr="00710544" w:rsidRDefault="000B0D01" w:rsidP="000B0D01">
      <w:pPr>
        <w:pStyle w:val="DotPoints-Numbers"/>
      </w:pPr>
      <w:r w:rsidRPr="00710544">
        <w:t xml:space="preserve">The department to host a leadership forum between local governments and State Sporting Associations to discuss the roles and responsibilities of club development. </w:t>
      </w:r>
    </w:p>
    <w:p w14:paraId="2E5F02BC" w14:textId="77777777" w:rsidR="000B0D01" w:rsidRDefault="000B0D01" w:rsidP="000B0D01"/>
    <w:p w14:paraId="0DF8C204" w14:textId="77777777" w:rsidR="000B0D01" w:rsidRPr="00D759DA" w:rsidRDefault="000B0D01" w:rsidP="000B0D01">
      <w:pPr>
        <w:rPr>
          <w:b/>
        </w:rPr>
      </w:pPr>
      <w:bookmarkStart w:id="46" w:name="_Toc534722220"/>
      <w:r w:rsidRPr="00D759DA">
        <w:rPr>
          <w:b/>
        </w:rPr>
        <w:t>Kid Sport</w:t>
      </w:r>
      <w:bookmarkEnd w:id="46"/>
    </w:p>
    <w:p w14:paraId="1B37C429" w14:textId="77777777" w:rsidR="000B0D01" w:rsidRPr="00BB42F5" w:rsidRDefault="000B0D01" w:rsidP="000B0D01">
      <w:pPr>
        <w:pStyle w:val="DotPoints-Numbers"/>
      </w:pPr>
      <w:r w:rsidRPr="00BB42F5">
        <w:t xml:space="preserve">The department will implement a pilot to trial alternative models of support for kids to access sport in targeted regional and remote locations where the KidSport model is not suitable. </w:t>
      </w:r>
    </w:p>
    <w:p w14:paraId="456D0EEB" w14:textId="77777777" w:rsidR="000B0D01" w:rsidRPr="00BB42F5" w:rsidRDefault="000B0D01" w:rsidP="000B0D01">
      <w:pPr>
        <w:pStyle w:val="DotPoints-Numbers"/>
      </w:pPr>
      <w:r w:rsidRPr="00BB42F5">
        <w:t xml:space="preserve">The department will undertake a review of the program in 2019/2020 to examine the impact of policy changes that were enforced in 2017 and 2018. </w:t>
      </w:r>
    </w:p>
    <w:p w14:paraId="03E225CA" w14:textId="77777777" w:rsidR="000B0D01" w:rsidRDefault="000B0D01" w:rsidP="000B0D01"/>
    <w:p w14:paraId="15D076C0" w14:textId="77777777" w:rsidR="000B0D01" w:rsidRPr="00F721FD" w:rsidRDefault="000B0D01" w:rsidP="000B0D01">
      <w:bookmarkStart w:id="47" w:name="_Toc534722221"/>
      <w:r w:rsidRPr="00D759DA">
        <w:rPr>
          <w:b/>
        </w:rPr>
        <w:lastRenderedPageBreak/>
        <w:t>Regional Based Grants</w:t>
      </w:r>
      <w:bookmarkEnd w:id="47"/>
    </w:p>
    <w:p w14:paraId="79685859" w14:textId="77777777" w:rsidR="000B0D01" w:rsidRPr="00685500" w:rsidRDefault="000B0D01" w:rsidP="000B0D01">
      <w:pPr>
        <w:pStyle w:val="DotPoints-Numbers"/>
      </w:pPr>
      <w:r w:rsidRPr="00685500">
        <w:t>The Active Regional Community Grants program to be more widely promoted and an increase in funding to the pool is being considered.</w:t>
      </w:r>
    </w:p>
    <w:p w14:paraId="33123BCE" w14:textId="77777777" w:rsidR="000B0D01" w:rsidRDefault="000B0D01" w:rsidP="000B0D01"/>
    <w:p w14:paraId="5D8D0FD9" w14:textId="77777777" w:rsidR="000B0D01" w:rsidRPr="00D759DA" w:rsidRDefault="000B0D01" w:rsidP="000B0D01">
      <w:pPr>
        <w:rPr>
          <w:b/>
        </w:rPr>
      </w:pPr>
      <w:r w:rsidRPr="00D759DA">
        <w:rPr>
          <w:b/>
        </w:rPr>
        <w:t xml:space="preserve">Infrastructure Grants </w:t>
      </w:r>
    </w:p>
    <w:p w14:paraId="07A5D2A6" w14:textId="77777777" w:rsidR="000B0D01" w:rsidRDefault="000B0D01" w:rsidP="000B0D01">
      <w:pPr>
        <w:pStyle w:val="Mainbodytext"/>
        <w:ind w:left="720"/>
      </w:pPr>
      <w:r w:rsidRPr="00B66F56">
        <w:t xml:space="preserve">Separate processes will </w:t>
      </w:r>
      <w:r>
        <w:t>occur</w:t>
      </w:r>
      <w:r w:rsidRPr="00B66F56">
        <w:t xml:space="preserve"> in 2019 in relation to the State Sporting Facilities Plan and the </w:t>
      </w:r>
      <w:r w:rsidRPr="00CE41AC">
        <w:t>Community Sport and Recreation Facility Fund</w:t>
      </w:r>
      <w:r w:rsidRPr="00B66F56">
        <w:t>.</w:t>
      </w:r>
    </w:p>
    <w:p w14:paraId="7F8EE379" w14:textId="77777777" w:rsidR="000B0D01" w:rsidRDefault="000B0D01" w:rsidP="000B0D01"/>
    <w:p w14:paraId="27B98980" w14:textId="77777777" w:rsidR="000B0D01" w:rsidRPr="00D759DA" w:rsidRDefault="000B0D01" w:rsidP="000B0D01">
      <w:pPr>
        <w:rPr>
          <w:b/>
        </w:rPr>
      </w:pPr>
      <w:bookmarkStart w:id="48" w:name="_Toc534722223"/>
      <w:r w:rsidRPr="00D759DA">
        <w:rPr>
          <w:b/>
        </w:rPr>
        <w:t>Gaps in Current Service Provision</w:t>
      </w:r>
      <w:bookmarkEnd w:id="48"/>
    </w:p>
    <w:p w14:paraId="13DCC6C0" w14:textId="77777777" w:rsidR="000B0D01" w:rsidRDefault="000B0D01" w:rsidP="000B0D01">
      <w:pPr>
        <w:pStyle w:val="DotPoints-Numbers"/>
      </w:pPr>
      <w:r>
        <w:t xml:space="preserve">A mid-tier events strategy will be developed to fund metropolitan and regional sporting events. </w:t>
      </w:r>
    </w:p>
    <w:p w14:paraId="17C15FA9" w14:textId="77777777" w:rsidR="000B0D01" w:rsidRPr="00D759DA" w:rsidRDefault="000B0D01" w:rsidP="000B0D01">
      <w:pPr>
        <w:pStyle w:val="DotPoints-Numbers"/>
      </w:pPr>
      <w:r>
        <w:t>An innovation funding pool will be explored to provide responsive funding to challenges and trends. This will be progressed through a Request for Proposal process in response to developing trends and initiatives.</w:t>
      </w:r>
    </w:p>
    <w:p w14:paraId="3C330DE1" w14:textId="77777777" w:rsidR="000B0D01" w:rsidRPr="00C56D36" w:rsidRDefault="000B0D01" w:rsidP="000F7181"/>
    <w:p w14:paraId="672F826C" w14:textId="77777777" w:rsidR="000B0D01" w:rsidRDefault="000B0D01">
      <w:pPr>
        <w:jc w:val="left"/>
        <w:rPr>
          <w:rFonts w:eastAsiaTheme="majorEastAsia"/>
          <w:b/>
          <w:color w:val="EC661C"/>
          <w:sz w:val="36"/>
          <w:szCs w:val="32"/>
        </w:rPr>
      </w:pPr>
      <w:r>
        <w:br w:type="page"/>
      </w:r>
    </w:p>
    <w:p w14:paraId="355AC527" w14:textId="0F5DDD2F" w:rsidR="00C956E9" w:rsidRDefault="00E840AC">
      <w:pPr>
        <w:pStyle w:val="Heading1"/>
        <w:jc w:val="left"/>
      </w:pPr>
      <w:bookmarkStart w:id="49" w:name="_Toc1571698"/>
      <w:r w:rsidRPr="00C56D36">
        <w:lastRenderedPageBreak/>
        <w:t>Appendix</w:t>
      </w:r>
      <w:r w:rsidR="005162B3" w:rsidRPr="00C56D36">
        <w:t xml:space="preserve"> B</w:t>
      </w:r>
      <w:r w:rsidR="00E73594" w:rsidRPr="00C56D36">
        <w:t>: Industry Investment Program</w:t>
      </w:r>
      <w:r w:rsidR="00C85084">
        <w:t xml:space="preserve"> -</w:t>
      </w:r>
      <w:r w:rsidRPr="00C56D36">
        <w:t>Categorisation</w:t>
      </w:r>
      <w:bookmarkEnd w:id="49"/>
    </w:p>
    <w:p w14:paraId="50227CB5" w14:textId="77777777" w:rsidR="00E54A14" w:rsidRDefault="00E54A14" w:rsidP="000B0D01"/>
    <w:p w14:paraId="1970DB5B" w14:textId="0BD752C6" w:rsidR="002F6C3E" w:rsidRPr="00350333" w:rsidRDefault="002F6C3E" w:rsidP="007B2A90">
      <w:pPr>
        <w:pStyle w:val="Heading2"/>
        <w:rPr>
          <w:rFonts w:eastAsia="Times New Roman"/>
        </w:rPr>
      </w:pPr>
      <w:bookmarkStart w:id="50" w:name="_Toc1571699"/>
      <w:r w:rsidRPr="00350333">
        <w:rPr>
          <w:rFonts w:eastAsia="Times New Roman"/>
        </w:rPr>
        <w:t>Categories</w:t>
      </w:r>
      <w:bookmarkEnd w:id="50"/>
    </w:p>
    <w:p w14:paraId="075E452B" w14:textId="73A545EA" w:rsidR="002F6C3E" w:rsidRPr="002F6C3E" w:rsidRDefault="00E54A14" w:rsidP="002F6C3E">
      <w:pPr>
        <w:spacing w:after="160" w:line="259" w:lineRule="auto"/>
        <w:jc w:val="left"/>
        <w:rPr>
          <w:rFonts w:eastAsia="Calibri"/>
        </w:rPr>
      </w:pPr>
      <w:r>
        <w:rPr>
          <w:rFonts w:eastAsia="Calibri"/>
        </w:rPr>
        <w:t xml:space="preserve">Most State Sporting Associations will have attributes across the </w:t>
      </w:r>
      <w:r w:rsidR="00474CD7">
        <w:rPr>
          <w:rFonts w:eastAsia="Calibri"/>
        </w:rPr>
        <w:t xml:space="preserve">various categories. The determination of the categorisation is based on a mean score across all criteria. </w:t>
      </w:r>
    </w:p>
    <w:tbl>
      <w:tblPr>
        <w:tblStyle w:val="TableGrid1"/>
        <w:tblpPr w:leftFromText="180" w:rightFromText="180" w:vertAnchor="page" w:horzAnchor="margin" w:tblpY="4085"/>
        <w:tblW w:w="9634" w:type="dxa"/>
        <w:tblLook w:val="04A0" w:firstRow="1" w:lastRow="0" w:firstColumn="1" w:lastColumn="0" w:noHBand="0" w:noVBand="1"/>
      </w:tblPr>
      <w:tblGrid>
        <w:gridCol w:w="2057"/>
        <w:gridCol w:w="7577"/>
      </w:tblGrid>
      <w:tr w:rsidR="002F6C3E" w:rsidRPr="002F6C3E" w14:paraId="1862A07F" w14:textId="77777777" w:rsidTr="00474CD7">
        <w:trPr>
          <w:trHeight w:val="600"/>
        </w:trPr>
        <w:tc>
          <w:tcPr>
            <w:tcW w:w="9634" w:type="dxa"/>
            <w:gridSpan w:val="2"/>
            <w:shd w:val="clear" w:color="auto" w:fill="FFF2CC"/>
            <w:noWrap/>
            <w:vAlign w:val="center"/>
            <w:hideMark/>
          </w:tcPr>
          <w:p w14:paraId="3085CEFE" w14:textId="77777777" w:rsidR="002F6C3E" w:rsidRPr="002F6C3E" w:rsidRDefault="002F6C3E" w:rsidP="00474CD7">
            <w:pPr>
              <w:jc w:val="center"/>
              <w:rPr>
                <w:rFonts w:eastAsia="Times New Roman"/>
                <w:b/>
                <w:bCs/>
                <w:color w:val="000000"/>
                <w:lang w:eastAsia="en-AU"/>
              </w:rPr>
            </w:pPr>
            <w:r w:rsidRPr="002F6C3E">
              <w:rPr>
                <w:rFonts w:eastAsia="Times New Roman"/>
                <w:b/>
                <w:bCs/>
                <w:color w:val="000000"/>
                <w:lang w:eastAsia="en-AU"/>
              </w:rPr>
              <w:t>Self-Sustaining</w:t>
            </w:r>
          </w:p>
        </w:tc>
      </w:tr>
      <w:tr w:rsidR="002F6C3E" w:rsidRPr="002F6C3E" w14:paraId="3A4C6E9A" w14:textId="77777777" w:rsidTr="00474CD7">
        <w:trPr>
          <w:trHeight w:val="372"/>
        </w:trPr>
        <w:tc>
          <w:tcPr>
            <w:tcW w:w="2057" w:type="dxa"/>
            <w:shd w:val="clear" w:color="auto" w:fill="FFD966"/>
            <w:noWrap/>
            <w:vAlign w:val="center"/>
            <w:hideMark/>
          </w:tcPr>
          <w:p w14:paraId="1AB3E0C9" w14:textId="77777777" w:rsidR="002F6C3E" w:rsidRPr="002F6C3E" w:rsidRDefault="002F6C3E" w:rsidP="00474CD7">
            <w:pPr>
              <w:jc w:val="center"/>
              <w:rPr>
                <w:rFonts w:eastAsia="Times New Roman"/>
                <w:b/>
                <w:color w:val="000000"/>
                <w:lang w:eastAsia="en-AU"/>
              </w:rPr>
            </w:pPr>
            <w:r w:rsidRPr="002F6C3E">
              <w:rPr>
                <w:rFonts w:eastAsia="Times New Roman"/>
                <w:b/>
                <w:color w:val="000000"/>
                <w:lang w:eastAsia="en-AU"/>
              </w:rPr>
              <w:t>Workforce</w:t>
            </w:r>
          </w:p>
        </w:tc>
        <w:tc>
          <w:tcPr>
            <w:tcW w:w="7577" w:type="dxa"/>
            <w:noWrap/>
            <w:vAlign w:val="center"/>
            <w:hideMark/>
          </w:tcPr>
          <w:p w14:paraId="01C33ECA" w14:textId="77777777" w:rsidR="002F6C3E" w:rsidRPr="002F6C3E" w:rsidRDefault="002F6C3E" w:rsidP="00474CD7">
            <w:pPr>
              <w:spacing w:after="160" w:line="259" w:lineRule="auto"/>
              <w:jc w:val="left"/>
              <w:rPr>
                <w:rFonts w:eastAsia="Calibri"/>
                <w:bCs/>
              </w:rPr>
            </w:pPr>
            <w:r w:rsidRPr="002F6C3E">
              <w:rPr>
                <w:rFonts w:eastAsia="Calibri"/>
              </w:rPr>
              <w:t>More than 75 Staff or FTE equivalents</w:t>
            </w:r>
          </w:p>
        </w:tc>
      </w:tr>
      <w:tr w:rsidR="002F6C3E" w:rsidRPr="002F6C3E" w14:paraId="096CD1AC" w14:textId="77777777" w:rsidTr="00474CD7">
        <w:trPr>
          <w:trHeight w:val="300"/>
        </w:trPr>
        <w:tc>
          <w:tcPr>
            <w:tcW w:w="2057" w:type="dxa"/>
            <w:vMerge w:val="restart"/>
            <w:shd w:val="clear" w:color="auto" w:fill="FFD966"/>
            <w:noWrap/>
            <w:vAlign w:val="center"/>
            <w:hideMark/>
          </w:tcPr>
          <w:p w14:paraId="213BCBA9" w14:textId="77777777" w:rsidR="002F6C3E" w:rsidRPr="002F6C3E" w:rsidRDefault="002F6C3E" w:rsidP="00474CD7">
            <w:pPr>
              <w:jc w:val="center"/>
              <w:rPr>
                <w:rFonts w:eastAsia="Times New Roman"/>
                <w:b/>
                <w:color w:val="000000"/>
                <w:lang w:eastAsia="en-AU"/>
              </w:rPr>
            </w:pPr>
            <w:r w:rsidRPr="002F6C3E">
              <w:rPr>
                <w:rFonts w:eastAsia="Times New Roman"/>
                <w:b/>
                <w:color w:val="000000"/>
                <w:lang w:eastAsia="en-AU"/>
              </w:rPr>
              <w:t>Governance</w:t>
            </w:r>
          </w:p>
          <w:p w14:paraId="0E00E857" w14:textId="77777777" w:rsidR="002F6C3E" w:rsidRPr="002F6C3E" w:rsidRDefault="002F6C3E" w:rsidP="00474CD7">
            <w:pPr>
              <w:jc w:val="center"/>
              <w:rPr>
                <w:rFonts w:eastAsia="Times New Roman"/>
                <w:b/>
                <w:color w:val="000000"/>
                <w:lang w:eastAsia="en-AU"/>
              </w:rPr>
            </w:pPr>
          </w:p>
        </w:tc>
        <w:tc>
          <w:tcPr>
            <w:tcW w:w="7577" w:type="dxa"/>
            <w:shd w:val="clear" w:color="auto" w:fill="auto"/>
            <w:noWrap/>
            <w:vAlign w:val="center"/>
            <w:hideMark/>
          </w:tcPr>
          <w:p w14:paraId="53DE1231" w14:textId="77777777" w:rsidR="002F6C3E" w:rsidRPr="002F6C3E" w:rsidRDefault="002F6C3E" w:rsidP="00474CD7">
            <w:pPr>
              <w:jc w:val="left"/>
              <w:rPr>
                <w:rFonts w:eastAsia="Times New Roman"/>
                <w:i/>
                <w:iCs/>
                <w:color w:val="000000"/>
                <w:lang w:eastAsia="en-AU"/>
              </w:rPr>
            </w:pPr>
            <w:r w:rsidRPr="002F6C3E">
              <w:rPr>
                <w:rFonts w:eastAsia="Times New Roman"/>
                <w:i/>
                <w:iCs/>
                <w:color w:val="000000"/>
                <w:lang w:eastAsia="en-AU"/>
              </w:rPr>
              <w:t>Strong governance and management:</w:t>
            </w:r>
          </w:p>
        </w:tc>
      </w:tr>
      <w:tr w:rsidR="002F6C3E" w:rsidRPr="002F6C3E" w14:paraId="19B5216B" w14:textId="77777777" w:rsidTr="00474CD7">
        <w:trPr>
          <w:trHeight w:val="300"/>
        </w:trPr>
        <w:tc>
          <w:tcPr>
            <w:tcW w:w="2057" w:type="dxa"/>
            <w:vMerge/>
            <w:shd w:val="clear" w:color="auto" w:fill="FFD966"/>
            <w:noWrap/>
            <w:vAlign w:val="center"/>
          </w:tcPr>
          <w:p w14:paraId="2EB46E3B" w14:textId="77777777" w:rsidR="002F6C3E" w:rsidRPr="002F6C3E" w:rsidRDefault="002F6C3E" w:rsidP="00474CD7">
            <w:pPr>
              <w:jc w:val="center"/>
              <w:rPr>
                <w:rFonts w:eastAsia="Times New Roman"/>
                <w:b/>
                <w:color w:val="000000"/>
                <w:lang w:eastAsia="en-AU"/>
              </w:rPr>
            </w:pPr>
          </w:p>
        </w:tc>
        <w:tc>
          <w:tcPr>
            <w:tcW w:w="7577" w:type="dxa"/>
            <w:shd w:val="clear" w:color="auto" w:fill="auto"/>
            <w:noWrap/>
            <w:vAlign w:val="center"/>
          </w:tcPr>
          <w:p w14:paraId="5AF5907E" w14:textId="77777777" w:rsidR="002F6C3E" w:rsidRPr="002F6C3E" w:rsidRDefault="002F6C3E" w:rsidP="00474CD7">
            <w:pPr>
              <w:jc w:val="left"/>
              <w:rPr>
                <w:rFonts w:eastAsia="Calibri"/>
                <w:i/>
                <w:iCs/>
              </w:rPr>
            </w:pPr>
            <w:r w:rsidRPr="002F6C3E">
              <w:rPr>
                <w:rFonts w:eastAsia="Times New Roman"/>
                <w:color w:val="000000"/>
                <w:lang w:eastAsia="en-AU"/>
              </w:rPr>
              <w:t>&gt;145 rating against governance checklist</w:t>
            </w:r>
          </w:p>
        </w:tc>
      </w:tr>
      <w:tr w:rsidR="002F6C3E" w:rsidRPr="002F6C3E" w14:paraId="75EF48AB" w14:textId="77777777" w:rsidTr="00474CD7">
        <w:trPr>
          <w:trHeight w:val="300"/>
        </w:trPr>
        <w:tc>
          <w:tcPr>
            <w:tcW w:w="2057" w:type="dxa"/>
            <w:vMerge/>
            <w:shd w:val="clear" w:color="auto" w:fill="FFD966"/>
            <w:noWrap/>
            <w:vAlign w:val="center"/>
          </w:tcPr>
          <w:p w14:paraId="54CFD212" w14:textId="77777777" w:rsidR="002F6C3E" w:rsidRPr="002F6C3E" w:rsidRDefault="002F6C3E" w:rsidP="00474CD7">
            <w:pPr>
              <w:jc w:val="center"/>
              <w:rPr>
                <w:rFonts w:eastAsia="Times New Roman"/>
                <w:b/>
                <w:color w:val="000000"/>
                <w:lang w:eastAsia="en-AU"/>
              </w:rPr>
            </w:pPr>
            <w:bookmarkStart w:id="51" w:name="_Hlk536629198"/>
          </w:p>
        </w:tc>
        <w:tc>
          <w:tcPr>
            <w:tcW w:w="7577" w:type="dxa"/>
            <w:shd w:val="clear" w:color="auto" w:fill="E7E6E6"/>
            <w:noWrap/>
            <w:vAlign w:val="center"/>
          </w:tcPr>
          <w:p w14:paraId="43BAF254" w14:textId="77777777" w:rsidR="002F6C3E" w:rsidRPr="002F6C3E" w:rsidRDefault="002F6C3E" w:rsidP="00474CD7">
            <w:pPr>
              <w:jc w:val="left"/>
              <w:rPr>
                <w:rFonts w:eastAsia="Calibri"/>
                <w:i/>
                <w:iCs/>
              </w:rPr>
            </w:pPr>
            <w:r w:rsidRPr="002F6C3E">
              <w:rPr>
                <w:rFonts w:eastAsia="Calibri"/>
                <w:i/>
                <w:iCs/>
              </w:rPr>
              <w:t>Policy:</w:t>
            </w:r>
          </w:p>
        </w:tc>
      </w:tr>
      <w:tr w:rsidR="002F6C3E" w:rsidRPr="002F6C3E" w14:paraId="551DE757" w14:textId="77777777" w:rsidTr="00474CD7">
        <w:trPr>
          <w:trHeight w:val="300"/>
        </w:trPr>
        <w:tc>
          <w:tcPr>
            <w:tcW w:w="2057" w:type="dxa"/>
            <w:vMerge/>
            <w:shd w:val="clear" w:color="auto" w:fill="FFD966"/>
            <w:noWrap/>
            <w:vAlign w:val="center"/>
          </w:tcPr>
          <w:p w14:paraId="77C3C540" w14:textId="77777777" w:rsidR="002F6C3E" w:rsidRPr="002F6C3E" w:rsidRDefault="002F6C3E" w:rsidP="00474CD7">
            <w:pPr>
              <w:jc w:val="center"/>
              <w:rPr>
                <w:rFonts w:eastAsia="Times New Roman"/>
                <w:b/>
                <w:color w:val="000000"/>
                <w:lang w:eastAsia="en-AU"/>
              </w:rPr>
            </w:pPr>
          </w:p>
        </w:tc>
        <w:tc>
          <w:tcPr>
            <w:tcW w:w="7577" w:type="dxa"/>
            <w:shd w:val="clear" w:color="auto" w:fill="auto"/>
            <w:noWrap/>
            <w:vAlign w:val="center"/>
          </w:tcPr>
          <w:p w14:paraId="2C730F47" w14:textId="77777777" w:rsidR="002F6C3E" w:rsidRPr="002F6C3E" w:rsidRDefault="002F6C3E" w:rsidP="00474CD7">
            <w:pPr>
              <w:jc w:val="left"/>
              <w:rPr>
                <w:rFonts w:eastAsia="Calibri"/>
                <w:iCs/>
              </w:rPr>
            </w:pPr>
            <w:r w:rsidRPr="002F6C3E">
              <w:rPr>
                <w:rFonts w:eastAsia="Calibri"/>
                <w:iCs/>
              </w:rPr>
              <w:t>Developed and implemented Policy Framework – (All 7 policies -Member Protection, Alcohol, Drugs in Sport, Sports Betting, Match Fixing, Privacy, Inclusion)</w:t>
            </w:r>
          </w:p>
        </w:tc>
      </w:tr>
      <w:tr w:rsidR="002F6C3E" w:rsidRPr="002F6C3E" w14:paraId="3850A5B2" w14:textId="77777777" w:rsidTr="00474CD7">
        <w:trPr>
          <w:trHeight w:val="300"/>
        </w:trPr>
        <w:tc>
          <w:tcPr>
            <w:tcW w:w="2057" w:type="dxa"/>
            <w:vMerge/>
            <w:shd w:val="clear" w:color="auto" w:fill="FFD966"/>
            <w:noWrap/>
            <w:vAlign w:val="center"/>
          </w:tcPr>
          <w:p w14:paraId="7740D88F" w14:textId="77777777" w:rsidR="002F6C3E" w:rsidRPr="002F6C3E" w:rsidRDefault="002F6C3E" w:rsidP="00474CD7">
            <w:pPr>
              <w:jc w:val="center"/>
              <w:rPr>
                <w:rFonts w:eastAsia="Times New Roman"/>
                <w:b/>
                <w:color w:val="000000"/>
                <w:lang w:eastAsia="en-AU"/>
              </w:rPr>
            </w:pPr>
          </w:p>
        </w:tc>
        <w:tc>
          <w:tcPr>
            <w:tcW w:w="7577" w:type="dxa"/>
            <w:shd w:val="clear" w:color="auto" w:fill="E7E6E6"/>
            <w:noWrap/>
            <w:vAlign w:val="center"/>
          </w:tcPr>
          <w:p w14:paraId="0DC0CBA1" w14:textId="2AB4F0D9" w:rsidR="002F6C3E" w:rsidRPr="002F6C3E" w:rsidRDefault="002F6C3E" w:rsidP="00474CD7">
            <w:pPr>
              <w:jc w:val="left"/>
              <w:rPr>
                <w:rFonts w:eastAsia="Times New Roman"/>
                <w:i/>
                <w:iCs/>
                <w:color w:val="000000"/>
                <w:lang w:eastAsia="en-AU"/>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r w:rsidR="00474CD7">
              <w:rPr>
                <w:rStyle w:val="FootnoteReference"/>
                <w:rFonts w:eastAsia="Calibri"/>
                <w:i/>
                <w:iCs/>
              </w:rPr>
              <w:footnoteReference w:id="10"/>
            </w:r>
          </w:p>
        </w:tc>
      </w:tr>
      <w:tr w:rsidR="002F6C3E" w:rsidRPr="002F6C3E" w14:paraId="50AC651E" w14:textId="77777777" w:rsidTr="00474CD7">
        <w:trPr>
          <w:trHeight w:val="300"/>
        </w:trPr>
        <w:tc>
          <w:tcPr>
            <w:tcW w:w="2057" w:type="dxa"/>
            <w:vMerge/>
            <w:shd w:val="clear" w:color="auto" w:fill="FFD966"/>
            <w:noWrap/>
            <w:vAlign w:val="center"/>
          </w:tcPr>
          <w:p w14:paraId="08F17F13" w14:textId="77777777" w:rsidR="002F6C3E" w:rsidRPr="002F6C3E" w:rsidRDefault="002F6C3E" w:rsidP="00474CD7">
            <w:pPr>
              <w:jc w:val="center"/>
              <w:rPr>
                <w:rFonts w:eastAsia="Times New Roman"/>
                <w:b/>
                <w:color w:val="000000"/>
                <w:lang w:eastAsia="en-AU"/>
              </w:rPr>
            </w:pPr>
          </w:p>
        </w:tc>
        <w:tc>
          <w:tcPr>
            <w:tcW w:w="7577" w:type="dxa"/>
            <w:shd w:val="clear" w:color="auto" w:fill="auto"/>
            <w:noWrap/>
            <w:vAlign w:val="center"/>
          </w:tcPr>
          <w:p w14:paraId="33A4B479" w14:textId="77777777" w:rsidR="002F6C3E" w:rsidRPr="002F6C3E" w:rsidRDefault="002F6C3E" w:rsidP="00474CD7">
            <w:pPr>
              <w:jc w:val="left"/>
              <w:rPr>
                <w:rFonts w:eastAsia="Times New Roman"/>
                <w:i/>
                <w:iCs/>
                <w:color w:val="000000"/>
                <w:lang w:eastAsia="en-AU"/>
              </w:rPr>
            </w:pPr>
            <w:r w:rsidRPr="002F6C3E">
              <w:rPr>
                <w:rFonts w:eastAsia="Calibri"/>
              </w:rPr>
              <w:t>Meets board gender target &gt;= 50% female</w:t>
            </w:r>
          </w:p>
        </w:tc>
      </w:tr>
      <w:tr w:rsidR="002F6C3E" w:rsidRPr="002F6C3E" w14:paraId="03B0B8FC" w14:textId="77777777" w:rsidTr="00474CD7">
        <w:trPr>
          <w:trHeight w:val="300"/>
        </w:trPr>
        <w:tc>
          <w:tcPr>
            <w:tcW w:w="2057" w:type="dxa"/>
            <w:vMerge/>
            <w:shd w:val="clear" w:color="auto" w:fill="FFD966"/>
            <w:noWrap/>
            <w:vAlign w:val="center"/>
          </w:tcPr>
          <w:p w14:paraId="00AFFD9A" w14:textId="77777777" w:rsidR="002F6C3E" w:rsidRPr="002F6C3E" w:rsidRDefault="002F6C3E" w:rsidP="00474CD7">
            <w:pPr>
              <w:jc w:val="center"/>
              <w:rPr>
                <w:rFonts w:eastAsia="Times New Roman"/>
                <w:b/>
                <w:color w:val="000000"/>
                <w:lang w:eastAsia="en-AU"/>
              </w:rPr>
            </w:pPr>
          </w:p>
        </w:tc>
        <w:tc>
          <w:tcPr>
            <w:tcW w:w="7577" w:type="dxa"/>
            <w:shd w:val="clear" w:color="auto" w:fill="auto"/>
            <w:noWrap/>
            <w:vAlign w:val="center"/>
          </w:tcPr>
          <w:p w14:paraId="7AA0BE48" w14:textId="77777777" w:rsidR="002F6C3E" w:rsidRPr="002F6C3E" w:rsidRDefault="002F6C3E" w:rsidP="00474CD7">
            <w:pPr>
              <w:jc w:val="left"/>
              <w:rPr>
                <w:rFonts w:eastAsia="Times New Roman"/>
                <w:i/>
                <w:iCs/>
                <w:color w:val="000000"/>
                <w:lang w:eastAsia="en-AU"/>
              </w:rPr>
            </w:pPr>
            <w:r w:rsidRPr="002F6C3E">
              <w:rPr>
                <w:rFonts w:eastAsia="Calibri"/>
              </w:rPr>
              <w:t>Below board gender target &lt; 50% female</w:t>
            </w:r>
          </w:p>
        </w:tc>
      </w:tr>
      <w:tr w:rsidR="002F6C3E" w:rsidRPr="002F6C3E" w14:paraId="56DD8B30" w14:textId="77777777" w:rsidTr="00474CD7">
        <w:trPr>
          <w:trHeight w:val="300"/>
        </w:trPr>
        <w:tc>
          <w:tcPr>
            <w:tcW w:w="2057" w:type="dxa"/>
            <w:vMerge/>
            <w:shd w:val="clear" w:color="auto" w:fill="FFD966"/>
            <w:noWrap/>
            <w:vAlign w:val="center"/>
          </w:tcPr>
          <w:p w14:paraId="2DB55F0F" w14:textId="77777777" w:rsidR="002F6C3E" w:rsidRPr="002F6C3E" w:rsidRDefault="002F6C3E" w:rsidP="00474CD7">
            <w:pPr>
              <w:jc w:val="center"/>
              <w:rPr>
                <w:rFonts w:eastAsia="Times New Roman"/>
                <w:b/>
                <w:color w:val="000000"/>
                <w:lang w:eastAsia="en-AU"/>
              </w:rPr>
            </w:pPr>
          </w:p>
        </w:tc>
        <w:tc>
          <w:tcPr>
            <w:tcW w:w="7577" w:type="dxa"/>
            <w:shd w:val="clear" w:color="auto" w:fill="auto"/>
            <w:noWrap/>
            <w:vAlign w:val="center"/>
          </w:tcPr>
          <w:p w14:paraId="220C8F2E" w14:textId="77777777" w:rsidR="002F6C3E" w:rsidRPr="002F6C3E" w:rsidRDefault="002F6C3E" w:rsidP="00474CD7">
            <w:pPr>
              <w:jc w:val="left"/>
              <w:rPr>
                <w:rFonts w:eastAsia="Times New Roman"/>
                <w:i/>
                <w:iCs/>
                <w:color w:val="000000"/>
                <w:lang w:eastAsia="en-AU"/>
              </w:rPr>
            </w:pPr>
            <w:r w:rsidRPr="002F6C3E">
              <w:rPr>
                <w:rFonts w:eastAsia="Calibri"/>
              </w:rPr>
              <w:t xml:space="preserve">No gender diversity on board </w:t>
            </w:r>
          </w:p>
        </w:tc>
      </w:tr>
      <w:bookmarkEnd w:id="51"/>
      <w:tr w:rsidR="002F6C3E" w:rsidRPr="002F6C3E" w14:paraId="15CE738A" w14:textId="77777777" w:rsidTr="00474CD7">
        <w:trPr>
          <w:trHeight w:val="300"/>
        </w:trPr>
        <w:tc>
          <w:tcPr>
            <w:tcW w:w="2057" w:type="dxa"/>
            <w:vMerge w:val="restart"/>
            <w:shd w:val="clear" w:color="auto" w:fill="FFD966"/>
            <w:noWrap/>
            <w:vAlign w:val="center"/>
          </w:tcPr>
          <w:p w14:paraId="0C31821D" w14:textId="77777777" w:rsidR="002F6C3E" w:rsidRPr="002F6C3E" w:rsidRDefault="002F6C3E" w:rsidP="00474CD7">
            <w:pPr>
              <w:jc w:val="center"/>
              <w:rPr>
                <w:rFonts w:eastAsia="Times New Roman"/>
                <w:b/>
                <w:color w:val="000000"/>
                <w:lang w:eastAsia="en-AU"/>
              </w:rPr>
            </w:pPr>
            <w:r w:rsidRPr="002F6C3E">
              <w:rPr>
                <w:rFonts w:eastAsia="Times New Roman"/>
                <w:b/>
                <w:color w:val="000000"/>
                <w:lang w:eastAsia="en-AU"/>
              </w:rPr>
              <w:t>Finance</w:t>
            </w:r>
          </w:p>
        </w:tc>
        <w:tc>
          <w:tcPr>
            <w:tcW w:w="7577" w:type="dxa"/>
            <w:shd w:val="clear" w:color="auto" w:fill="E7E6E6"/>
            <w:noWrap/>
            <w:vAlign w:val="center"/>
          </w:tcPr>
          <w:p w14:paraId="6259458F" w14:textId="77777777" w:rsidR="002F6C3E" w:rsidRPr="002F6C3E" w:rsidRDefault="002F6C3E" w:rsidP="00474CD7">
            <w:pPr>
              <w:jc w:val="left"/>
              <w:rPr>
                <w:rFonts w:eastAsia="Calibri"/>
                <w:i/>
              </w:rPr>
            </w:pPr>
            <w:r w:rsidRPr="002F6C3E">
              <w:rPr>
                <w:rFonts w:eastAsia="Calibri"/>
                <w:i/>
              </w:rPr>
              <w:t>Level of Maturity:</w:t>
            </w:r>
          </w:p>
        </w:tc>
      </w:tr>
      <w:tr w:rsidR="002F6C3E" w:rsidRPr="002F6C3E" w14:paraId="3D1FF186" w14:textId="77777777" w:rsidTr="00474CD7">
        <w:trPr>
          <w:trHeight w:val="300"/>
        </w:trPr>
        <w:tc>
          <w:tcPr>
            <w:tcW w:w="2057" w:type="dxa"/>
            <w:vMerge/>
            <w:shd w:val="clear" w:color="auto" w:fill="FFD966"/>
            <w:noWrap/>
            <w:vAlign w:val="center"/>
            <w:hideMark/>
          </w:tcPr>
          <w:p w14:paraId="2C3340E3" w14:textId="77777777" w:rsidR="002F6C3E" w:rsidRPr="002F6C3E" w:rsidRDefault="002F6C3E" w:rsidP="00474CD7">
            <w:pPr>
              <w:jc w:val="center"/>
              <w:rPr>
                <w:rFonts w:eastAsia="Times New Roman"/>
                <w:b/>
                <w:color w:val="000000"/>
                <w:lang w:eastAsia="en-AU"/>
              </w:rPr>
            </w:pPr>
          </w:p>
        </w:tc>
        <w:tc>
          <w:tcPr>
            <w:tcW w:w="7577" w:type="dxa"/>
            <w:noWrap/>
            <w:vAlign w:val="center"/>
            <w:hideMark/>
          </w:tcPr>
          <w:p w14:paraId="454D1071" w14:textId="77777777" w:rsidR="002F6C3E" w:rsidRPr="002F6C3E" w:rsidRDefault="002F6C3E" w:rsidP="00474CD7">
            <w:pPr>
              <w:jc w:val="left"/>
              <w:rPr>
                <w:rFonts w:eastAsia="Times New Roman"/>
                <w:color w:val="000000"/>
                <w:lang w:eastAsia="en-AU"/>
              </w:rPr>
            </w:pPr>
            <w:r w:rsidRPr="002F6C3E">
              <w:rPr>
                <w:rFonts w:eastAsia="Times New Roman"/>
                <w:color w:val="000000"/>
                <w:lang w:eastAsia="en-AU"/>
              </w:rPr>
              <w:t xml:space="preserve">Meets or exceeds financial criteria and has reached a level of organisational maturity and developed </w:t>
            </w:r>
            <w:proofErr w:type="gramStart"/>
            <w:r w:rsidRPr="002F6C3E">
              <w:rPr>
                <w:rFonts w:eastAsia="Times New Roman"/>
                <w:color w:val="000000"/>
                <w:lang w:eastAsia="en-AU"/>
              </w:rPr>
              <w:t>sufficient</w:t>
            </w:r>
            <w:proofErr w:type="gramEnd"/>
            <w:r w:rsidRPr="002F6C3E">
              <w:rPr>
                <w:rFonts w:eastAsia="Times New Roman"/>
                <w:color w:val="000000"/>
                <w:lang w:eastAsia="en-AU"/>
              </w:rPr>
              <w:t xml:space="preserve"> revenue streams to establish themselves as a viable ongoing concern.</w:t>
            </w:r>
          </w:p>
          <w:p w14:paraId="387C9FEF" w14:textId="77777777" w:rsidR="002F6C3E" w:rsidRPr="002F6C3E" w:rsidRDefault="002F6C3E" w:rsidP="00474CD7">
            <w:pPr>
              <w:numPr>
                <w:ilvl w:val="0"/>
                <w:numId w:val="18"/>
              </w:numPr>
              <w:jc w:val="left"/>
              <w:rPr>
                <w:rFonts w:eastAsia="Times New Roman"/>
                <w:color w:val="000000"/>
                <w:lang w:eastAsia="en-AU"/>
              </w:rPr>
            </w:pPr>
            <w:r w:rsidRPr="002F6C3E">
              <w:rPr>
                <w:rFonts w:eastAsia="Times New Roman"/>
                <w:color w:val="000000"/>
                <w:lang w:eastAsia="en-AU"/>
              </w:rPr>
              <w:t>Total revenue more than $15million (not including benevolent fundraising or donations)</w:t>
            </w:r>
          </w:p>
          <w:p w14:paraId="20106858" w14:textId="77777777" w:rsidR="002F6C3E" w:rsidRPr="002F6C3E" w:rsidRDefault="002F6C3E" w:rsidP="00474CD7">
            <w:pPr>
              <w:numPr>
                <w:ilvl w:val="0"/>
                <w:numId w:val="18"/>
              </w:numPr>
              <w:jc w:val="left"/>
              <w:rPr>
                <w:rFonts w:eastAsia="Calibri"/>
                <w:bCs/>
              </w:rPr>
            </w:pPr>
            <w:r w:rsidRPr="002F6C3E">
              <w:rPr>
                <w:rFonts w:eastAsia="Calibri"/>
              </w:rPr>
              <w:t>Funding from National Sporting Organisation more than 10% of total revenue</w:t>
            </w:r>
          </w:p>
          <w:p w14:paraId="307FCD9D" w14:textId="77777777" w:rsidR="002F6C3E" w:rsidRPr="002F6C3E" w:rsidRDefault="002F6C3E" w:rsidP="00474CD7">
            <w:pPr>
              <w:numPr>
                <w:ilvl w:val="0"/>
                <w:numId w:val="18"/>
              </w:numPr>
              <w:jc w:val="left"/>
              <w:rPr>
                <w:rFonts w:eastAsia="Calibri"/>
                <w:bCs/>
              </w:rPr>
            </w:pPr>
            <w:r w:rsidRPr="002F6C3E">
              <w:rPr>
                <w:rFonts w:eastAsia="Calibri"/>
              </w:rPr>
              <w:t>Industry Investment program funding being less than 2% of total revenue</w:t>
            </w:r>
          </w:p>
          <w:p w14:paraId="31FFCB1D" w14:textId="77777777" w:rsidR="002F6C3E" w:rsidRPr="002F6C3E" w:rsidRDefault="002F6C3E" w:rsidP="00474CD7">
            <w:pPr>
              <w:numPr>
                <w:ilvl w:val="0"/>
                <w:numId w:val="18"/>
              </w:numPr>
              <w:jc w:val="left"/>
              <w:rPr>
                <w:rFonts w:eastAsia="Calibri"/>
                <w:bCs/>
              </w:rPr>
            </w:pPr>
            <w:r w:rsidRPr="002F6C3E">
              <w:rPr>
                <w:rFonts w:eastAsia="Calibri"/>
              </w:rPr>
              <w:t>Accumulated funds / equity more than $10,000,000</w:t>
            </w:r>
          </w:p>
        </w:tc>
      </w:tr>
      <w:tr w:rsidR="002F6C3E" w:rsidRPr="002F6C3E" w14:paraId="751892E1" w14:textId="77777777" w:rsidTr="00474CD7">
        <w:trPr>
          <w:trHeight w:val="300"/>
        </w:trPr>
        <w:tc>
          <w:tcPr>
            <w:tcW w:w="2057" w:type="dxa"/>
            <w:vMerge w:val="restart"/>
            <w:shd w:val="clear" w:color="auto" w:fill="FFD966"/>
            <w:noWrap/>
            <w:vAlign w:val="center"/>
            <w:hideMark/>
          </w:tcPr>
          <w:p w14:paraId="0D81814B" w14:textId="77777777" w:rsidR="002F6C3E" w:rsidRPr="002F6C3E" w:rsidRDefault="002F6C3E" w:rsidP="00474CD7">
            <w:pPr>
              <w:jc w:val="center"/>
              <w:rPr>
                <w:rFonts w:eastAsia="Times New Roman"/>
                <w:b/>
                <w:color w:val="000000"/>
                <w:lang w:eastAsia="en-AU"/>
              </w:rPr>
            </w:pPr>
            <w:r w:rsidRPr="002F6C3E">
              <w:rPr>
                <w:rFonts w:eastAsia="Times New Roman"/>
                <w:b/>
                <w:color w:val="000000"/>
                <w:lang w:eastAsia="en-AU"/>
              </w:rPr>
              <w:t>Planning</w:t>
            </w:r>
          </w:p>
        </w:tc>
        <w:tc>
          <w:tcPr>
            <w:tcW w:w="7577" w:type="dxa"/>
            <w:shd w:val="clear" w:color="auto" w:fill="E7E6E6"/>
            <w:noWrap/>
            <w:vAlign w:val="center"/>
            <w:hideMark/>
          </w:tcPr>
          <w:p w14:paraId="3C49C508" w14:textId="77777777" w:rsidR="002F6C3E" w:rsidRPr="002F6C3E" w:rsidRDefault="002F6C3E" w:rsidP="00474CD7">
            <w:pPr>
              <w:jc w:val="left"/>
              <w:rPr>
                <w:rFonts w:eastAsia="Times New Roman"/>
                <w:i/>
                <w:iCs/>
                <w:color w:val="000000"/>
                <w:lang w:eastAsia="en-AU"/>
              </w:rPr>
            </w:pPr>
            <w:r w:rsidRPr="002F6C3E">
              <w:rPr>
                <w:rFonts w:eastAsia="Times New Roman"/>
                <w:i/>
                <w:iCs/>
                <w:color w:val="000000"/>
                <w:lang w:eastAsia="en-AU"/>
              </w:rPr>
              <w:t xml:space="preserve"> </w:t>
            </w:r>
            <w:r w:rsidRPr="002F6C3E">
              <w:rPr>
                <w:rFonts w:eastAsia="Times New Roman"/>
                <w:i/>
                <w:iCs/>
                <w:color w:val="000000"/>
                <w:shd w:val="clear" w:color="auto" w:fill="E7E6E6"/>
                <w:lang w:eastAsia="en-AU"/>
              </w:rPr>
              <w:t>Strong planning culture:</w:t>
            </w:r>
          </w:p>
        </w:tc>
      </w:tr>
      <w:tr w:rsidR="002F6C3E" w:rsidRPr="002F6C3E" w14:paraId="751BFACC" w14:textId="77777777" w:rsidTr="00474CD7">
        <w:trPr>
          <w:trHeight w:val="300"/>
        </w:trPr>
        <w:tc>
          <w:tcPr>
            <w:tcW w:w="2057" w:type="dxa"/>
            <w:vMerge/>
            <w:shd w:val="clear" w:color="auto" w:fill="FFD966"/>
            <w:noWrap/>
            <w:hideMark/>
          </w:tcPr>
          <w:p w14:paraId="4AC7ACCF" w14:textId="77777777" w:rsidR="002F6C3E" w:rsidRPr="002F6C3E" w:rsidRDefault="002F6C3E" w:rsidP="00474CD7">
            <w:pPr>
              <w:jc w:val="left"/>
              <w:rPr>
                <w:rFonts w:eastAsia="Times New Roman"/>
                <w:color w:val="000000"/>
                <w:lang w:eastAsia="en-AU"/>
              </w:rPr>
            </w:pPr>
          </w:p>
        </w:tc>
        <w:tc>
          <w:tcPr>
            <w:tcW w:w="7577" w:type="dxa"/>
            <w:noWrap/>
            <w:vAlign w:val="center"/>
            <w:hideMark/>
          </w:tcPr>
          <w:p w14:paraId="693D70C4" w14:textId="77777777" w:rsidR="002F6C3E" w:rsidRPr="002F6C3E" w:rsidRDefault="002F6C3E" w:rsidP="00474CD7">
            <w:pPr>
              <w:jc w:val="left"/>
              <w:rPr>
                <w:rFonts w:eastAsia="Times New Roman"/>
                <w:color w:val="000000"/>
                <w:lang w:eastAsia="en-AU"/>
              </w:rPr>
            </w:pPr>
            <w:r w:rsidRPr="002F6C3E">
              <w:rPr>
                <w:rFonts w:eastAsia="Times New Roman"/>
                <w:color w:val="000000"/>
                <w:lang w:eastAsia="en-AU"/>
              </w:rPr>
              <w:t>3-5-year strategic plan supported by a financial and resourcing plan</w:t>
            </w:r>
          </w:p>
        </w:tc>
      </w:tr>
      <w:tr w:rsidR="002F6C3E" w:rsidRPr="002F6C3E" w14:paraId="138380BF" w14:textId="77777777" w:rsidTr="00474CD7">
        <w:trPr>
          <w:trHeight w:val="300"/>
        </w:trPr>
        <w:tc>
          <w:tcPr>
            <w:tcW w:w="2057" w:type="dxa"/>
            <w:vMerge/>
            <w:shd w:val="clear" w:color="auto" w:fill="FFD966"/>
            <w:noWrap/>
            <w:hideMark/>
          </w:tcPr>
          <w:p w14:paraId="4D715E04" w14:textId="77777777" w:rsidR="002F6C3E" w:rsidRPr="002F6C3E" w:rsidRDefault="002F6C3E" w:rsidP="00474CD7">
            <w:pPr>
              <w:jc w:val="left"/>
              <w:rPr>
                <w:rFonts w:eastAsia="Times New Roman"/>
                <w:color w:val="000000"/>
                <w:lang w:eastAsia="en-AU"/>
              </w:rPr>
            </w:pPr>
          </w:p>
        </w:tc>
        <w:tc>
          <w:tcPr>
            <w:tcW w:w="7577" w:type="dxa"/>
            <w:noWrap/>
            <w:vAlign w:val="center"/>
            <w:hideMark/>
          </w:tcPr>
          <w:p w14:paraId="1130ADAD" w14:textId="77777777" w:rsidR="002F6C3E" w:rsidRPr="002F6C3E" w:rsidRDefault="002F6C3E" w:rsidP="00474CD7">
            <w:pPr>
              <w:jc w:val="left"/>
              <w:rPr>
                <w:rFonts w:eastAsia="Times New Roman"/>
                <w:color w:val="000000"/>
                <w:lang w:eastAsia="en-AU"/>
              </w:rPr>
            </w:pPr>
            <w:r w:rsidRPr="002F6C3E">
              <w:rPr>
                <w:rFonts w:eastAsia="Times New Roman"/>
                <w:color w:val="000000"/>
                <w:lang w:eastAsia="en-AU"/>
              </w:rPr>
              <w:t>Annual operational plan</w:t>
            </w:r>
          </w:p>
        </w:tc>
      </w:tr>
      <w:tr w:rsidR="002F6C3E" w:rsidRPr="002F6C3E" w14:paraId="1873764C" w14:textId="77777777" w:rsidTr="00474CD7">
        <w:trPr>
          <w:trHeight w:val="300"/>
        </w:trPr>
        <w:tc>
          <w:tcPr>
            <w:tcW w:w="2057" w:type="dxa"/>
            <w:vMerge/>
            <w:shd w:val="clear" w:color="auto" w:fill="FFD966"/>
            <w:noWrap/>
            <w:hideMark/>
          </w:tcPr>
          <w:p w14:paraId="36EECA06" w14:textId="77777777" w:rsidR="002F6C3E" w:rsidRPr="002F6C3E" w:rsidRDefault="002F6C3E" w:rsidP="00474CD7">
            <w:pPr>
              <w:jc w:val="left"/>
              <w:rPr>
                <w:rFonts w:eastAsia="Times New Roman"/>
                <w:color w:val="000000"/>
                <w:lang w:eastAsia="en-AU"/>
              </w:rPr>
            </w:pPr>
          </w:p>
        </w:tc>
        <w:tc>
          <w:tcPr>
            <w:tcW w:w="7577" w:type="dxa"/>
            <w:noWrap/>
            <w:vAlign w:val="center"/>
            <w:hideMark/>
          </w:tcPr>
          <w:p w14:paraId="01C90939" w14:textId="77777777" w:rsidR="002F6C3E" w:rsidRPr="002F6C3E" w:rsidRDefault="002F6C3E" w:rsidP="00474CD7">
            <w:pPr>
              <w:jc w:val="left"/>
              <w:rPr>
                <w:rFonts w:eastAsia="Times New Roman"/>
                <w:color w:val="000000"/>
                <w:lang w:eastAsia="en-AU"/>
              </w:rPr>
            </w:pPr>
            <w:r w:rsidRPr="002F6C3E">
              <w:rPr>
                <w:rFonts w:eastAsia="Times New Roman"/>
                <w:color w:val="000000"/>
                <w:lang w:eastAsia="en-AU"/>
              </w:rPr>
              <w:t>Annual budget</w:t>
            </w:r>
          </w:p>
        </w:tc>
      </w:tr>
      <w:tr w:rsidR="002F6C3E" w:rsidRPr="002F6C3E" w14:paraId="2ED518F1" w14:textId="77777777" w:rsidTr="00474CD7">
        <w:trPr>
          <w:trHeight w:val="300"/>
        </w:trPr>
        <w:tc>
          <w:tcPr>
            <w:tcW w:w="2057" w:type="dxa"/>
            <w:vMerge/>
            <w:shd w:val="clear" w:color="auto" w:fill="FFD966"/>
            <w:noWrap/>
            <w:hideMark/>
          </w:tcPr>
          <w:p w14:paraId="208E09FF" w14:textId="77777777" w:rsidR="002F6C3E" w:rsidRPr="002F6C3E" w:rsidRDefault="002F6C3E" w:rsidP="00474CD7">
            <w:pPr>
              <w:jc w:val="left"/>
              <w:rPr>
                <w:rFonts w:eastAsia="Times New Roman"/>
                <w:color w:val="000000"/>
                <w:lang w:eastAsia="en-AU"/>
              </w:rPr>
            </w:pPr>
          </w:p>
        </w:tc>
        <w:tc>
          <w:tcPr>
            <w:tcW w:w="7577" w:type="dxa"/>
            <w:noWrap/>
            <w:vAlign w:val="center"/>
            <w:hideMark/>
          </w:tcPr>
          <w:p w14:paraId="04223197" w14:textId="77777777" w:rsidR="002F6C3E" w:rsidRPr="002F6C3E" w:rsidRDefault="002F6C3E" w:rsidP="00474CD7">
            <w:pPr>
              <w:jc w:val="left"/>
              <w:rPr>
                <w:rFonts w:eastAsia="Times New Roman"/>
                <w:color w:val="000000"/>
                <w:lang w:eastAsia="en-AU"/>
              </w:rPr>
            </w:pPr>
            <w:r w:rsidRPr="002F6C3E">
              <w:rPr>
                <w:rFonts w:eastAsia="Times New Roman"/>
                <w:color w:val="000000"/>
                <w:lang w:eastAsia="en-AU"/>
              </w:rPr>
              <w:t xml:space="preserve">Risk Management Framework </w:t>
            </w:r>
          </w:p>
        </w:tc>
      </w:tr>
      <w:tr w:rsidR="002F6C3E" w:rsidRPr="002F6C3E" w14:paraId="460D338D" w14:textId="77777777" w:rsidTr="00474CD7">
        <w:trPr>
          <w:trHeight w:val="300"/>
        </w:trPr>
        <w:tc>
          <w:tcPr>
            <w:tcW w:w="2057" w:type="dxa"/>
            <w:vMerge/>
            <w:shd w:val="clear" w:color="auto" w:fill="FFD966"/>
            <w:noWrap/>
          </w:tcPr>
          <w:p w14:paraId="402A9A09" w14:textId="77777777" w:rsidR="002F6C3E" w:rsidRPr="002F6C3E" w:rsidRDefault="002F6C3E" w:rsidP="00474CD7">
            <w:pPr>
              <w:jc w:val="left"/>
              <w:rPr>
                <w:rFonts w:eastAsia="Times New Roman"/>
                <w:color w:val="000000"/>
                <w:lang w:eastAsia="en-AU"/>
              </w:rPr>
            </w:pPr>
          </w:p>
        </w:tc>
        <w:tc>
          <w:tcPr>
            <w:tcW w:w="7577" w:type="dxa"/>
            <w:noWrap/>
            <w:vAlign w:val="center"/>
          </w:tcPr>
          <w:p w14:paraId="3D6425DC" w14:textId="77777777" w:rsidR="002F6C3E" w:rsidRPr="002F6C3E" w:rsidRDefault="002F6C3E" w:rsidP="00474CD7">
            <w:pPr>
              <w:jc w:val="left"/>
              <w:rPr>
                <w:rFonts w:eastAsia="Times New Roman"/>
                <w:color w:val="000000"/>
                <w:lang w:eastAsia="en-AU"/>
              </w:rPr>
            </w:pPr>
            <w:r w:rsidRPr="002F6C3E">
              <w:rPr>
                <w:rFonts w:eastAsia="Times New Roman"/>
                <w:color w:val="000000"/>
                <w:lang w:eastAsia="en-AU"/>
              </w:rPr>
              <w:t>Asset Management Plan</w:t>
            </w:r>
          </w:p>
        </w:tc>
      </w:tr>
    </w:tbl>
    <w:p w14:paraId="4C0D70BA" w14:textId="77777777" w:rsidR="002F6C3E" w:rsidRDefault="002F6C3E" w:rsidP="002F6C3E">
      <w:pPr>
        <w:spacing w:after="160" w:line="259" w:lineRule="auto"/>
        <w:jc w:val="left"/>
        <w:rPr>
          <w:rFonts w:eastAsia="Calibri"/>
        </w:rPr>
      </w:pPr>
    </w:p>
    <w:p w14:paraId="14CBC1FE" w14:textId="77777777" w:rsidR="002F6C3E" w:rsidRPr="002F6C3E" w:rsidRDefault="002F6C3E" w:rsidP="002F6C3E">
      <w:pPr>
        <w:spacing w:after="160" w:line="259" w:lineRule="auto"/>
        <w:jc w:val="left"/>
        <w:rPr>
          <w:rFonts w:eastAsia="Calibri"/>
        </w:rPr>
      </w:pPr>
    </w:p>
    <w:tbl>
      <w:tblPr>
        <w:tblStyle w:val="TableGrid1"/>
        <w:tblW w:w="9945" w:type="dxa"/>
        <w:tblLook w:val="04A0" w:firstRow="1" w:lastRow="0" w:firstColumn="1" w:lastColumn="0" w:noHBand="0" w:noVBand="1"/>
      </w:tblPr>
      <w:tblGrid>
        <w:gridCol w:w="2368"/>
        <w:gridCol w:w="7577"/>
      </w:tblGrid>
      <w:tr w:rsidR="002F6C3E" w:rsidRPr="002F6C3E" w14:paraId="458E1CB9" w14:textId="77777777" w:rsidTr="002F6C3E">
        <w:trPr>
          <w:trHeight w:val="600"/>
        </w:trPr>
        <w:tc>
          <w:tcPr>
            <w:tcW w:w="9945" w:type="dxa"/>
            <w:gridSpan w:val="2"/>
            <w:shd w:val="clear" w:color="auto" w:fill="FFF2CC"/>
            <w:noWrap/>
            <w:vAlign w:val="center"/>
            <w:hideMark/>
          </w:tcPr>
          <w:p w14:paraId="67DDDDAD" w14:textId="77777777" w:rsidR="002F6C3E" w:rsidRPr="002F6C3E" w:rsidRDefault="002F6C3E" w:rsidP="002F6C3E">
            <w:pPr>
              <w:jc w:val="center"/>
              <w:rPr>
                <w:rFonts w:eastAsia="Times New Roman"/>
                <w:b/>
                <w:bCs/>
                <w:color w:val="000000"/>
                <w:lang w:eastAsia="en-AU"/>
              </w:rPr>
            </w:pPr>
            <w:r w:rsidRPr="002F6C3E">
              <w:rPr>
                <w:rFonts w:eastAsia="Times New Roman"/>
                <w:b/>
                <w:bCs/>
                <w:color w:val="000000"/>
                <w:lang w:eastAsia="en-AU"/>
              </w:rPr>
              <w:lastRenderedPageBreak/>
              <w:t>Category A</w:t>
            </w:r>
          </w:p>
        </w:tc>
      </w:tr>
      <w:tr w:rsidR="002F6C3E" w:rsidRPr="002F6C3E" w14:paraId="1A238D66" w14:textId="77777777" w:rsidTr="002F6C3E">
        <w:trPr>
          <w:trHeight w:val="300"/>
        </w:trPr>
        <w:tc>
          <w:tcPr>
            <w:tcW w:w="2368" w:type="dxa"/>
            <w:vMerge w:val="restart"/>
            <w:shd w:val="clear" w:color="auto" w:fill="FFD966"/>
            <w:noWrap/>
            <w:vAlign w:val="center"/>
            <w:hideMark/>
          </w:tcPr>
          <w:p w14:paraId="77F0CE1B"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Participation/ Membership</w:t>
            </w:r>
          </w:p>
        </w:tc>
        <w:tc>
          <w:tcPr>
            <w:tcW w:w="7577" w:type="dxa"/>
            <w:noWrap/>
            <w:vAlign w:val="center"/>
            <w:hideMark/>
          </w:tcPr>
          <w:p w14:paraId="6C1FC70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Large participation base &gt;60,000</w:t>
            </w:r>
          </w:p>
        </w:tc>
      </w:tr>
      <w:tr w:rsidR="002F6C3E" w:rsidRPr="002F6C3E" w14:paraId="638EE566" w14:textId="77777777" w:rsidTr="002F6C3E">
        <w:trPr>
          <w:trHeight w:val="300"/>
        </w:trPr>
        <w:tc>
          <w:tcPr>
            <w:tcW w:w="2368" w:type="dxa"/>
            <w:vMerge/>
            <w:shd w:val="clear" w:color="auto" w:fill="FFD966"/>
            <w:noWrap/>
            <w:vAlign w:val="center"/>
            <w:hideMark/>
          </w:tcPr>
          <w:p w14:paraId="60F42F89"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12D07E6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Large membership &gt;40,000</w:t>
            </w:r>
          </w:p>
        </w:tc>
      </w:tr>
      <w:tr w:rsidR="002F6C3E" w:rsidRPr="002F6C3E" w14:paraId="413C7B79" w14:textId="77777777" w:rsidTr="002F6C3E">
        <w:trPr>
          <w:trHeight w:val="300"/>
        </w:trPr>
        <w:tc>
          <w:tcPr>
            <w:tcW w:w="2368" w:type="dxa"/>
            <w:vMerge w:val="restart"/>
            <w:shd w:val="clear" w:color="auto" w:fill="FFD966"/>
            <w:noWrap/>
            <w:vAlign w:val="center"/>
            <w:hideMark/>
          </w:tcPr>
          <w:p w14:paraId="7C037708"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High performance / Pathways</w:t>
            </w:r>
          </w:p>
        </w:tc>
        <w:tc>
          <w:tcPr>
            <w:tcW w:w="7577" w:type="dxa"/>
            <w:shd w:val="clear" w:color="auto" w:fill="E7E6E6"/>
            <w:noWrap/>
            <w:vAlign w:val="center"/>
            <w:hideMark/>
          </w:tcPr>
          <w:p w14:paraId="2BFA6D36"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Significant talent development pathways:</w:t>
            </w:r>
          </w:p>
        </w:tc>
      </w:tr>
      <w:tr w:rsidR="002F6C3E" w:rsidRPr="002F6C3E" w14:paraId="6F57AF54" w14:textId="77777777" w:rsidTr="002F6C3E">
        <w:trPr>
          <w:trHeight w:val="300"/>
        </w:trPr>
        <w:tc>
          <w:tcPr>
            <w:tcW w:w="2368" w:type="dxa"/>
            <w:vMerge/>
            <w:shd w:val="clear" w:color="auto" w:fill="FFD966"/>
            <w:noWrap/>
            <w:vAlign w:val="center"/>
            <w:hideMark/>
          </w:tcPr>
          <w:p w14:paraId="4859960A"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2FDDE99B"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WAIS/ winning edge</w:t>
            </w:r>
          </w:p>
        </w:tc>
      </w:tr>
      <w:tr w:rsidR="002F6C3E" w:rsidRPr="002F6C3E" w14:paraId="3DD15EA7" w14:textId="77777777" w:rsidTr="002F6C3E">
        <w:trPr>
          <w:trHeight w:val="300"/>
        </w:trPr>
        <w:tc>
          <w:tcPr>
            <w:tcW w:w="2368" w:type="dxa"/>
            <w:vMerge/>
            <w:shd w:val="clear" w:color="auto" w:fill="FFD966"/>
            <w:noWrap/>
            <w:vAlign w:val="center"/>
            <w:hideMark/>
          </w:tcPr>
          <w:p w14:paraId="11EE296C"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78B7CA1B"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Olympic/Paralympic/CTH/World Championships</w:t>
            </w:r>
          </w:p>
        </w:tc>
      </w:tr>
      <w:tr w:rsidR="002F6C3E" w:rsidRPr="002F6C3E" w14:paraId="322053E0" w14:textId="77777777" w:rsidTr="002F6C3E">
        <w:trPr>
          <w:trHeight w:val="300"/>
        </w:trPr>
        <w:tc>
          <w:tcPr>
            <w:tcW w:w="2368" w:type="dxa"/>
            <w:vMerge/>
            <w:shd w:val="clear" w:color="auto" w:fill="FFD966"/>
            <w:noWrap/>
            <w:vAlign w:val="center"/>
            <w:hideMark/>
          </w:tcPr>
          <w:p w14:paraId="2428F56D"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525C186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International Major event hosting </w:t>
            </w:r>
          </w:p>
        </w:tc>
      </w:tr>
      <w:tr w:rsidR="002F6C3E" w:rsidRPr="002F6C3E" w14:paraId="6B66DCAF" w14:textId="77777777" w:rsidTr="002F6C3E">
        <w:trPr>
          <w:trHeight w:val="300"/>
        </w:trPr>
        <w:tc>
          <w:tcPr>
            <w:tcW w:w="2368" w:type="dxa"/>
            <w:vMerge/>
            <w:shd w:val="clear" w:color="auto" w:fill="FFD966"/>
            <w:noWrap/>
            <w:vAlign w:val="center"/>
            <w:hideMark/>
          </w:tcPr>
          <w:p w14:paraId="1D3E7DE9"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01711CB4"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championships participation – open AND junior</w:t>
            </w:r>
          </w:p>
        </w:tc>
      </w:tr>
      <w:tr w:rsidR="002F6C3E" w:rsidRPr="002F6C3E" w14:paraId="19886E3C" w14:textId="77777777" w:rsidTr="002F6C3E">
        <w:trPr>
          <w:trHeight w:val="300"/>
        </w:trPr>
        <w:tc>
          <w:tcPr>
            <w:tcW w:w="2368" w:type="dxa"/>
            <w:vMerge/>
            <w:shd w:val="clear" w:color="auto" w:fill="FFD966"/>
            <w:noWrap/>
            <w:vAlign w:val="center"/>
            <w:hideMark/>
          </w:tcPr>
          <w:p w14:paraId="642D27B9"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3359DD38"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(open)</w:t>
            </w:r>
          </w:p>
        </w:tc>
      </w:tr>
      <w:tr w:rsidR="002F6C3E" w:rsidRPr="002F6C3E" w14:paraId="54ED43FF" w14:textId="77777777" w:rsidTr="002F6C3E">
        <w:trPr>
          <w:trHeight w:val="300"/>
        </w:trPr>
        <w:tc>
          <w:tcPr>
            <w:tcW w:w="2368" w:type="dxa"/>
            <w:vMerge/>
            <w:shd w:val="clear" w:color="auto" w:fill="FFD966"/>
            <w:noWrap/>
            <w:vAlign w:val="center"/>
            <w:hideMark/>
          </w:tcPr>
          <w:p w14:paraId="21F9B2D0"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034DA63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(juniors)</w:t>
            </w:r>
          </w:p>
        </w:tc>
      </w:tr>
      <w:tr w:rsidR="002F6C3E" w:rsidRPr="002F6C3E" w14:paraId="30DDF0B3" w14:textId="77777777" w:rsidTr="002F6C3E">
        <w:trPr>
          <w:trHeight w:val="300"/>
        </w:trPr>
        <w:tc>
          <w:tcPr>
            <w:tcW w:w="2368" w:type="dxa"/>
            <w:vMerge/>
            <w:shd w:val="clear" w:color="auto" w:fill="FFD966"/>
            <w:noWrap/>
            <w:vAlign w:val="center"/>
            <w:hideMark/>
          </w:tcPr>
          <w:p w14:paraId="2D566F32"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67F4AEA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Junior and senior base</w:t>
            </w:r>
          </w:p>
        </w:tc>
      </w:tr>
      <w:tr w:rsidR="002F6C3E" w:rsidRPr="002F6C3E" w14:paraId="2D4A8A99" w14:textId="77777777" w:rsidTr="002F6C3E">
        <w:trPr>
          <w:trHeight w:val="300"/>
        </w:trPr>
        <w:tc>
          <w:tcPr>
            <w:tcW w:w="2368" w:type="dxa"/>
            <w:vMerge/>
            <w:shd w:val="clear" w:color="auto" w:fill="FFD966"/>
            <w:noWrap/>
            <w:vAlign w:val="center"/>
            <w:hideMark/>
          </w:tcPr>
          <w:p w14:paraId="4D67D24D"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22FBB48F"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Coach/official</w:t>
            </w:r>
          </w:p>
        </w:tc>
      </w:tr>
      <w:tr w:rsidR="002F6C3E" w:rsidRPr="002F6C3E" w14:paraId="69479CB8" w14:textId="77777777" w:rsidTr="002F6C3E">
        <w:trPr>
          <w:trHeight w:val="300"/>
        </w:trPr>
        <w:tc>
          <w:tcPr>
            <w:tcW w:w="2368" w:type="dxa"/>
            <w:shd w:val="clear" w:color="auto" w:fill="FFD966"/>
            <w:noWrap/>
            <w:vAlign w:val="center"/>
          </w:tcPr>
          <w:p w14:paraId="1FB3CF59"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Regional</w:t>
            </w:r>
          </w:p>
        </w:tc>
        <w:tc>
          <w:tcPr>
            <w:tcW w:w="7577" w:type="dxa"/>
            <w:shd w:val="clear" w:color="auto" w:fill="auto"/>
            <w:noWrap/>
            <w:vAlign w:val="center"/>
          </w:tcPr>
          <w:p w14:paraId="502652E9" w14:textId="77777777" w:rsidR="002F6C3E" w:rsidRPr="002F6C3E" w:rsidRDefault="002F6C3E" w:rsidP="002F6C3E">
            <w:pPr>
              <w:jc w:val="left"/>
              <w:rPr>
                <w:rFonts w:eastAsia="Times New Roman"/>
                <w:i/>
                <w:iCs/>
                <w:color w:val="000000"/>
                <w:lang w:eastAsia="en-AU"/>
              </w:rPr>
            </w:pPr>
            <w:r w:rsidRPr="002F6C3E">
              <w:rPr>
                <w:rFonts w:eastAsia="Times New Roman"/>
                <w:color w:val="000000"/>
                <w:lang w:eastAsia="en-AU"/>
              </w:rPr>
              <w:t>Significant affiliated regional representation in 10 regions of WA</w:t>
            </w:r>
          </w:p>
        </w:tc>
      </w:tr>
      <w:tr w:rsidR="002F6C3E" w:rsidRPr="002F6C3E" w14:paraId="7EBB6A9E" w14:textId="77777777" w:rsidTr="002F6C3E">
        <w:trPr>
          <w:trHeight w:val="300"/>
        </w:trPr>
        <w:tc>
          <w:tcPr>
            <w:tcW w:w="2368" w:type="dxa"/>
            <w:vMerge w:val="restart"/>
            <w:shd w:val="clear" w:color="auto" w:fill="FFD966"/>
            <w:noWrap/>
            <w:vAlign w:val="center"/>
            <w:hideMark/>
          </w:tcPr>
          <w:p w14:paraId="7B542425"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Community Reach/Programming</w:t>
            </w:r>
          </w:p>
        </w:tc>
        <w:tc>
          <w:tcPr>
            <w:tcW w:w="7577" w:type="dxa"/>
            <w:shd w:val="clear" w:color="auto" w:fill="E7E6E6"/>
            <w:noWrap/>
            <w:vAlign w:val="center"/>
            <w:hideMark/>
          </w:tcPr>
          <w:p w14:paraId="65FB8F75"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Significant reach into the WA community:</w:t>
            </w:r>
          </w:p>
        </w:tc>
      </w:tr>
      <w:tr w:rsidR="002F6C3E" w:rsidRPr="002F6C3E" w14:paraId="4AB95FB8" w14:textId="77777777" w:rsidTr="002F6C3E">
        <w:trPr>
          <w:trHeight w:val="300"/>
        </w:trPr>
        <w:tc>
          <w:tcPr>
            <w:tcW w:w="2368" w:type="dxa"/>
            <w:vMerge/>
            <w:shd w:val="clear" w:color="auto" w:fill="FFD966"/>
            <w:noWrap/>
            <w:vAlign w:val="center"/>
            <w:hideMark/>
          </w:tcPr>
          <w:p w14:paraId="76F63DE9"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5FB2001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product delivered in schools</w:t>
            </w:r>
          </w:p>
        </w:tc>
      </w:tr>
      <w:tr w:rsidR="002F6C3E" w:rsidRPr="002F6C3E" w14:paraId="53C108A5" w14:textId="77777777" w:rsidTr="002F6C3E">
        <w:trPr>
          <w:trHeight w:val="300"/>
        </w:trPr>
        <w:tc>
          <w:tcPr>
            <w:tcW w:w="2368" w:type="dxa"/>
            <w:vMerge/>
            <w:shd w:val="clear" w:color="auto" w:fill="FFD966"/>
            <w:noWrap/>
            <w:vAlign w:val="center"/>
            <w:hideMark/>
          </w:tcPr>
          <w:p w14:paraId="449A03FD"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6397DB3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Recreational/social focus AND organised sport</w:t>
            </w:r>
          </w:p>
        </w:tc>
      </w:tr>
      <w:tr w:rsidR="002F6C3E" w:rsidRPr="002F6C3E" w14:paraId="681631A9" w14:textId="77777777" w:rsidTr="002F6C3E">
        <w:trPr>
          <w:trHeight w:val="300"/>
        </w:trPr>
        <w:tc>
          <w:tcPr>
            <w:tcW w:w="2368" w:type="dxa"/>
            <w:vMerge/>
            <w:shd w:val="clear" w:color="auto" w:fill="FFD966"/>
            <w:noWrap/>
            <w:vAlign w:val="center"/>
            <w:hideMark/>
          </w:tcPr>
          <w:p w14:paraId="2F7588F8"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4B146291"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Participation events</w:t>
            </w:r>
          </w:p>
        </w:tc>
      </w:tr>
      <w:tr w:rsidR="002F6C3E" w:rsidRPr="002F6C3E" w14:paraId="44446CB2" w14:textId="77777777" w:rsidTr="002F6C3E">
        <w:trPr>
          <w:trHeight w:val="300"/>
        </w:trPr>
        <w:tc>
          <w:tcPr>
            <w:tcW w:w="2368" w:type="dxa"/>
            <w:vMerge/>
            <w:shd w:val="clear" w:color="auto" w:fill="FFD966"/>
            <w:noWrap/>
            <w:vAlign w:val="center"/>
            <w:hideMark/>
          </w:tcPr>
          <w:p w14:paraId="367C0A32" w14:textId="77777777" w:rsidR="002F6C3E" w:rsidRPr="002F6C3E" w:rsidRDefault="002F6C3E" w:rsidP="002F6C3E">
            <w:pPr>
              <w:jc w:val="center"/>
              <w:rPr>
                <w:rFonts w:eastAsia="Times New Roman"/>
                <w:b/>
                <w:color w:val="000000"/>
                <w:lang w:eastAsia="en-AU"/>
              </w:rPr>
            </w:pPr>
          </w:p>
        </w:tc>
        <w:tc>
          <w:tcPr>
            <w:tcW w:w="7577" w:type="dxa"/>
            <w:noWrap/>
            <w:vAlign w:val="center"/>
            <w:hideMark/>
          </w:tcPr>
          <w:p w14:paraId="4F9FE5E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Inclusive sport (meets all 6 principles: female, youth, Aboriginal, CALD, disabled, aged)</w:t>
            </w:r>
          </w:p>
        </w:tc>
      </w:tr>
      <w:tr w:rsidR="002F6C3E" w:rsidRPr="002F6C3E" w14:paraId="67C4599F" w14:textId="77777777" w:rsidTr="002F6C3E">
        <w:trPr>
          <w:trHeight w:val="300"/>
        </w:trPr>
        <w:tc>
          <w:tcPr>
            <w:tcW w:w="2368" w:type="dxa"/>
            <w:vMerge/>
            <w:shd w:val="clear" w:color="auto" w:fill="FFD966"/>
            <w:noWrap/>
            <w:vAlign w:val="center"/>
          </w:tcPr>
          <w:p w14:paraId="100AB9F7" w14:textId="77777777" w:rsidR="002F6C3E" w:rsidRPr="002F6C3E" w:rsidRDefault="002F6C3E" w:rsidP="002F6C3E">
            <w:pPr>
              <w:jc w:val="center"/>
              <w:rPr>
                <w:rFonts w:eastAsia="Times New Roman"/>
                <w:b/>
                <w:color w:val="000000"/>
                <w:lang w:eastAsia="en-AU"/>
              </w:rPr>
            </w:pPr>
          </w:p>
        </w:tc>
        <w:tc>
          <w:tcPr>
            <w:tcW w:w="7577" w:type="dxa"/>
            <w:shd w:val="clear" w:color="auto" w:fill="E7E6E6"/>
            <w:noWrap/>
            <w:vAlign w:val="center"/>
          </w:tcPr>
          <w:p w14:paraId="068CEF48" w14:textId="77777777" w:rsidR="002F6C3E" w:rsidRPr="002F6C3E" w:rsidRDefault="002F6C3E" w:rsidP="002F6C3E">
            <w:pPr>
              <w:jc w:val="left"/>
              <w:rPr>
                <w:rFonts w:eastAsia="Times New Roman"/>
                <w:color w:val="000000"/>
                <w:lang w:eastAsia="en-AU"/>
              </w:rPr>
            </w:pPr>
            <w:r w:rsidRPr="002F6C3E">
              <w:rPr>
                <w:rFonts w:eastAsia="Times New Roman"/>
                <w:i/>
                <w:color w:val="000000"/>
                <w:lang w:eastAsia="en-AU"/>
              </w:rPr>
              <w:t>Club Development:</w:t>
            </w:r>
          </w:p>
        </w:tc>
      </w:tr>
      <w:tr w:rsidR="002F6C3E" w:rsidRPr="002F6C3E" w14:paraId="554CF72C" w14:textId="77777777" w:rsidTr="002F6C3E">
        <w:trPr>
          <w:trHeight w:val="300"/>
        </w:trPr>
        <w:tc>
          <w:tcPr>
            <w:tcW w:w="2368" w:type="dxa"/>
            <w:vMerge/>
            <w:shd w:val="clear" w:color="auto" w:fill="FFD966"/>
            <w:noWrap/>
            <w:vAlign w:val="center"/>
          </w:tcPr>
          <w:p w14:paraId="72AF1900" w14:textId="77777777" w:rsidR="002F6C3E" w:rsidRPr="002F6C3E" w:rsidRDefault="002F6C3E" w:rsidP="002F6C3E">
            <w:pPr>
              <w:jc w:val="center"/>
              <w:rPr>
                <w:rFonts w:eastAsia="Times New Roman"/>
                <w:b/>
                <w:color w:val="000000"/>
                <w:lang w:eastAsia="en-AU"/>
              </w:rPr>
            </w:pPr>
          </w:p>
        </w:tc>
        <w:tc>
          <w:tcPr>
            <w:tcW w:w="7577" w:type="dxa"/>
            <w:noWrap/>
            <w:vAlign w:val="center"/>
          </w:tcPr>
          <w:p w14:paraId="425F18F3"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Club Development Plan developed and implemented</w:t>
            </w:r>
          </w:p>
        </w:tc>
      </w:tr>
      <w:tr w:rsidR="002F6C3E" w:rsidRPr="002F6C3E" w14:paraId="00B2EACF" w14:textId="77777777" w:rsidTr="002F6C3E">
        <w:trPr>
          <w:trHeight w:val="300"/>
        </w:trPr>
        <w:tc>
          <w:tcPr>
            <w:tcW w:w="2368" w:type="dxa"/>
            <w:vMerge w:val="restart"/>
            <w:shd w:val="clear" w:color="auto" w:fill="FFD966"/>
            <w:noWrap/>
            <w:vAlign w:val="center"/>
            <w:hideMark/>
          </w:tcPr>
          <w:p w14:paraId="04B3251C"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Governance</w:t>
            </w:r>
          </w:p>
        </w:tc>
        <w:tc>
          <w:tcPr>
            <w:tcW w:w="7577" w:type="dxa"/>
            <w:shd w:val="clear" w:color="auto" w:fill="E7E6E6"/>
            <w:noWrap/>
            <w:vAlign w:val="center"/>
            <w:hideMark/>
          </w:tcPr>
          <w:p w14:paraId="67A359A5"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Strong governance and management:</w:t>
            </w:r>
          </w:p>
        </w:tc>
      </w:tr>
      <w:tr w:rsidR="002F6C3E" w:rsidRPr="002F6C3E" w14:paraId="356C8885" w14:textId="77777777" w:rsidTr="002F6C3E">
        <w:trPr>
          <w:trHeight w:val="300"/>
        </w:trPr>
        <w:tc>
          <w:tcPr>
            <w:tcW w:w="2368" w:type="dxa"/>
            <w:vMerge/>
            <w:shd w:val="clear" w:color="auto" w:fill="FFD966"/>
            <w:noWrap/>
            <w:vAlign w:val="center"/>
            <w:hideMark/>
          </w:tcPr>
          <w:p w14:paraId="6AE6AED6" w14:textId="77777777" w:rsidR="002F6C3E" w:rsidRPr="002F6C3E" w:rsidRDefault="002F6C3E" w:rsidP="002F6C3E">
            <w:pPr>
              <w:jc w:val="center"/>
              <w:rPr>
                <w:rFonts w:eastAsia="Times New Roman"/>
                <w:b/>
                <w:color w:val="000000"/>
                <w:lang w:eastAsia="en-AU"/>
              </w:rPr>
            </w:pPr>
          </w:p>
        </w:tc>
        <w:tc>
          <w:tcPr>
            <w:tcW w:w="7577" w:type="dxa"/>
            <w:shd w:val="clear" w:color="auto" w:fill="FFFFFF"/>
            <w:noWrap/>
            <w:vAlign w:val="center"/>
            <w:hideMark/>
          </w:tcPr>
          <w:p w14:paraId="2ECE24F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 </w:t>
            </w:r>
            <w:r w:rsidRPr="002F6C3E">
              <w:rPr>
                <w:rFonts w:eastAsia="Times New Roman"/>
                <w:color w:val="000000"/>
                <w:shd w:val="clear" w:color="auto" w:fill="FFFFFF"/>
                <w:lang w:eastAsia="en-AU"/>
              </w:rPr>
              <w:t>&gt;145 rating against governance checklist</w:t>
            </w:r>
            <w:r w:rsidRPr="002F6C3E">
              <w:rPr>
                <w:rFonts w:eastAsia="Times New Roman"/>
                <w:color w:val="000000"/>
                <w:lang w:eastAsia="en-AU"/>
              </w:rPr>
              <w:t xml:space="preserve"> </w:t>
            </w:r>
          </w:p>
        </w:tc>
      </w:tr>
      <w:tr w:rsidR="002F6C3E" w:rsidRPr="002F6C3E" w14:paraId="616EC72C" w14:textId="77777777" w:rsidTr="002F6C3E">
        <w:trPr>
          <w:trHeight w:val="300"/>
        </w:trPr>
        <w:tc>
          <w:tcPr>
            <w:tcW w:w="2368" w:type="dxa"/>
            <w:vMerge/>
            <w:shd w:val="clear" w:color="auto" w:fill="FFD966"/>
            <w:noWrap/>
            <w:vAlign w:val="center"/>
          </w:tcPr>
          <w:p w14:paraId="1FBE3507" w14:textId="77777777" w:rsidR="002F6C3E" w:rsidRPr="002F6C3E" w:rsidRDefault="002F6C3E" w:rsidP="002F6C3E">
            <w:pPr>
              <w:jc w:val="center"/>
              <w:rPr>
                <w:rFonts w:eastAsia="Times New Roman"/>
                <w:b/>
                <w:color w:val="000000"/>
                <w:lang w:eastAsia="en-AU"/>
              </w:rPr>
            </w:pPr>
          </w:p>
        </w:tc>
        <w:tc>
          <w:tcPr>
            <w:tcW w:w="7577" w:type="dxa"/>
            <w:shd w:val="clear" w:color="auto" w:fill="FFFFFF"/>
            <w:noWrap/>
            <w:vAlign w:val="center"/>
          </w:tcPr>
          <w:p w14:paraId="5F0517CC" w14:textId="77777777" w:rsidR="002F6C3E" w:rsidRPr="002F6C3E" w:rsidRDefault="002F6C3E" w:rsidP="002F6C3E">
            <w:pPr>
              <w:jc w:val="left"/>
              <w:rPr>
                <w:rFonts w:eastAsia="Times New Roman"/>
                <w:color w:val="000000"/>
                <w:lang w:eastAsia="en-AU"/>
              </w:rPr>
            </w:pPr>
            <w:r w:rsidRPr="002F6C3E">
              <w:rPr>
                <w:rFonts w:eastAsia="Calibri"/>
                <w:i/>
                <w:iCs/>
              </w:rPr>
              <w:t>Policy:</w:t>
            </w:r>
          </w:p>
        </w:tc>
      </w:tr>
      <w:tr w:rsidR="002F6C3E" w:rsidRPr="002F6C3E" w14:paraId="30F2E6F5" w14:textId="77777777" w:rsidTr="002F6C3E">
        <w:trPr>
          <w:trHeight w:val="300"/>
        </w:trPr>
        <w:tc>
          <w:tcPr>
            <w:tcW w:w="2368" w:type="dxa"/>
            <w:vMerge/>
            <w:shd w:val="clear" w:color="auto" w:fill="FFD966"/>
            <w:noWrap/>
            <w:vAlign w:val="center"/>
          </w:tcPr>
          <w:p w14:paraId="71DBC98F" w14:textId="77777777" w:rsidR="002F6C3E" w:rsidRPr="002F6C3E" w:rsidRDefault="002F6C3E" w:rsidP="002F6C3E">
            <w:pPr>
              <w:jc w:val="center"/>
              <w:rPr>
                <w:rFonts w:eastAsia="Times New Roman"/>
                <w:b/>
                <w:color w:val="000000"/>
                <w:lang w:eastAsia="en-AU"/>
              </w:rPr>
            </w:pPr>
          </w:p>
        </w:tc>
        <w:tc>
          <w:tcPr>
            <w:tcW w:w="7577" w:type="dxa"/>
            <w:noWrap/>
            <w:vAlign w:val="center"/>
          </w:tcPr>
          <w:p w14:paraId="17D06657" w14:textId="77777777" w:rsidR="002F6C3E" w:rsidRPr="002F6C3E" w:rsidRDefault="002F6C3E" w:rsidP="002F6C3E">
            <w:pPr>
              <w:jc w:val="left"/>
              <w:rPr>
                <w:rFonts w:eastAsia="Times New Roman"/>
                <w:color w:val="000000"/>
                <w:lang w:eastAsia="en-AU"/>
              </w:rPr>
            </w:pPr>
            <w:r w:rsidRPr="002F6C3E">
              <w:rPr>
                <w:rFonts w:eastAsia="Calibri"/>
                <w:iCs/>
              </w:rPr>
              <w:t>Developed and implemented Policy Framework – (All 7 policies -</w:t>
            </w:r>
            <w:r w:rsidRPr="002F6C3E">
              <w:rPr>
                <w:rFonts w:eastAsia="Calibri"/>
                <w:b/>
                <w:iCs/>
              </w:rPr>
              <w:t xml:space="preserve">Member Protection, Alcohol, </w:t>
            </w:r>
            <w:r w:rsidRPr="002F6C3E">
              <w:rPr>
                <w:rFonts w:eastAsia="Calibri"/>
                <w:iCs/>
              </w:rPr>
              <w:t xml:space="preserve">Drugs in Sport, Sports Betting, Match Fixing, Privacy, Inclusion) </w:t>
            </w:r>
            <w:r w:rsidRPr="002F6C3E">
              <w:rPr>
                <w:rFonts w:eastAsia="Calibri"/>
                <w:b/>
                <w:iCs/>
              </w:rPr>
              <w:t>(Mandatory)</w:t>
            </w:r>
          </w:p>
        </w:tc>
      </w:tr>
      <w:tr w:rsidR="002F6C3E" w:rsidRPr="002F6C3E" w14:paraId="22C72684" w14:textId="77777777" w:rsidTr="002F6C3E">
        <w:trPr>
          <w:trHeight w:val="300"/>
        </w:trPr>
        <w:tc>
          <w:tcPr>
            <w:tcW w:w="2368" w:type="dxa"/>
            <w:vMerge/>
            <w:shd w:val="clear" w:color="auto" w:fill="FFD966"/>
            <w:noWrap/>
            <w:vAlign w:val="center"/>
          </w:tcPr>
          <w:p w14:paraId="71930630" w14:textId="77777777" w:rsidR="002F6C3E" w:rsidRPr="002F6C3E" w:rsidRDefault="002F6C3E" w:rsidP="002F6C3E">
            <w:pPr>
              <w:jc w:val="center"/>
              <w:rPr>
                <w:rFonts w:eastAsia="Times New Roman"/>
                <w:b/>
                <w:color w:val="000000"/>
                <w:lang w:eastAsia="en-AU"/>
              </w:rPr>
            </w:pPr>
          </w:p>
        </w:tc>
        <w:tc>
          <w:tcPr>
            <w:tcW w:w="7577" w:type="dxa"/>
            <w:shd w:val="clear" w:color="auto" w:fill="E7E6E6"/>
            <w:noWrap/>
            <w:vAlign w:val="center"/>
          </w:tcPr>
          <w:p w14:paraId="306160B1" w14:textId="77777777" w:rsidR="002F6C3E" w:rsidRPr="002F6C3E" w:rsidRDefault="002F6C3E" w:rsidP="002F6C3E">
            <w:pPr>
              <w:jc w:val="left"/>
              <w:rPr>
                <w:rFonts w:eastAsia="Times New Roman"/>
                <w:color w:val="000000"/>
                <w:lang w:eastAsia="en-AU"/>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p>
        </w:tc>
      </w:tr>
      <w:tr w:rsidR="002F6C3E" w:rsidRPr="002F6C3E" w14:paraId="53E676F5" w14:textId="77777777" w:rsidTr="002F6C3E">
        <w:trPr>
          <w:trHeight w:val="300"/>
        </w:trPr>
        <w:tc>
          <w:tcPr>
            <w:tcW w:w="2368" w:type="dxa"/>
            <w:vMerge/>
            <w:shd w:val="clear" w:color="auto" w:fill="FFD966"/>
            <w:noWrap/>
            <w:vAlign w:val="center"/>
          </w:tcPr>
          <w:p w14:paraId="4D1D62FB" w14:textId="77777777" w:rsidR="002F6C3E" w:rsidRPr="002F6C3E" w:rsidRDefault="002F6C3E" w:rsidP="002F6C3E">
            <w:pPr>
              <w:jc w:val="center"/>
              <w:rPr>
                <w:rFonts w:eastAsia="Times New Roman"/>
                <w:b/>
                <w:color w:val="000000"/>
                <w:lang w:eastAsia="en-AU"/>
              </w:rPr>
            </w:pPr>
          </w:p>
        </w:tc>
        <w:tc>
          <w:tcPr>
            <w:tcW w:w="7577" w:type="dxa"/>
            <w:noWrap/>
            <w:vAlign w:val="center"/>
          </w:tcPr>
          <w:p w14:paraId="7B6B0688" w14:textId="77777777" w:rsidR="002F6C3E" w:rsidRPr="002F6C3E" w:rsidRDefault="002F6C3E" w:rsidP="002F6C3E">
            <w:pPr>
              <w:jc w:val="left"/>
              <w:rPr>
                <w:rFonts w:eastAsia="Times New Roman"/>
                <w:color w:val="000000"/>
                <w:lang w:eastAsia="en-AU"/>
              </w:rPr>
            </w:pPr>
            <w:r w:rsidRPr="002F6C3E">
              <w:rPr>
                <w:rFonts w:eastAsia="Calibri"/>
              </w:rPr>
              <w:t>Meets board gender target &gt;= 50% female</w:t>
            </w:r>
          </w:p>
        </w:tc>
      </w:tr>
      <w:tr w:rsidR="002F6C3E" w:rsidRPr="002F6C3E" w14:paraId="66EDAAB7" w14:textId="77777777" w:rsidTr="002F6C3E">
        <w:trPr>
          <w:trHeight w:val="300"/>
        </w:trPr>
        <w:tc>
          <w:tcPr>
            <w:tcW w:w="2368" w:type="dxa"/>
            <w:vMerge/>
            <w:shd w:val="clear" w:color="auto" w:fill="FFD966"/>
            <w:noWrap/>
            <w:vAlign w:val="center"/>
          </w:tcPr>
          <w:p w14:paraId="4B6E700B" w14:textId="77777777" w:rsidR="002F6C3E" w:rsidRPr="002F6C3E" w:rsidRDefault="002F6C3E" w:rsidP="002F6C3E">
            <w:pPr>
              <w:jc w:val="center"/>
              <w:rPr>
                <w:rFonts w:eastAsia="Times New Roman"/>
                <w:b/>
                <w:color w:val="000000"/>
                <w:lang w:eastAsia="en-AU"/>
              </w:rPr>
            </w:pPr>
          </w:p>
        </w:tc>
        <w:tc>
          <w:tcPr>
            <w:tcW w:w="7577" w:type="dxa"/>
            <w:noWrap/>
            <w:vAlign w:val="center"/>
          </w:tcPr>
          <w:p w14:paraId="66CD2412" w14:textId="77777777" w:rsidR="002F6C3E" w:rsidRPr="002F6C3E" w:rsidRDefault="002F6C3E" w:rsidP="002F6C3E">
            <w:pPr>
              <w:jc w:val="left"/>
              <w:rPr>
                <w:rFonts w:eastAsia="Times New Roman"/>
                <w:color w:val="000000"/>
                <w:lang w:eastAsia="en-AU"/>
              </w:rPr>
            </w:pPr>
            <w:r w:rsidRPr="002F6C3E">
              <w:rPr>
                <w:rFonts w:eastAsia="Calibri"/>
              </w:rPr>
              <w:t>Below board gender target &lt; 50% female</w:t>
            </w:r>
          </w:p>
        </w:tc>
      </w:tr>
      <w:tr w:rsidR="002F6C3E" w:rsidRPr="002F6C3E" w14:paraId="0133617B" w14:textId="77777777" w:rsidTr="002F6C3E">
        <w:trPr>
          <w:trHeight w:val="300"/>
        </w:trPr>
        <w:tc>
          <w:tcPr>
            <w:tcW w:w="2368" w:type="dxa"/>
            <w:vMerge/>
            <w:shd w:val="clear" w:color="auto" w:fill="FFD966"/>
            <w:noWrap/>
            <w:vAlign w:val="center"/>
          </w:tcPr>
          <w:p w14:paraId="46BB2910" w14:textId="77777777" w:rsidR="002F6C3E" w:rsidRPr="002F6C3E" w:rsidRDefault="002F6C3E" w:rsidP="002F6C3E">
            <w:pPr>
              <w:jc w:val="center"/>
              <w:rPr>
                <w:rFonts w:eastAsia="Times New Roman"/>
                <w:b/>
                <w:color w:val="000000"/>
                <w:lang w:eastAsia="en-AU"/>
              </w:rPr>
            </w:pPr>
          </w:p>
        </w:tc>
        <w:tc>
          <w:tcPr>
            <w:tcW w:w="7577" w:type="dxa"/>
            <w:noWrap/>
            <w:vAlign w:val="center"/>
          </w:tcPr>
          <w:p w14:paraId="15232AF3" w14:textId="77777777" w:rsidR="002F6C3E" w:rsidRPr="002F6C3E" w:rsidRDefault="002F6C3E" w:rsidP="002F6C3E">
            <w:pPr>
              <w:jc w:val="left"/>
              <w:rPr>
                <w:rFonts w:eastAsia="Times New Roman"/>
                <w:color w:val="000000"/>
                <w:lang w:eastAsia="en-AU"/>
              </w:rPr>
            </w:pPr>
            <w:r w:rsidRPr="002F6C3E">
              <w:rPr>
                <w:rFonts w:eastAsia="Calibri"/>
              </w:rPr>
              <w:t xml:space="preserve">No gender diversity on board </w:t>
            </w:r>
          </w:p>
        </w:tc>
      </w:tr>
      <w:tr w:rsidR="002F6C3E" w:rsidRPr="002F6C3E" w14:paraId="42EB2289" w14:textId="77777777" w:rsidTr="002F6C3E">
        <w:trPr>
          <w:trHeight w:val="300"/>
        </w:trPr>
        <w:tc>
          <w:tcPr>
            <w:tcW w:w="2368" w:type="dxa"/>
            <w:shd w:val="clear" w:color="auto" w:fill="FFD966"/>
            <w:noWrap/>
            <w:vAlign w:val="center"/>
            <w:hideMark/>
          </w:tcPr>
          <w:p w14:paraId="2B2F5DD0"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Finance</w:t>
            </w:r>
          </w:p>
        </w:tc>
        <w:tc>
          <w:tcPr>
            <w:tcW w:w="7577" w:type="dxa"/>
            <w:noWrap/>
            <w:vAlign w:val="center"/>
            <w:hideMark/>
          </w:tcPr>
          <w:p w14:paraId="532EBBE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Strong annual total revenue between $5million-10million</w:t>
            </w:r>
          </w:p>
        </w:tc>
      </w:tr>
      <w:tr w:rsidR="002F6C3E" w:rsidRPr="002F6C3E" w14:paraId="132BC1B8" w14:textId="77777777" w:rsidTr="002F6C3E">
        <w:trPr>
          <w:trHeight w:val="300"/>
        </w:trPr>
        <w:tc>
          <w:tcPr>
            <w:tcW w:w="2368" w:type="dxa"/>
            <w:vMerge w:val="restart"/>
            <w:shd w:val="clear" w:color="auto" w:fill="FFD966"/>
            <w:noWrap/>
            <w:vAlign w:val="center"/>
            <w:hideMark/>
          </w:tcPr>
          <w:p w14:paraId="5198B7F0"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Planning</w:t>
            </w:r>
          </w:p>
        </w:tc>
        <w:tc>
          <w:tcPr>
            <w:tcW w:w="7577" w:type="dxa"/>
            <w:shd w:val="clear" w:color="auto" w:fill="E7E6E6"/>
            <w:noWrap/>
            <w:vAlign w:val="center"/>
            <w:hideMark/>
          </w:tcPr>
          <w:p w14:paraId="6AD547AE"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 xml:space="preserve"> </w:t>
            </w:r>
            <w:r w:rsidRPr="002F6C3E">
              <w:rPr>
                <w:rFonts w:eastAsia="Times New Roman"/>
                <w:i/>
                <w:iCs/>
                <w:color w:val="000000"/>
                <w:shd w:val="clear" w:color="auto" w:fill="E7E6E6"/>
                <w:lang w:eastAsia="en-AU"/>
              </w:rPr>
              <w:t>Strong planning culture:</w:t>
            </w:r>
          </w:p>
        </w:tc>
      </w:tr>
      <w:tr w:rsidR="002F6C3E" w:rsidRPr="002F6C3E" w14:paraId="55FD6603" w14:textId="77777777" w:rsidTr="002F6C3E">
        <w:trPr>
          <w:trHeight w:val="300"/>
        </w:trPr>
        <w:tc>
          <w:tcPr>
            <w:tcW w:w="2368" w:type="dxa"/>
            <w:vMerge/>
            <w:shd w:val="clear" w:color="auto" w:fill="FFD966"/>
            <w:noWrap/>
            <w:hideMark/>
          </w:tcPr>
          <w:p w14:paraId="10B36BB7"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4E3803F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3-5-year strategic plan supported by a financial and resourcing plan</w:t>
            </w:r>
          </w:p>
        </w:tc>
      </w:tr>
      <w:tr w:rsidR="002F6C3E" w:rsidRPr="002F6C3E" w14:paraId="10D86585" w14:textId="77777777" w:rsidTr="002F6C3E">
        <w:trPr>
          <w:trHeight w:val="300"/>
        </w:trPr>
        <w:tc>
          <w:tcPr>
            <w:tcW w:w="2368" w:type="dxa"/>
            <w:vMerge/>
            <w:shd w:val="clear" w:color="auto" w:fill="FFD966"/>
            <w:noWrap/>
            <w:hideMark/>
          </w:tcPr>
          <w:p w14:paraId="753F52E9"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195C9BF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operational plan</w:t>
            </w:r>
          </w:p>
        </w:tc>
      </w:tr>
      <w:tr w:rsidR="002F6C3E" w:rsidRPr="002F6C3E" w14:paraId="6C1C448D" w14:textId="77777777" w:rsidTr="002F6C3E">
        <w:trPr>
          <w:trHeight w:val="300"/>
        </w:trPr>
        <w:tc>
          <w:tcPr>
            <w:tcW w:w="2368" w:type="dxa"/>
            <w:vMerge/>
            <w:shd w:val="clear" w:color="auto" w:fill="FFD966"/>
            <w:noWrap/>
            <w:hideMark/>
          </w:tcPr>
          <w:p w14:paraId="58BB4C6C"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246FB26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budget</w:t>
            </w:r>
          </w:p>
        </w:tc>
      </w:tr>
      <w:tr w:rsidR="002F6C3E" w:rsidRPr="002F6C3E" w14:paraId="5A9D57C3" w14:textId="77777777" w:rsidTr="002F6C3E">
        <w:trPr>
          <w:trHeight w:val="300"/>
        </w:trPr>
        <w:tc>
          <w:tcPr>
            <w:tcW w:w="2368" w:type="dxa"/>
            <w:vMerge/>
            <w:shd w:val="clear" w:color="auto" w:fill="FFD966"/>
            <w:noWrap/>
            <w:hideMark/>
          </w:tcPr>
          <w:p w14:paraId="137ED055"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030B112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Risk Management Framework and Plan</w:t>
            </w:r>
          </w:p>
        </w:tc>
      </w:tr>
      <w:tr w:rsidR="002F6C3E" w:rsidRPr="002F6C3E" w14:paraId="1A8320F2" w14:textId="77777777" w:rsidTr="002F6C3E">
        <w:trPr>
          <w:trHeight w:val="300"/>
        </w:trPr>
        <w:tc>
          <w:tcPr>
            <w:tcW w:w="2368" w:type="dxa"/>
            <w:vMerge/>
            <w:shd w:val="clear" w:color="auto" w:fill="FFD966"/>
            <w:noWrap/>
            <w:hideMark/>
          </w:tcPr>
          <w:p w14:paraId="613CAAD5"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6F7299C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Asset Management Plan</w:t>
            </w:r>
          </w:p>
        </w:tc>
      </w:tr>
      <w:tr w:rsidR="002F6C3E" w:rsidRPr="002F6C3E" w14:paraId="3C99B2B6" w14:textId="77777777" w:rsidTr="002F6C3E">
        <w:trPr>
          <w:trHeight w:val="300"/>
        </w:trPr>
        <w:tc>
          <w:tcPr>
            <w:tcW w:w="2368" w:type="dxa"/>
            <w:vMerge/>
            <w:shd w:val="clear" w:color="auto" w:fill="FFD966"/>
            <w:noWrap/>
            <w:hideMark/>
          </w:tcPr>
          <w:p w14:paraId="3393A4E1"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422911B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Workforce development plan linked to strategic plan</w:t>
            </w:r>
          </w:p>
        </w:tc>
      </w:tr>
      <w:tr w:rsidR="002F6C3E" w:rsidRPr="002F6C3E" w14:paraId="320B97D1" w14:textId="77777777" w:rsidTr="002F6C3E">
        <w:trPr>
          <w:trHeight w:val="300"/>
        </w:trPr>
        <w:tc>
          <w:tcPr>
            <w:tcW w:w="2368" w:type="dxa"/>
            <w:vMerge/>
            <w:shd w:val="clear" w:color="auto" w:fill="FFD966"/>
            <w:noWrap/>
            <w:hideMark/>
          </w:tcPr>
          <w:p w14:paraId="6F69B50C"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455391C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Marketing and Communications plan</w:t>
            </w:r>
          </w:p>
        </w:tc>
      </w:tr>
      <w:tr w:rsidR="002F6C3E" w:rsidRPr="002F6C3E" w14:paraId="47FB3E21" w14:textId="77777777" w:rsidTr="002F6C3E">
        <w:trPr>
          <w:trHeight w:val="300"/>
        </w:trPr>
        <w:tc>
          <w:tcPr>
            <w:tcW w:w="2368" w:type="dxa"/>
            <w:vMerge/>
            <w:shd w:val="clear" w:color="auto" w:fill="FFD966"/>
            <w:noWrap/>
            <w:hideMark/>
          </w:tcPr>
          <w:p w14:paraId="01CC0CB0" w14:textId="77777777" w:rsidR="002F6C3E" w:rsidRPr="002F6C3E" w:rsidRDefault="002F6C3E" w:rsidP="002F6C3E">
            <w:pPr>
              <w:jc w:val="left"/>
              <w:rPr>
                <w:rFonts w:eastAsia="Times New Roman"/>
                <w:color w:val="000000"/>
                <w:lang w:eastAsia="en-AU"/>
              </w:rPr>
            </w:pPr>
          </w:p>
        </w:tc>
        <w:tc>
          <w:tcPr>
            <w:tcW w:w="7577" w:type="dxa"/>
            <w:noWrap/>
            <w:vAlign w:val="center"/>
            <w:hideMark/>
          </w:tcPr>
          <w:p w14:paraId="0C0F74A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ICT Strategy and plan</w:t>
            </w:r>
          </w:p>
        </w:tc>
      </w:tr>
    </w:tbl>
    <w:p w14:paraId="0C8B5472" w14:textId="77777777" w:rsidR="002F6C3E" w:rsidRPr="002F6C3E" w:rsidRDefault="002F6C3E" w:rsidP="002F6C3E">
      <w:pPr>
        <w:spacing w:after="160" w:line="259" w:lineRule="auto"/>
        <w:jc w:val="left"/>
        <w:rPr>
          <w:rFonts w:eastAsia="Calibri"/>
        </w:rPr>
      </w:pPr>
      <w:r w:rsidRPr="002F6C3E">
        <w:rPr>
          <w:rFonts w:eastAsia="Calibri"/>
        </w:rPr>
        <w:br w:type="page"/>
      </w:r>
    </w:p>
    <w:tbl>
      <w:tblPr>
        <w:tblStyle w:val="TableGrid1"/>
        <w:tblW w:w="9634" w:type="dxa"/>
        <w:tblLook w:val="04A0" w:firstRow="1" w:lastRow="0" w:firstColumn="1" w:lastColumn="0" w:noHBand="0" w:noVBand="1"/>
      </w:tblPr>
      <w:tblGrid>
        <w:gridCol w:w="1980"/>
        <w:gridCol w:w="7654"/>
      </w:tblGrid>
      <w:tr w:rsidR="002F6C3E" w:rsidRPr="002F6C3E" w14:paraId="41A3E950" w14:textId="77777777" w:rsidTr="002F6C3E">
        <w:trPr>
          <w:trHeight w:val="600"/>
        </w:trPr>
        <w:tc>
          <w:tcPr>
            <w:tcW w:w="9634" w:type="dxa"/>
            <w:gridSpan w:val="2"/>
            <w:shd w:val="clear" w:color="auto" w:fill="FFF2CC"/>
            <w:noWrap/>
            <w:vAlign w:val="center"/>
            <w:hideMark/>
          </w:tcPr>
          <w:p w14:paraId="58334326" w14:textId="77777777" w:rsidR="002F6C3E" w:rsidRPr="002F6C3E" w:rsidRDefault="002F6C3E" w:rsidP="002F6C3E">
            <w:pPr>
              <w:jc w:val="center"/>
              <w:rPr>
                <w:rFonts w:eastAsia="Times New Roman"/>
                <w:b/>
                <w:bCs/>
                <w:color w:val="000000"/>
                <w:lang w:eastAsia="en-AU"/>
              </w:rPr>
            </w:pPr>
            <w:r w:rsidRPr="002F6C3E">
              <w:rPr>
                <w:rFonts w:eastAsia="Times New Roman"/>
                <w:b/>
                <w:bCs/>
                <w:color w:val="000000"/>
                <w:lang w:eastAsia="en-AU"/>
              </w:rPr>
              <w:lastRenderedPageBreak/>
              <w:t>Category B</w:t>
            </w:r>
          </w:p>
        </w:tc>
      </w:tr>
      <w:tr w:rsidR="002F6C3E" w:rsidRPr="002F6C3E" w14:paraId="56F872DE" w14:textId="77777777" w:rsidTr="002F6C3E">
        <w:trPr>
          <w:trHeight w:val="300"/>
        </w:trPr>
        <w:tc>
          <w:tcPr>
            <w:tcW w:w="1980" w:type="dxa"/>
            <w:vMerge w:val="restart"/>
            <w:shd w:val="clear" w:color="auto" w:fill="FFD966"/>
            <w:noWrap/>
            <w:vAlign w:val="center"/>
            <w:hideMark/>
          </w:tcPr>
          <w:p w14:paraId="483A7A1A"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Participation / Membership</w:t>
            </w:r>
          </w:p>
        </w:tc>
        <w:tc>
          <w:tcPr>
            <w:tcW w:w="7654" w:type="dxa"/>
            <w:noWrap/>
            <w:vAlign w:val="center"/>
            <w:hideMark/>
          </w:tcPr>
          <w:p w14:paraId="066B21B3"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High participation base &gt;40,000</w:t>
            </w:r>
          </w:p>
        </w:tc>
      </w:tr>
      <w:tr w:rsidR="002F6C3E" w:rsidRPr="002F6C3E" w14:paraId="42EA081B" w14:textId="77777777" w:rsidTr="002F6C3E">
        <w:trPr>
          <w:trHeight w:val="300"/>
        </w:trPr>
        <w:tc>
          <w:tcPr>
            <w:tcW w:w="1980" w:type="dxa"/>
            <w:vMerge/>
            <w:shd w:val="clear" w:color="auto" w:fill="FFD966"/>
            <w:noWrap/>
            <w:vAlign w:val="center"/>
            <w:hideMark/>
          </w:tcPr>
          <w:p w14:paraId="145B9A40"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1939366F"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High membership &gt;20,000</w:t>
            </w:r>
          </w:p>
        </w:tc>
      </w:tr>
      <w:tr w:rsidR="002F6C3E" w:rsidRPr="002F6C3E" w14:paraId="76F70D8D" w14:textId="77777777" w:rsidTr="002F6C3E">
        <w:trPr>
          <w:trHeight w:val="300"/>
        </w:trPr>
        <w:tc>
          <w:tcPr>
            <w:tcW w:w="1980" w:type="dxa"/>
            <w:vMerge w:val="restart"/>
            <w:shd w:val="clear" w:color="auto" w:fill="FFD966"/>
            <w:noWrap/>
            <w:vAlign w:val="center"/>
            <w:hideMark/>
          </w:tcPr>
          <w:p w14:paraId="2745CE19"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High performance / Pathways</w:t>
            </w:r>
          </w:p>
        </w:tc>
        <w:tc>
          <w:tcPr>
            <w:tcW w:w="7654" w:type="dxa"/>
            <w:shd w:val="clear" w:color="auto" w:fill="E7E6E6"/>
            <w:noWrap/>
            <w:vAlign w:val="center"/>
            <w:hideMark/>
          </w:tcPr>
          <w:p w14:paraId="3C006A33"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Strong talent development pathways:</w:t>
            </w:r>
          </w:p>
        </w:tc>
      </w:tr>
      <w:tr w:rsidR="002F6C3E" w:rsidRPr="002F6C3E" w14:paraId="1B4090F1" w14:textId="77777777" w:rsidTr="002F6C3E">
        <w:trPr>
          <w:trHeight w:val="300"/>
        </w:trPr>
        <w:tc>
          <w:tcPr>
            <w:tcW w:w="1980" w:type="dxa"/>
            <w:vMerge/>
            <w:shd w:val="clear" w:color="auto" w:fill="FFD966"/>
            <w:noWrap/>
            <w:vAlign w:val="center"/>
            <w:hideMark/>
          </w:tcPr>
          <w:p w14:paraId="7ECFD10E"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0594099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WAIS/Winning Edge</w:t>
            </w:r>
          </w:p>
        </w:tc>
      </w:tr>
      <w:tr w:rsidR="002F6C3E" w:rsidRPr="002F6C3E" w14:paraId="41E68B8D" w14:textId="77777777" w:rsidTr="002F6C3E">
        <w:trPr>
          <w:trHeight w:val="300"/>
        </w:trPr>
        <w:tc>
          <w:tcPr>
            <w:tcW w:w="1980" w:type="dxa"/>
            <w:vMerge/>
            <w:shd w:val="clear" w:color="auto" w:fill="FFD966"/>
            <w:noWrap/>
            <w:vAlign w:val="center"/>
            <w:hideMark/>
          </w:tcPr>
          <w:p w14:paraId="1705320A"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3D5D5DD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Olympic/Paralympic/Cth/World Champs</w:t>
            </w:r>
          </w:p>
        </w:tc>
      </w:tr>
      <w:tr w:rsidR="002F6C3E" w:rsidRPr="002F6C3E" w14:paraId="5DCC003F" w14:textId="77777777" w:rsidTr="002F6C3E">
        <w:trPr>
          <w:trHeight w:val="300"/>
        </w:trPr>
        <w:tc>
          <w:tcPr>
            <w:tcW w:w="1980" w:type="dxa"/>
            <w:vMerge/>
            <w:shd w:val="clear" w:color="auto" w:fill="FFD966"/>
            <w:noWrap/>
            <w:vAlign w:val="center"/>
            <w:hideMark/>
          </w:tcPr>
          <w:p w14:paraId="448476C4"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28CD0F2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Championships participation – open AND junior</w:t>
            </w:r>
          </w:p>
        </w:tc>
      </w:tr>
      <w:tr w:rsidR="002F6C3E" w:rsidRPr="002F6C3E" w14:paraId="2AF13603" w14:textId="77777777" w:rsidTr="002F6C3E">
        <w:trPr>
          <w:trHeight w:val="300"/>
        </w:trPr>
        <w:tc>
          <w:tcPr>
            <w:tcW w:w="1980" w:type="dxa"/>
            <w:vMerge/>
            <w:shd w:val="clear" w:color="auto" w:fill="FFD966"/>
            <w:noWrap/>
            <w:vAlign w:val="center"/>
            <w:hideMark/>
          </w:tcPr>
          <w:p w14:paraId="763254FD"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03F3618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(open)</w:t>
            </w:r>
          </w:p>
        </w:tc>
      </w:tr>
      <w:tr w:rsidR="002F6C3E" w:rsidRPr="002F6C3E" w14:paraId="7F3DD995" w14:textId="77777777" w:rsidTr="002F6C3E">
        <w:trPr>
          <w:trHeight w:val="300"/>
        </w:trPr>
        <w:tc>
          <w:tcPr>
            <w:tcW w:w="1980" w:type="dxa"/>
            <w:vMerge/>
            <w:shd w:val="clear" w:color="auto" w:fill="FFD966"/>
            <w:noWrap/>
            <w:vAlign w:val="center"/>
            <w:hideMark/>
          </w:tcPr>
          <w:p w14:paraId="02B1CCE3"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7A0DD1F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(juniors)</w:t>
            </w:r>
          </w:p>
        </w:tc>
      </w:tr>
      <w:tr w:rsidR="002F6C3E" w:rsidRPr="002F6C3E" w14:paraId="64E8B40E" w14:textId="77777777" w:rsidTr="002F6C3E">
        <w:trPr>
          <w:trHeight w:val="300"/>
        </w:trPr>
        <w:tc>
          <w:tcPr>
            <w:tcW w:w="1980" w:type="dxa"/>
            <w:vMerge/>
            <w:shd w:val="clear" w:color="auto" w:fill="FFD966"/>
            <w:noWrap/>
            <w:vAlign w:val="center"/>
            <w:hideMark/>
          </w:tcPr>
          <w:p w14:paraId="02D13805"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2F5EDA4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Junior/Senior base</w:t>
            </w:r>
          </w:p>
        </w:tc>
      </w:tr>
      <w:tr w:rsidR="002F6C3E" w:rsidRPr="002F6C3E" w14:paraId="737CB229" w14:textId="77777777" w:rsidTr="002F6C3E">
        <w:trPr>
          <w:trHeight w:val="269"/>
        </w:trPr>
        <w:tc>
          <w:tcPr>
            <w:tcW w:w="1980" w:type="dxa"/>
            <w:vMerge/>
            <w:shd w:val="clear" w:color="auto" w:fill="FFD966"/>
            <w:noWrap/>
            <w:vAlign w:val="center"/>
            <w:hideMark/>
          </w:tcPr>
          <w:p w14:paraId="4E505AE5"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7BBBECE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Coach/Official </w:t>
            </w:r>
          </w:p>
        </w:tc>
      </w:tr>
      <w:tr w:rsidR="002F6C3E" w:rsidRPr="002F6C3E" w14:paraId="7964081B" w14:textId="77777777" w:rsidTr="002F6C3E">
        <w:trPr>
          <w:trHeight w:val="300"/>
        </w:trPr>
        <w:tc>
          <w:tcPr>
            <w:tcW w:w="1980" w:type="dxa"/>
            <w:shd w:val="clear" w:color="auto" w:fill="FFD966"/>
            <w:noWrap/>
            <w:vAlign w:val="center"/>
          </w:tcPr>
          <w:p w14:paraId="11CBB121"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Regional Delivery</w:t>
            </w:r>
          </w:p>
        </w:tc>
        <w:tc>
          <w:tcPr>
            <w:tcW w:w="7654" w:type="dxa"/>
            <w:shd w:val="clear" w:color="auto" w:fill="FFFFFF"/>
            <w:noWrap/>
            <w:vAlign w:val="center"/>
          </w:tcPr>
          <w:p w14:paraId="4E56F78F" w14:textId="77777777" w:rsidR="002F6C3E" w:rsidRPr="002F6C3E" w:rsidRDefault="002F6C3E" w:rsidP="002F6C3E">
            <w:pPr>
              <w:jc w:val="left"/>
              <w:rPr>
                <w:rFonts w:eastAsia="Times New Roman"/>
                <w:i/>
                <w:iCs/>
                <w:color w:val="000000"/>
                <w:lang w:eastAsia="en-AU"/>
              </w:rPr>
            </w:pPr>
            <w:r w:rsidRPr="002F6C3E">
              <w:rPr>
                <w:rFonts w:eastAsia="Times New Roman"/>
                <w:color w:val="000000"/>
                <w:lang w:eastAsia="en-AU"/>
              </w:rPr>
              <w:t>Very good affiliated regional representation in 9 regions</w:t>
            </w:r>
          </w:p>
        </w:tc>
      </w:tr>
      <w:tr w:rsidR="002F6C3E" w:rsidRPr="002F6C3E" w14:paraId="05FA37D1" w14:textId="77777777" w:rsidTr="002F6C3E">
        <w:trPr>
          <w:trHeight w:val="300"/>
        </w:trPr>
        <w:tc>
          <w:tcPr>
            <w:tcW w:w="1980" w:type="dxa"/>
            <w:vMerge w:val="restart"/>
            <w:shd w:val="clear" w:color="auto" w:fill="FFD966"/>
            <w:noWrap/>
            <w:vAlign w:val="center"/>
            <w:hideMark/>
          </w:tcPr>
          <w:p w14:paraId="0D97E7E0"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Community Reach / Programming</w:t>
            </w:r>
          </w:p>
        </w:tc>
        <w:tc>
          <w:tcPr>
            <w:tcW w:w="7654" w:type="dxa"/>
            <w:shd w:val="clear" w:color="auto" w:fill="E7E6E6"/>
            <w:noWrap/>
            <w:vAlign w:val="center"/>
            <w:hideMark/>
          </w:tcPr>
          <w:p w14:paraId="17A73DCA"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Strong reach into the WA community:</w:t>
            </w:r>
          </w:p>
        </w:tc>
      </w:tr>
      <w:tr w:rsidR="002F6C3E" w:rsidRPr="002F6C3E" w14:paraId="5D2F9075" w14:textId="77777777" w:rsidTr="002F6C3E">
        <w:trPr>
          <w:trHeight w:val="300"/>
        </w:trPr>
        <w:tc>
          <w:tcPr>
            <w:tcW w:w="1980" w:type="dxa"/>
            <w:vMerge/>
            <w:shd w:val="clear" w:color="auto" w:fill="FFD966"/>
            <w:noWrap/>
            <w:vAlign w:val="center"/>
            <w:hideMark/>
          </w:tcPr>
          <w:p w14:paraId="6B3C00B3"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77F3C09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product delivered in schools</w:t>
            </w:r>
          </w:p>
        </w:tc>
      </w:tr>
      <w:tr w:rsidR="002F6C3E" w:rsidRPr="002F6C3E" w14:paraId="37AE0E48" w14:textId="77777777" w:rsidTr="002F6C3E">
        <w:trPr>
          <w:trHeight w:val="300"/>
        </w:trPr>
        <w:tc>
          <w:tcPr>
            <w:tcW w:w="1980" w:type="dxa"/>
            <w:vMerge/>
            <w:shd w:val="clear" w:color="auto" w:fill="FFD966"/>
            <w:noWrap/>
            <w:vAlign w:val="center"/>
            <w:hideMark/>
          </w:tcPr>
          <w:p w14:paraId="04C5B63E"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2FED24EB"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Recreational/social focus AND organised sport</w:t>
            </w:r>
          </w:p>
        </w:tc>
      </w:tr>
      <w:tr w:rsidR="002F6C3E" w:rsidRPr="002F6C3E" w14:paraId="3BF0479C" w14:textId="77777777" w:rsidTr="002F6C3E">
        <w:trPr>
          <w:trHeight w:val="300"/>
        </w:trPr>
        <w:tc>
          <w:tcPr>
            <w:tcW w:w="1980" w:type="dxa"/>
            <w:vMerge/>
            <w:shd w:val="clear" w:color="auto" w:fill="FFD966"/>
            <w:noWrap/>
            <w:vAlign w:val="center"/>
            <w:hideMark/>
          </w:tcPr>
          <w:p w14:paraId="2B66C1DD"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20280FBB"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Participation events</w:t>
            </w:r>
          </w:p>
        </w:tc>
      </w:tr>
      <w:tr w:rsidR="002F6C3E" w:rsidRPr="002F6C3E" w14:paraId="5850DB41" w14:textId="77777777" w:rsidTr="002F6C3E">
        <w:trPr>
          <w:trHeight w:val="300"/>
        </w:trPr>
        <w:tc>
          <w:tcPr>
            <w:tcW w:w="1980" w:type="dxa"/>
            <w:vMerge/>
            <w:shd w:val="clear" w:color="auto" w:fill="FFD966"/>
            <w:noWrap/>
            <w:vAlign w:val="center"/>
            <w:hideMark/>
          </w:tcPr>
          <w:p w14:paraId="0BF7FAE0"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436016A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Inclusive sport (meets at least 3 principles: female, youth, Aboriginal, CALD, disabled, aged)</w:t>
            </w:r>
          </w:p>
        </w:tc>
      </w:tr>
      <w:tr w:rsidR="002F6C3E" w:rsidRPr="002F6C3E" w14:paraId="6F562691" w14:textId="77777777" w:rsidTr="002F6C3E">
        <w:trPr>
          <w:trHeight w:val="300"/>
        </w:trPr>
        <w:tc>
          <w:tcPr>
            <w:tcW w:w="1980" w:type="dxa"/>
            <w:vMerge/>
            <w:shd w:val="clear" w:color="auto" w:fill="FFD966"/>
            <w:noWrap/>
            <w:vAlign w:val="center"/>
          </w:tcPr>
          <w:p w14:paraId="30F8325E" w14:textId="77777777" w:rsidR="002F6C3E" w:rsidRPr="002F6C3E" w:rsidRDefault="002F6C3E" w:rsidP="002F6C3E">
            <w:pPr>
              <w:jc w:val="center"/>
              <w:rPr>
                <w:rFonts w:eastAsia="Times New Roman"/>
                <w:b/>
                <w:color w:val="000000"/>
                <w:lang w:eastAsia="en-AU"/>
              </w:rPr>
            </w:pPr>
          </w:p>
        </w:tc>
        <w:tc>
          <w:tcPr>
            <w:tcW w:w="7654" w:type="dxa"/>
            <w:shd w:val="clear" w:color="auto" w:fill="E7E6E6"/>
            <w:noWrap/>
            <w:vAlign w:val="center"/>
          </w:tcPr>
          <w:p w14:paraId="3CB10D40" w14:textId="77777777" w:rsidR="002F6C3E" w:rsidRPr="002F6C3E" w:rsidRDefault="002F6C3E" w:rsidP="002F6C3E">
            <w:pPr>
              <w:jc w:val="left"/>
              <w:rPr>
                <w:rFonts w:eastAsia="Times New Roman"/>
                <w:color w:val="000000"/>
                <w:lang w:eastAsia="en-AU"/>
              </w:rPr>
            </w:pPr>
            <w:r w:rsidRPr="002F6C3E">
              <w:rPr>
                <w:rFonts w:eastAsia="Times New Roman"/>
                <w:i/>
                <w:color w:val="000000"/>
                <w:lang w:eastAsia="en-AU"/>
              </w:rPr>
              <w:t>Club Development:</w:t>
            </w:r>
          </w:p>
        </w:tc>
      </w:tr>
      <w:tr w:rsidR="002F6C3E" w:rsidRPr="002F6C3E" w14:paraId="7DB32C63" w14:textId="77777777" w:rsidTr="002F6C3E">
        <w:trPr>
          <w:trHeight w:val="300"/>
        </w:trPr>
        <w:tc>
          <w:tcPr>
            <w:tcW w:w="1980" w:type="dxa"/>
            <w:vMerge/>
            <w:shd w:val="clear" w:color="auto" w:fill="FFD966"/>
            <w:noWrap/>
            <w:vAlign w:val="center"/>
          </w:tcPr>
          <w:p w14:paraId="57126C1B"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78CA232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Club Development Plan developed and implemented</w:t>
            </w:r>
          </w:p>
        </w:tc>
      </w:tr>
      <w:tr w:rsidR="002F6C3E" w:rsidRPr="002F6C3E" w14:paraId="09C41842" w14:textId="77777777" w:rsidTr="002F6C3E">
        <w:trPr>
          <w:trHeight w:val="300"/>
        </w:trPr>
        <w:tc>
          <w:tcPr>
            <w:tcW w:w="1980" w:type="dxa"/>
            <w:vMerge w:val="restart"/>
            <w:shd w:val="clear" w:color="auto" w:fill="FFD966"/>
            <w:noWrap/>
            <w:vAlign w:val="center"/>
            <w:hideMark/>
          </w:tcPr>
          <w:p w14:paraId="5DBACC2C"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Governance</w:t>
            </w:r>
          </w:p>
        </w:tc>
        <w:tc>
          <w:tcPr>
            <w:tcW w:w="7654" w:type="dxa"/>
            <w:shd w:val="clear" w:color="auto" w:fill="E7E6E6"/>
            <w:noWrap/>
            <w:vAlign w:val="center"/>
            <w:hideMark/>
          </w:tcPr>
          <w:p w14:paraId="623797B6"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Very good governance and management:</w:t>
            </w:r>
          </w:p>
        </w:tc>
      </w:tr>
      <w:tr w:rsidR="002F6C3E" w:rsidRPr="002F6C3E" w14:paraId="008E09AC" w14:textId="77777777" w:rsidTr="002F6C3E">
        <w:trPr>
          <w:trHeight w:val="300"/>
        </w:trPr>
        <w:tc>
          <w:tcPr>
            <w:tcW w:w="1980" w:type="dxa"/>
            <w:vMerge/>
            <w:shd w:val="clear" w:color="auto" w:fill="FFD966"/>
            <w:noWrap/>
            <w:vAlign w:val="center"/>
            <w:hideMark/>
          </w:tcPr>
          <w:p w14:paraId="42E3481C"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2452337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&gt;135 rating against governance checklist </w:t>
            </w:r>
          </w:p>
        </w:tc>
      </w:tr>
      <w:tr w:rsidR="002F6C3E" w:rsidRPr="002F6C3E" w14:paraId="75D82206" w14:textId="77777777" w:rsidTr="002F6C3E">
        <w:trPr>
          <w:trHeight w:val="300"/>
        </w:trPr>
        <w:tc>
          <w:tcPr>
            <w:tcW w:w="1980" w:type="dxa"/>
            <w:vMerge/>
            <w:shd w:val="clear" w:color="auto" w:fill="FFD966"/>
            <w:noWrap/>
            <w:vAlign w:val="center"/>
          </w:tcPr>
          <w:p w14:paraId="6415B4FE" w14:textId="77777777" w:rsidR="002F6C3E" w:rsidRPr="002F6C3E" w:rsidRDefault="002F6C3E" w:rsidP="002F6C3E">
            <w:pPr>
              <w:jc w:val="center"/>
              <w:rPr>
                <w:rFonts w:eastAsia="Times New Roman"/>
                <w:b/>
                <w:color w:val="000000"/>
                <w:lang w:eastAsia="en-AU"/>
              </w:rPr>
            </w:pPr>
          </w:p>
        </w:tc>
        <w:tc>
          <w:tcPr>
            <w:tcW w:w="7654" w:type="dxa"/>
            <w:shd w:val="clear" w:color="auto" w:fill="E7E6E6"/>
            <w:noWrap/>
            <w:vAlign w:val="center"/>
          </w:tcPr>
          <w:p w14:paraId="2FCD663E" w14:textId="77777777" w:rsidR="002F6C3E" w:rsidRPr="002F6C3E" w:rsidRDefault="002F6C3E" w:rsidP="002F6C3E">
            <w:pPr>
              <w:jc w:val="left"/>
              <w:rPr>
                <w:rFonts w:eastAsia="Times New Roman"/>
                <w:color w:val="000000"/>
                <w:lang w:eastAsia="en-AU"/>
              </w:rPr>
            </w:pPr>
            <w:r w:rsidRPr="002F6C3E">
              <w:rPr>
                <w:rFonts w:eastAsia="Calibri"/>
                <w:i/>
                <w:iCs/>
              </w:rPr>
              <w:t>Policy:</w:t>
            </w:r>
          </w:p>
        </w:tc>
      </w:tr>
      <w:tr w:rsidR="002F6C3E" w:rsidRPr="002F6C3E" w14:paraId="1A69934B" w14:textId="77777777" w:rsidTr="002F6C3E">
        <w:trPr>
          <w:trHeight w:val="300"/>
        </w:trPr>
        <w:tc>
          <w:tcPr>
            <w:tcW w:w="1980" w:type="dxa"/>
            <w:vMerge/>
            <w:shd w:val="clear" w:color="auto" w:fill="FFD966"/>
            <w:noWrap/>
            <w:vAlign w:val="center"/>
          </w:tcPr>
          <w:p w14:paraId="7F9E47A5"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762F94BA" w14:textId="77777777" w:rsidR="002F6C3E" w:rsidRPr="002F6C3E" w:rsidRDefault="002F6C3E" w:rsidP="002F6C3E">
            <w:pPr>
              <w:jc w:val="left"/>
              <w:rPr>
                <w:rFonts w:eastAsia="Times New Roman"/>
                <w:color w:val="000000"/>
                <w:lang w:eastAsia="en-AU"/>
              </w:rPr>
            </w:pPr>
            <w:r w:rsidRPr="002F6C3E">
              <w:rPr>
                <w:rFonts w:eastAsia="Calibri"/>
                <w:iCs/>
              </w:rPr>
              <w:t>Developed and implemented policies – (at least 6 of 7 policies -</w:t>
            </w:r>
            <w:r w:rsidRPr="002F6C3E">
              <w:rPr>
                <w:rFonts w:eastAsia="Calibri"/>
                <w:b/>
                <w:iCs/>
              </w:rPr>
              <w:t>Member Protection</w:t>
            </w:r>
            <w:r w:rsidRPr="002F6C3E">
              <w:rPr>
                <w:rFonts w:eastAsia="Calibri"/>
                <w:iCs/>
              </w:rPr>
              <w:t xml:space="preserve">, </w:t>
            </w:r>
            <w:r w:rsidRPr="002F6C3E">
              <w:rPr>
                <w:rFonts w:eastAsia="Calibri"/>
                <w:b/>
                <w:iCs/>
              </w:rPr>
              <w:t>Alcohol, Drugs in Sport</w:t>
            </w:r>
            <w:r w:rsidRPr="002F6C3E">
              <w:rPr>
                <w:rFonts w:eastAsia="Calibri"/>
                <w:iCs/>
              </w:rPr>
              <w:t>, Sports Betting, Match Fixing, Privacy, Inclusion</w:t>
            </w:r>
            <w:r w:rsidRPr="002F6C3E">
              <w:rPr>
                <w:rFonts w:eastAsia="Calibri"/>
                <w:b/>
                <w:iCs/>
              </w:rPr>
              <w:t>) (Mandatory)</w:t>
            </w:r>
          </w:p>
        </w:tc>
      </w:tr>
      <w:tr w:rsidR="002F6C3E" w:rsidRPr="002F6C3E" w14:paraId="3F139BC0" w14:textId="77777777" w:rsidTr="002F6C3E">
        <w:trPr>
          <w:trHeight w:val="300"/>
        </w:trPr>
        <w:tc>
          <w:tcPr>
            <w:tcW w:w="1980" w:type="dxa"/>
            <w:vMerge/>
            <w:shd w:val="clear" w:color="auto" w:fill="FFD966"/>
            <w:noWrap/>
            <w:vAlign w:val="center"/>
          </w:tcPr>
          <w:p w14:paraId="5F445120" w14:textId="77777777" w:rsidR="002F6C3E" w:rsidRPr="002F6C3E" w:rsidRDefault="002F6C3E" w:rsidP="002F6C3E">
            <w:pPr>
              <w:jc w:val="center"/>
              <w:rPr>
                <w:rFonts w:eastAsia="Times New Roman"/>
                <w:b/>
                <w:color w:val="000000"/>
                <w:lang w:eastAsia="en-AU"/>
              </w:rPr>
            </w:pPr>
          </w:p>
        </w:tc>
        <w:tc>
          <w:tcPr>
            <w:tcW w:w="7654" w:type="dxa"/>
            <w:shd w:val="clear" w:color="auto" w:fill="E7E6E6"/>
            <w:noWrap/>
            <w:vAlign w:val="center"/>
          </w:tcPr>
          <w:p w14:paraId="5AE93142" w14:textId="77777777" w:rsidR="002F6C3E" w:rsidRPr="002F6C3E" w:rsidRDefault="002F6C3E" w:rsidP="002F6C3E">
            <w:pPr>
              <w:jc w:val="left"/>
              <w:rPr>
                <w:rFonts w:eastAsia="Times New Roman"/>
                <w:color w:val="000000"/>
                <w:lang w:eastAsia="en-AU"/>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p>
        </w:tc>
      </w:tr>
      <w:tr w:rsidR="002F6C3E" w:rsidRPr="002F6C3E" w14:paraId="75A40794" w14:textId="77777777" w:rsidTr="002F6C3E">
        <w:trPr>
          <w:trHeight w:val="300"/>
        </w:trPr>
        <w:tc>
          <w:tcPr>
            <w:tcW w:w="1980" w:type="dxa"/>
            <w:vMerge/>
            <w:shd w:val="clear" w:color="auto" w:fill="FFD966"/>
            <w:noWrap/>
            <w:vAlign w:val="center"/>
          </w:tcPr>
          <w:p w14:paraId="6E4AE85E"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4AC15343" w14:textId="77777777" w:rsidR="002F6C3E" w:rsidRPr="002F6C3E" w:rsidRDefault="002F6C3E" w:rsidP="002F6C3E">
            <w:pPr>
              <w:jc w:val="left"/>
              <w:rPr>
                <w:rFonts w:eastAsia="Times New Roman"/>
                <w:color w:val="000000"/>
                <w:lang w:eastAsia="en-AU"/>
              </w:rPr>
            </w:pPr>
            <w:r w:rsidRPr="002F6C3E">
              <w:rPr>
                <w:rFonts w:eastAsia="Calibri"/>
              </w:rPr>
              <w:t>Meets board gender target &gt;= 50% female</w:t>
            </w:r>
          </w:p>
        </w:tc>
      </w:tr>
      <w:tr w:rsidR="002F6C3E" w:rsidRPr="002F6C3E" w14:paraId="0BBE1983" w14:textId="77777777" w:rsidTr="002F6C3E">
        <w:trPr>
          <w:trHeight w:val="300"/>
        </w:trPr>
        <w:tc>
          <w:tcPr>
            <w:tcW w:w="1980" w:type="dxa"/>
            <w:vMerge/>
            <w:shd w:val="clear" w:color="auto" w:fill="FFD966"/>
            <w:noWrap/>
            <w:vAlign w:val="center"/>
          </w:tcPr>
          <w:p w14:paraId="30C3BB97"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60006F63" w14:textId="77777777" w:rsidR="002F6C3E" w:rsidRPr="002F6C3E" w:rsidRDefault="002F6C3E" w:rsidP="002F6C3E">
            <w:pPr>
              <w:jc w:val="left"/>
              <w:rPr>
                <w:rFonts w:eastAsia="Times New Roman"/>
                <w:color w:val="000000"/>
                <w:lang w:eastAsia="en-AU"/>
              </w:rPr>
            </w:pPr>
            <w:r w:rsidRPr="002F6C3E">
              <w:rPr>
                <w:rFonts w:eastAsia="Calibri"/>
              </w:rPr>
              <w:t>Below board gender target &lt; 50% female</w:t>
            </w:r>
          </w:p>
        </w:tc>
      </w:tr>
      <w:tr w:rsidR="002F6C3E" w:rsidRPr="002F6C3E" w14:paraId="6231270F" w14:textId="77777777" w:rsidTr="002F6C3E">
        <w:trPr>
          <w:trHeight w:val="300"/>
        </w:trPr>
        <w:tc>
          <w:tcPr>
            <w:tcW w:w="1980" w:type="dxa"/>
            <w:vMerge/>
            <w:shd w:val="clear" w:color="auto" w:fill="FFD966"/>
            <w:noWrap/>
            <w:vAlign w:val="center"/>
          </w:tcPr>
          <w:p w14:paraId="16E56353"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79202B7C" w14:textId="77777777" w:rsidR="002F6C3E" w:rsidRPr="002F6C3E" w:rsidRDefault="002F6C3E" w:rsidP="002F6C3E">
            <w:pPr>
              <w:jc w:val="left"/>
              <w:rPr>
                <w:rFonts w:eastAsia="Times New Roman"/>
                <w:color w:val="000000"/>
                <w:lang w:eastAsia="en-AU"/>
              </w:rPr>
            </w:pPr>
            <w:r w:rsidRPr="002F6C3E">
              <w:rPr>
                <w:rFonts w:eastAsia="Calibri"/>
              </w:rPr>
              <w:t xml:space="preserve">No gender diversity on board </w:t>
            </w:r>
          </w:p>
        </w:tc>
      </w:tr>
      <w:tr w:rsidR="002F6C3E" w:rsidRPr="002F6C3E" w14:paraId="6C84870D" w14:textId="77777777" w:rsidTr="002F6C3E">
        <w:trPr>
          <w:trHeight w:val="300"/>
        </w:trPr>
        <w:tc>
          <w:tcPr>
            <w:tcW w:w="1980" w:type="dxa"/>
            <w:shd w:val="clear" w:color="auto" w:fill="FFD966"/>
            <w:noWrap/>
            <w:vAlign w:val="center"/>
            <w:hideMark/>
          </w:tcPr>
          <w:p w14:paraId="12B463C3"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Finance</w:t>
            </w:r>
          </w:p>
        </w:tc>
        <w:tc>
          <w:tcPr>
            <w:tcW w:w="7654" w:type="dxa"/>
            <w:noWrap/>
            <w:vAlign w:val="center"/>
            <w:hideMark/>
          </w:tcPr>
          <w:p w14:paraId="2D63E63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High annual total revenue between $1million-5million</w:t>
            </w:r>
          </w:p>
        </w:tc>
      </w:tr>
      <w:tr w:rsidR="002F6C3E" w:rsidRPr="002F6C3E" w14:paraId="0C774A39" w14:textId="77777777" w:rsidTr="002F6C3E">
        <w:trPr>
          <w:trHeight w:val="300"/>
        </w:trPr>
        <w:tc>
          <w:tcPr>
            <w:tcW w:w="1980" w:type="dxa"/>
            <w:vMerge w:val="restart"/>
            <w:shd w:val="clear" w:color="auto" w:fill="FFD966"/>
            <w:noWrap/>
            <w:vAlign w:val="center"/>
            <w:hideMark/>
          </w:tcPr>
          <w:p w14:paraId="333DF635"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Planning</w:t>
            </w:r>
          </w:p>
        </w:tc>
        <w:tc>
          <w:tcPr>
            <w:tcW w:w="7654" w:type="dxa"/>
            <w:shd w:val="clear" w:color="auto" w:fill="E7E6E6"/>
            <w:noWrap/>
            <w:vAlign w:val="center"/>
            <w:hideMark/>
          </w:tcPr>
          <w:p w14:paraId="6B1B2C16"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Very good planning culture:</w:t>
            </w:r>
          </w:p>
        </w:tc>
      </w:tr>
      <w:tr w:rsidR="002F6C3E" w:rsidRPr="002F6C3E" w14:paraId="53B7FDD5" w14:textId="77777777" w:rsidTr="002F6C3E">
        <w:trPr>
          <w:trHeight w:val="300"/>
        </w:trPr>
        <w:tc>
          <w:tcPr>
            <w:tcW w:w="1980" w:type="dxa"/>
            <w:vMerge/>
            <w:shd w:val="clear" w:color="auto" w:fill="FFD966"/>
            <w:noWrap/>
            <w:hideMark/>
          </w:tcPr>
          <w:p w14:paraId="5767147E"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288A10E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3-5-year strategic plan supported by a financial plan</w:t>
            </w:r>
          </w:p>
        </w:tc>
      </w:tr>
      <w:tr w:rsidR="002F6C3E" w:rsidRPr="002F6C3E" w14:paraId="34187F1D" w14:textId="77777777" w:rsidTr="002F6C3E">
        <w:trPr>
          <w:trHeight w:val="300"/>
        </w:trPr>
        <w:tc>
          <w:tcPr>
            <w:tcW w:w="1980" w:type="dxa"/>
            <w:vMerge/>
            <w:shd w:val="clear" w:color="auto" w:fill="FFD966"/>
            <w:noWrap/>
            <w:hideMark/>
          </w:tcPr>
          <w:p w14:paraId="5491B4E3"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74D54081"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operational plan</w:t>
            </w:r>
          </w:p>
        </w:tc>
      </w:tr>
      <w:tr w:rsidR="002F6C3E" w:rsidRPr="002F6C3E" w14:paraId="4E55754D" w14:textId="77777777" w:rsidTr="002F6C3E">
        <w:trPr>
          <w:trHeight w:val="300"/>
        </w:trPr>
        <w:tc>
          <w:tcPr>
            <w:tcW w:w="1980" w:type="dxa"/>
            <w:vMerge/>
            <w:shd w:val="clear" w:color="auto" w:fill="FFD966"/>
            <w:noWrap/>
            <w:hideMark/>
          </w:tcPr>
          <w:p w14:paraId="2AD144E4"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394CB20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budget</w:t>
            </w:r>
          </w:p>
        </w:tc>
      </w:tr>
      <w:tr w:rsidR="002F6C3E" w:rsidRPr="002F6C3E" w14:paraId="6B38FF76" w14:textId="77777777" w:rsidTr="002F6C3E">
        <w:trPr>
          <w:trHeight w:val="300"/>
        </w:trPr>
        <w:tc>
          <w:tcPr>
            <w:tcW w:w="1980" w:type="dxa"/>
            <w:vMerge/>
            <w:shd w:val="clear" w:color="auto" w:fill="FFD966"/>
            <w:noWrap/>
            <w:hideMark/>
          </w:tcPr>
          <w:p w14:paraId="3F81F9DE"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785B8CE4"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Risk Management Plan</w:t>
            </w:r>
          </w:p>
        </w:tc>
      </w:tr>
      <w:tr w:rsidR="002F6C3E" w:rsidRPr="002F6C3E" w14:paraId="36D4ADEE" w14:textId="77777777" w:rsidTr="002F6C3E">
        <w:trPr>
          <w:trHeight w:val="300"/>
        </w:trPr>
        <w:tc>
          <w:tcPr>
            <w:tcW w:w="1980" w:type="dxa"/>
            <w:vMerge/>
            <w:shd w:val="clear" w:color="auto" w:fill="FFD966"/>
            <w:noWrap/>
            <w:hideMark/>
          </w:tcPr>
          <w:p w14:paraId="04AD3CCB"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0501F30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Asset Management Plan</w:t>
            </w:r>
          </w:p>
        </w:tc>
      </w:tr>
      <w:tr w:rsidR="002F6C3E" w:rsidRPr="002F6C3E" w14:paraId="0980C59D" w14:textId="77777777" w:rsidTr="002F6C3E">
        <w:trPr>
          <w:trHeight w:val="300"/>
        </w:trPr>
        <w:tc>
          <w:tcPr>
            <w:tcW w:w="1980" w:type="dxa"/>
            <w:vMerge/>
            <w:shd w:val="clear" w:color="auto" w:fill="FFD966"/>
            <w:noWrap/>
            <w:hideMark/>
          </w:tcPr>
          <w:p w14:paraId="18215642"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51F6F0C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Workforce development plan </w:t>
            </w:r>
          </w:p>
        </w:tc>
      </w:tr>
      <w:tr w:rsidR="002F6C3E" w:rsidRPr="002F6C3E" w14:paraId="168D5016" w14:textId="77777777" w:rsidTr="002F6C3E">
        <w:trPr>
          <w:trHeight w:val="300"/>
        </w:trPr>
        <w:tc>
          <w:tcPr>
            <w:tcW w:w="1980" w:type="dxa"/>
            <w:vMerge/>
            <w:shd w:val="clear" w:color="auto" w:fill="FFD966"/>
            <w:noWrap/>
            <w:hideMark/>
          </w:tcPr>
          <w:p w14:paraId="2C29C30C"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592C60E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Marketing and Communications plan</w:t>
            </w:r>
          </w:p>
        </w:tc>
      </w:tr>
    </w:tbl>
    <w:p w14:paraId="4646263F" w14:textId="77777777" w:rsidR="002F6C3E" w:rsidRPr="002F6C3E" w:rsidRDefault="002F6C3E" w:rsidP="002F6C3E">
      <w:pPr>
        <w:spacing w:after="160" w:line="259" w:lineRule="auto"/>
        <w:jc w:val="left"/>
        <w:rPr>
          <w:rFonts w:eastAsia="Calibri"/>
        </w:rPr>
      </w:pPr>
    </w:p>
    <w:p w14:paraId="0C3618F4" w14:textId="77777777" w:rsidR="002F6C3E" w:rsidRPr="002F6C3E" w:rsidRDefault="002F6C3E" w:rsidP="002F6C3E">
      <w:pPr>
        <w:spacing w:after="160" w:line="259" w:lineRule="auto"/>
        <w:jc w:val="left"/>
        <w:rPr>
          <w:rFonts w:eastAsia="Calibri"/>
        </w:rPr>
      </w:pPr>
      <w:r w:rsidRPr="002F6C3E">
        <w:rPr>
          <w:rFonts w:eastAsia="Calibri"/>
        </w:rPr>
        <w:br w:type="page"/>
      </w:r>
    </w:p>
    <w:tbl>
      <w:tblPr>
        <w:tblStyle w:val="TableGrid1"/>
        <w:tblW w:w="9634" w:type="dxa"/>
        <w:tblLook w:val="04A0" w:firstRow="1" w:lastRow="0" w:firstColumn="1" w:lastColumn="0" w:noHBand="0" w:noVBand="1"/>
      </w:tblPr>
      <w:tblGrid>
        <w:gridCol w:w="1980"/>
        <w:gridCol w:w="7654"/>
      </w:tblGrid>
      <w:tr w:rsidR="002F6C3E" w:rsidRPr="002F6C3E" w14:paraId="3C288696" w14:textId="77777777" w:rsidTr="002F6C3E">
        <w:trPr>
          <w:trHeight w:val="600"/>
        </w:trPr>
        <w:tc>
          <w:tcPr>
            <w:tcW w:w="9634" w:type="dxa"/>
            <w:gridSpan w:val="2"/>
            <w:shd w:val="clear" w:color="auto" w:fill="FFF2CC"/>
            <w:noWrap/>
            <w:vAlign w:val="center"/>
            <w:hideMark/>
          </w:tcPr>
          <w:p w14:paraId="126808DB" w14:textId="77777777" w:rsidR="002F6C3E" w:rsidRPr="002F6C3E" w:rsidRDefault="002F6C3E" w:rsidP="002F6C3E">
            <w:pPr>
              <w:jc w:val="center"/>
              <w:rPr>
                <w:rFonts w:eastAsia="Times New Roman"/>
                <w:b/>
                <w:bCs/>
                <w:color w:val="000000"/>
                <w:lang w:eastAsia="en-AU"/>
              </w:rPr>
            </w:pPr>
            <w:r w:rsidRPr="002F6C3E">
              <w:rPr>
                <w:rFonts w:eastAsia="Times New Roman"/>
                <w:b/>
                <w:bCs/>
                <w:color w:val="000000"/>
                <w:lang w:eastAsia="en-AU"/>
              </w:rPr>
              <w:lastRenderedPageBreak/>
              <w:t>Category C</w:t>
            </w:r>
          </w:p>
        </w:tc>
      </w:tr>
      <w:tr w:rsidR="002F6C3E" w:rsidRPr="002F6C3E" w14:paraId="47383A12" w14:textId="77777777" w:rsidTr="002F6C3E">
        <w:trPr>
          <w:trHeight w:val="300"/>
        </w:trPr>
        <w:tc>
          <w:tcPr>
            <w:tcW w:w="1980" w:type="dxa"/>
            <w:vMerge w:val="restart"/>
            <w:shd w:val="clear" w:color="auto" w:fill="FFD966"/>
            <w:noWrap/>
            <w:vAlign w:val="center"/>
            <w:hideMark/>
          </w:tcPr>
          <w:p w14:paraId="79BFF7D7"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Participation / Membership</w:t>
            </w:r>
          </w:p>
        </w:tc>
        <w:tc>
          <w:tcPr>
            <w:tcW w:w="7654" w:type="dxa"/>
            <w:noWrap/>
            <w:vAlign w:val="center"/>
            <w:hideMark/>
          </w:tcPr>
          <w:p w14:paraId="5493DAA8"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Medium to high participation base &gt;20,000</w:t>
            </w:r>
          </w:p>
        </w:tc>
      </w:tr>
      <w:tr w:rsidR="002F6C3E" w:rsidRPr="002F6C3E" w14:paraId="2F469334" w14:textId="77777777" w:rsidTr="002F6C3E">
        <w:trPr>
          <w:trHeight w:val="300"/>
        </w:trPr>
        <w:tc>
          <w:tcPr>
            <w:tcW w:w="1980" w:type="dxa"/>
            <w:vMerge/>
            <w:shd w:val="clear" w:color="auto" w:fill="FFD966"/>
            <w:noWrap/>
            <w:vAlign w:val="center"/>
            <w:hideMark/>
          </w:tcPr>
          <w:p w14:paraId="5318929D"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70BD7536"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Medium to high membership &gt;15,000 </w:t>
            </w:r>
          </w:p>
        </w:tc>
      </w:tr>
      <w:tr w:rsidR="002F6C3E" w:rsidRPr="002F6C3E" w14:paraId="3FACC87F" w14:textId="77777777" w:rsidTr="002F6C3E">
        <w:trPr>
          <w:trHeight w:val="300"/>
        </w:trPr>
        <w:tc>
          <w:tcPr>
            <w:tcW w:w="1980" w:type="dxa"/>
            <w:vMerge w:val="restart"/>
            <w:shd w:val="clear" w:color="auto" w:fill="FFD966"/>
            <w:noWrap/>
            <w:vAlign w:val="center"/>
            <w:hideMark/>
          </w:tcPr>
          <w:p w14:paraId="4189EBA9"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High Performance / Pathways</w:t>
            </w:r>
          </w:p>
        </w:tc>
        <w:tc>
          <w:tcPr>
            <w:tcW w:w="7654" w:type="dxa"/>
            <w:shd w:val="clear" w:color="auto" w:fill="E7E6E6"/>
            <w:noWrap/>
            <w:vAlign w:val="center"/>
            <w:hideMark/>
          </w:tcPr>
          <w:p w14:paraId="63228DF5"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Medium talent development pathways:</w:t>
            </w:r>
          </w:p>
        </w:tc>
      </w:tr>
      <w:tr w:rsidR="002F6C3E" w:rsidRPr="002F6C3E" w14:paraId="53E8492B" w14:textId="77777777" w:rsidTr="002F6C3E">
        <w:trPr>
          <w:trHeight w:val="300"/>
        </w:trPr>
        <w:tc>
          <w:tcPr>
            <w:tcW w:w="1980" w:type="dxa"/>
            <w:vMerge/>
            <w:shd w:val="clear" w:color="auto" w:fill="FFD966"/>
            <w:noWrap/>
            <w:vAlign w:val="center"/>
            <w:hideMark/>
          </w:tcPr>
          <w:p w14:paraId="62947777"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74B80D6F"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(open)</w:t>
            </w:r>
          </w:p>
        </w:tc>
      </w:tr>
      <w:tr w:rsidR="002F6C3E" w:rsidRPr="002F6C3E" w14:paraId="7A018F56" w14:textId="77777777" w:rsidTr="002F6C3E">
        <w:trPr>
          <w:trHeight w:val="300"/>
        </w:trPr>
        <w:tc>
          <w:tcPr>
            <w:tcW w:w="1980" w:type="dxa"/>
            <w:vMerge/>
            <w:shd w:val="clear" w:color="auto" w:fill="FFD966"/>
            <w:noWrap/>
            <w:vAlign w:val="center"/>
            <w:hideMark/>
          </w:tcPr>
          <w:p w14:paraId="114BDB8D"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26327D6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(juniors)</w:t>
            </w:r>
          </w:p>
        </w:tc>
      </w:tr>
      <w:tr w:rsidR="002F6C3E" w:rsidRPr="002F6C3E" w14:paraId="0EF54867" w14:textId="77777777" w:rsidTr="002F6C3E">
        <w:trPr>
          <w:trHeight w:val="300"/>
        </w:trPr>
        <w:tc>
          <w:tcPr>
            <w:tcW w:w="1980" w:type="dxa"/>
            <w:vMerge/>
            <w:shd w:val="clear" w:color="auto" w:fill="FFD966"/>
            <w:noWrap/>
            <w:vAlign w:val="center"/>
            <w:hideMark/>
          </w:tcPr>
          <w:p w14:paraId="28E4DBEA"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6ED57BA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Championships participation – open AND junior</w:t>
            </w:r>
          </w:p>
        </w:tc>
      </w:tr>
      <w:tr w:rsidR="002F6C3E" w:rsidRPr="002F6C3E" w14:paraId="7BE41CA4" w14:textId="77777777" w:rsidTr="002F6C3E">
        <w:trPr>
          <w:trHeight w:val="300"/>
        </w:trPr>
        <w:tc>
          <w:tcPr>
            <w:tcW w:w="1980" w:type="dxa"/>
            <w:vMerge/>
            <w:shd w:val="clear" w:color="auto" w:fill="FFD966"/>
            <w:noWrap/>
            <w:vAlign w:val="center"/>
            <w:hideMark/>
          </w:tcPr>
          <w:p w14:paraId="72E75AC7"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30926973"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Junior/Senior base</w:t>
            </w:r>
          </w:p>
        </w:tc>
      </w:tr>
      <w:tr w:rsidR="002F6C3E" w:rsidRPr="002F6C3E" w14:paraId="20703F66" w14:textId="77777777" w:rsidTr="002F6C3E">
        <w:trPr>
          <w:trHeight w:val="300"/>
        </w:trPr>
        <w:tc>
          <w:tcPr>
            <w:tcW w:w="1980" w:type="dxa"/>
            <w:vMerge/>
            <w:shd w:val="clear" w:color="auto" w:fill="FFD966"/>
            <w:noWrap/>
            <w:vAlign w:val="center"/>
            <w:hideMark/>
          </w:tcPr>
          <w:p w14:paraId="792BC4CC"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1F29C4D1"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Coach/Official</w:t>
            </w:r>
          </w:p>
        </w:tc>
      </w:tr>
      <w:tr w:rsidR="002F6C3E" w:rsidRPr="002F6C3E" w14:paraId="50F4E2D5" w14:textId="77777777" w:rsidTr="002F6C3E">
        <w:trPr>
          <w:trHeight w:val="300"/>
        </w:trPr>
        <w:tc>
          <w:tcPr>
            <w:tcW w:w="1980" w:type="dxa"/>
            <w:shd w:val="clear" w:color="auto" w:fill="FFD966"/>
            <w:noWrap/>
            <w:vAlign w:val="center"/>
          </w:tcPr>
          <w:p w14:paraId="0D3CEBBF"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Regional Delivery</w:t>
            </w:r>
          </w:p>
        </w:tc>
        <w:tc>
          <w:tcPr>
            <w:tcW w:w="7654" w:type="dxa"/>
            <w:shd w:val="clear" w:color="auto" w:fill="FFFFFF"/>
            <w:noWrap/>
            <w:vAlign w:val="center"/>
          </w:tcPr>
          <w:p w14:paraId="752CC0FF" w14:textId="77777777" w:rsidR="002F6C3E" w:rsidRPr="002F6C3E" w:rsidRDefault="002F6C3E" w:rsidP="002F6C3E">
            <w:pPr>
              <w:jc w:val="left"/>
              <w:rPr>
                <w:rFonts w:eastAsia="Times New Roman"/>
                <w:i/>
                <w:iCs/>
                <w:color w:val="000000"/>
                <w:lang w:eastAsia="en-AU"/>
              </w:rPr>
            </w:pPr>
            <w:r w:rsidRPr="002F6C3E">
              <w:rPr>
                <w:rFonts w:eastAsia="Times New Roman"/>
                <w:color w:val="000000"/>
                <w:lang w:eastAsia="en-AU"/>
              </w:rPr>
              <w:t>Medium affiliated regional representation in 7 to 8 regions</w:t>
            </w:r>
          </w:p>
        </w:tc>
      </w:tr>
      <w:tr w:rsidR="002F6C3E" w:rsidRPr="002F6C3E" w14:paraId="626B5FA9" w14:textId="77777777" w:rsidTr="002F6C3E">
        <w:trPr>
          <w:trHeight w:val="300"/>
        </w:trPr>
        <w:tc>
          <w:tcPr>
            <w:tcW w:w="1980" w:type="dxa"/>
            <w:vMerge w:val="restart"/>
            <w:shd w:val="clear" w:color="auto" w:fill="FFD966"/>
            <w:noWrap/>
            <w:vAlign w:val="center"/>
            <w:hideMark/>
          </w:tcPr>
          <w:p w14:paraId="5DAEEA4E"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Community Reach / programming</w:t>
            </w:r>
          </w:p>
        </w:tc>
        <w:tc>
          <w:tcPr>
            <w:tcW w:w="7654" w:type="dxa"/>
            <w:shd w:val="clear" w:color="auto" w:fill="E7E6E6"/>
            <w:noWrap/>
            <w:vAlign w:val="center"/>
            <w:hideMark/>
          </w:tcPr>
          <w:p w14:paraId="1A5FA5E1"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Medium reach into the WA community:</w:t>
            </w:r>
          </w:p>
        </w:tc>
      </w:tr>
      <w:tr w:rsidR="002F6C3E" w:rsidRPr="002F6C3E" w14:paraId="4F5C6A00" w14:textId="77777777" w:rsidTr="002F6C3E">
        <w:trPr>
          <w:trHeight w:val="300"/>
        </w:trPr>
        <w:tc>
          <w:tcPr>
            <w:tcW w:w="1980" w:type="dxa"/>
            <w:vMerge/>
            <w:shd w:val="clear" w:color="auto" w:fill="FFD966"/>
            <w:noWrap/>
            <w:vAlign w:val="center"/>
            <w:hideMark/>
          </w:tcPr>
          <w:p w14:paraId="4C41B5B4"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0FE49608"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product delivered in schools</w:t>
            </w:r>
          </w:p>
        </w:tc>
      </w:tr>
      <w:tr w:rsidR="002F6C3E" w:rsidRPr="002F6C3E" w14:paraId="5D8940B8" w14:textId="77777777" w:rsidTr="002F6C3E">
        <w:trPr>
          <w:trHeight w:val="300"/>
        </w:trPr>
        <w:tc>
          <w:tcPr>
            <w:tcW w:w="1980" w:type="dxa"/>
            <w:vMerge/>
            <w:shd w:val="clear" w:color="auto" w:fill="FFD966"/>
            <w:noWrap/>
            <w:vAlign w:val="center"/>
            <w:hideMark/>
          </w:tcPr>
          <w:p w14:paraId="275B6B93"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793ABD9E"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Recreational/social focus AND organised sport</w:t>
            </w:r>
          </w:p>
        </w:tc>
      </w:tr>
      <w:tr w:rsidR="002F6C3E" w:rsidRPr="002F6C3E" w14:paraId="39AD2B71" w14:textId="77777777" w:rsidTr="002F6C3E">
        <w:trPr>
          <w:trHeight w:val="300"/>
        </w:trPr>
        <w:tc>
          <w:tcPr>
            <w:tcW w:w="1980" w:type="dxa"/>
            <w:vMerge/>
            <w:shd w:val="clear" w:color="auto" w:fill="FFD966"/>
            <w:noWrap/>
            <w:vAlign w:val="center"/>
            <w:hideMark/>
          </w:tcPr>
          <w:p w14:paraId="7584C974"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0231559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Participation events</w:t>
            </w:r>
          </w:p>
        </w:tc>
      </w:tr>
      <w:tr w:rsidR="002F6C3E" w:rsidRPr="002F6C3E" w14:paraId="0961CBCC" w14:textId="77777777" w:rsidTr="002F6C3E">
        <w:trPr>
          <w:trHeight w:val="300"/>
        </w:trPr>
        <w:tc>
          <w:tcPr>
            <w:tcW w:w="1980" w:type="dxa"/>
            <w:vMerge/>
            <w:shd w:val="clear" w:color="auto" w:fill="FFD966"/>
            <w:noWrap/>
            <w:vAlign w:val="center"/>
            <w:hideMark/>
          </w:tcPr>
          <w:p w14:paraId="436860A0"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164FAB0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Inclusive sport (meets at least 1 principle: female, youth, Aboriginal, CALD, disabled, aged)</w:t>
            </w:r>
          </w:p>
        </w:tc>
      </w:tr>
      <w:tr w:rsidR="002F6C3E" w:rsidRPr="002F6C3E" w14:paraId="766A7F70" w14:textId="77777777" w:rsidTr="002F6C3E">
        <w:trPr>
          <w:trHeight w:val="300"/>
        </w:trPr>
        <w:tc>
          <w:tcPr>
            <w:tcW w:w="1980" w:type="dxa"/>
            <w:shd w:val="clear" w:color="auto" w:fill="FFD966"/>
            <w:noWrap/>
            <w:vAlign w:val="center"/>
            <w:hideMark/>
          </w:tcPr>
          <w:p w14:paraId="07D3FBD2"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Finance</w:t>
            </w:r>
          </w:p>
        </w:tc>
        <w:tc>
          <w:tcPr>
            <w:tcW w:w="7654" w:type="dxa"/>
            <w:noWrap/>
            <w:vAlign w:val="center"/>
            <w:hideMark/>
          </w:tcPr>
          <w:p w14:paraId="6A706F4B"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Good annual total revenue between $750,000-1million</w:t>
            </w:r>
          </w:p>
        </w:tc>
      </w:tr>
      <w:tr w:rsidR="002F6C3E" w:rsidRPr="002F6C3E" w14:paraId="6D3CA7C3" w14:textId="77777777" w:rsidTr="002F6C3E">
        <w:trPr>
          <w:trHeight w:val="300"/>
        </w:trPr>
        <w:tc>
          <w:tcPr>
            <w:tcW w:w="1980" w:type="dxa"/>
            <w:vMerge w:val="restart"/>
            <w:shd w:val="clear" w:color="auto" w:fill="FFD966"/>
            <w:noWrap/>
            <w:vAlign w:val="center"/>
            <w:hideMark/>
          </w:tcPr>
          <w:p w14:paraId="6EA7DACE"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Governance</w:t>
            </w:r>
          </w:p>
        </w:tc>
        <w:tc>
          <w:tcPr>
            <w:tcW w:w="7654" w:type="dxa"/>
            <w:shd w:val="clear" w:color="auto" w:fill="E7E6E6"/>
            <w:noWrap/>
            <w:vAlign w:val="center"/>
            <w:hideMark/>
          </w:tcPr>
          <w:p w14:paraId="3881F910"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Good governance and management:</w:t>
            </w:r>
          </w:p>
        </w:tc>
      </w:tr>
      <w:tr w:rsidR="002F6C3E" w:rsidRPr="002F6C3E" w14:paraId="67E417BA" w14:textId="77777777" w:rsidTr="002F6C3E">
        <w:trPr>
          <w:trHeight w:val="300"/>
        </w:trPr>
        <w:tc>
          <w:tcPr>
            <w:tcW w:w="1980" w:type="dxa"/>
            <w:vMerge/>
            <w:shd w:val="clear" w:color="auto" w:fill="FFD966"/>
            <w:noWrap/>
            <w:vAlign w:val="center"/>
            <w:hideMark/>
          </w:tcPr>
          <w:p w14:paraId="4AFCD295" w14:textId="77777777" w:rsidR="002F6C3E" w:rsidRPr="002F6C3E" w:rsidRDefault="002F6C3E" w:rsidP="002F6C3E">
            <w:pPr>
              <w:jc w:val="center"/>
              <w:rPr>
                <w:rFonts w:eastAsia="Times New Roman"/>
                <w:b/>
                <w:color w:val="000000"/>
                <w:lang w:eastAsia="en-AU"/>
              </w:rPr>
            </w:pPr>
          </w:p>
        </w:tc>
        <w:tc>
          <w:tcPr>
            <w:tcW w:w="7654" w:type="dxa"/>
            <w:noWrap/>
            <w:vAlign w:val="center"/>
            <w:hideMark/>
          </w:tcPr>
          <w:p w14:paraId="602789F3"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&gt;125 rating against governance checklist </w:t>
            </w:r>
          </w:p>
        </w:tc>
      </w:tr>
      <w:tr w:rsidR="002F6C3E" w:rsidRPr="002F6C3E" w14:paraId="739BF0B9" w14:textId="77777777" w:rsidTr="002F6C3E">
        <w:trPr>
          <w:trHeight w:val="300"/>
        </w:trPr>
        <w:tc>
          <w:tcPr>
            <w:tcW w:w="1980" w:type="dxa"/>
            <w:vMerge/>
            <w:shd w:val="clear" w:color="auto" w:fill="FFD966"/>
            <w:noWrap/>
            <w:vAlign w:val="center"/>
          </w:tcPr>
          <w:p w14:paraId="346F1C5A" w14:textId="77777777" w:rsidR="002F6C3E" w:rsidRPr="002F6C3E" w:rsidRDefault="002F6C3E" w:rsidP="002F6C3E">
            <w:pPr>
              <w:jc w:val="center"/>
              <w:rPr>
                <w:rFonts w:eastAsia="Times New Roman"/>
                <w:b/>
                <w:color w:val="000000"/>
                <w:lang w:eastAsia="en-AU"/>
              </w:rPr>
            </w:pPr>
          </w:p>
        </w:tc>
        <w:tc>
          <w:tcPr>
            <w:tcW w:w="7654" w:type="dxa"/>
            <w:shd w:val="clear" w:color="auto" w:fill="E7E6E6"/>
            <w:noWrap/>
            <w:vAlign w:val="center"/>
          </w:tcPr>
          <w:p w14:paraId="259F841C" w14:textId="77777777" w:rsidR="002F6C3E" w:rsidRPr="002F6C3E" w:rsidRDefault="002F6C3E" w:rsidP="002F6C3E">
            <w:pPr>
              <w:jc w:val="left"/>
              <w:rPr>
                <w:rFonts w:eastAsia="Times New Roman"/>
                <w:color w:val="000000"/>
                <w:lang w:eastAsia="en-AU"/>
              </w:rPr>
            </w:pPr>
            <w:r w:rsidRPr="002F6C3E">
              <w:rPr>
                <w:rFonts w:eastAsia="Calibri"/>
                <w:i/>
                <w:iCs/>
              </w:rPr>
              <w:t>Policy:</w:t>
            </w:r>
          </w:p>
        </w:tc>
      </w:tr>
      <w:tr w:rsidR="002F6C3E" w:rsidRPr="002F6C3E" w14:paraId="7DEA6A08" w14:textId="77777777" w:rsidTr="002F6C3E">
        <w:trPr>
          <w:trHeight w:val="300"/>
        </w:trPr>
        <w:tc>
          <w:tcPr>
            <w:tcW w:w="1980" w:type="dxa"/>
            <w:vMerge/>
            <w:shd w:val="clear" w:color="auto" w:fill="FFD966"/>
            <w:noWrap/>
            <w:vAlign w:val="center"/>
          </w:tcPr>
          <w:p w14:paraId="406EDF25"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787364AE" w14:textId="77777777" w:rsidR="002F6C3E" w:rsidRPr="002F6C3E" w:rsidRDefault="002F6C3E" w:rsidP="002F6C3E">
            <w:pPr>
              <w:jc w:val="left"/>
              <w:rPr>
                <w:rFonts w:eastAsia="Times New Roman"/>
                <w:color w:val="000000"/>
                <w:lang w:eastAsia="en-AU"/>
              </w:rPr>
            </w:pPr>
            <w:r w:rsidRPr="002F6C3E">
              <w:rPr>
                <w:rFonts w:eastAsia="Calibri"/>
                <w:iCs/>
              </w:rPr>
              <w:t>Developed and implemented policies – (at least 5 of 7 policies -</w:t>
            </w:r>
            <w:r w:rsidRPr="002F6C3E">
              <w:rPr>
                <w:rFonts w:eastAsia="Calibri"/>
                <w:b/>
                <w:iCs/>
              </w:rPr>
              <w:t>Member Protection, Alcohol, Drugs in Sport</w:t>
            </w:r>
            <w:r w:rsidRPr="002F6C3E">
              <w:rPr>
                <w:rFonts w:eastAsia="Calibri"/>
                <w:iCs/>
              </w:rPr>
              <w:t xml:space="preserve">, Sports Betting, Match Fixing, Privacy, Inclusion) </w:t>
            </w:r>
            <w:r w:rsidRPr="002F6C3E">
              <w:rPr>
                <w:rFonts w:eastAsia="Calibri"/>
                <w:b/>
                <w:iCs/>
              </w:rPr>
              <w:t>(Mandatory)</w:t>
            </w:r>
          </w:p>
        </w:tc>
      </w:tr>
      <w:tr w:rsidR="002F6C3E" w:rsidRPr="002F6C3E" w14:paraId="70E8BB6B" w14:textId="77777777" w:rsidTr="002F6C3E">
        <w:trPr>
          <w:trHeight w:val="300"/>
        </w:trPr>
        <w:tc>
          <w:tcPr>
            <w:tcW w:w="1980" w:type="dxa"/>
            <w:vMerge/>
            <w:shd w:val="clear" w:color="auto" w:fill="FFD966"/>
            <w:noWrap/>
            <w:vAlign w:val="center"/>
          </w:tcPr>
          <w:p w14:paraId="24F2BACE" w14:textId="77777777" w:rsidR="002F6C3E" w:rsidRPr="002F6C3E" w:rsidRDefault="002F6C3E" w:rsidP="002F6C3E">
            <w:pPr>
              <w:jc w:val="center"/>
              <w:rPr>
                <w:rFonts w:eastAsia="Times New Roman"/>
                <w:b/>
                <w:color w:val="000000"/>
                <w:lang w:eastAsia="en-AU"/>
              </w:rPr>
            </w:pPr>
          </w:p>
        </w:tc>
        <w:tc>
          <w:tcPr>
            <w:tcW w:w="7654" w:type="dxa"/>
            <w:shd w:val="clear" w:color="auto" w:fill="E7E6E6"/>
            <w:noWrap/>
            <w:vAlign w:val="center"/>
          </w:tcPr>
          <w:p w14:paraId="0EF53B18" w14:textId="77777777" w:rsidR="002F6C3E" w:rsidRPr="002F6C3E" w:rsidRDefault="002F6C3E" w:rsidP="002F6C3E">
            <w:pPr>
              <w:jc w:val="left"/>
              <w:rPr>
                <w:rFonts w:eastAsia="Times New Roman"/>
                <w:color w:val="000000"/>
                <w:lang w:eastAsia="en-AU"/>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p>
        </w:tc>
      </w:tr>
      <w:tr w:rsidR="002F6C3E" w:rsidRPr="002F6C3E" w14:paraId="0915C40F" w14:textId="77777777" w:rsidTr="002F6C3E">
        <w:trPr>
          <w:trHeight w:val="300"/>
        </w:trPr>
        <w:tc>
          <w:tcPr>
            <w:tcW w:w="1980" w:type="dxa"/>
            <w:vMerge/>
            <w:shd w:val="clear" w:color="auto" w:fill="FFD966"/>
            <w:noWrap/>
            <w:vAlign w:val="center"/>
          </w:tcPr>
          <w:p w14:paraId="2B6ADE73"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3DE4AEE1" w14:textId="77777777" w:rsidR="002F6C3E" w:rsidRPr="002F6C3E" w:rsidRDefault="002F6C3E" w:rsidP="002F6C3E">
            <w:pPr>
              <w:jc w:val="left"/>
              <w:rPr>
                <w:rFonts w:eastAsia="Times New Roman"/>
                <w:color w:val="000000"/>
                <w:lang w:eastAsia="en-AU"/>
              </w:rPr>
            </w:pPr>
            <w:r w:rsidRPr="002F6C3E">
              <w:rPr>
                <w:rFonts w:eastAsia="Calibri"/>
              </w:rPr>
              <w:t>Meets board gender target &gt;= 50% female</w:t>
            </w:r>
          </w:p>
        </w:tc>
      </w:tr>
      <w:tr w:rsidR="002F6C3E" w:rsidRPr="002F6C3E" w14:paraId="5B7F07F6" w14:textId="77777777" w:rsidTr="002F6C3E">
        <w:trPr>
          <w:trHeight w:val="300"/>
        </w:trPr>
        <w:tc>
          <w:tcPr>
            <w:tcW w:w="1980" w:type="dxa"/>
            <w:vMerge/>
            <w:shd w:val="clear" w:color="auto" w:fill="FFD966"/>
            <w:noWrap/>
            <w:vAlign w:val="center"/>
          </w:tcPr>
          <w:p w14:paraId="230F3085"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18C51338" w14:textId="77777777" w:rsidR="002F6C3E" w:rsidRPr="002F6C3E" w:rsidRDefault="002F6C3E" w:rsidP="002F6C3E">
            <w:pPr>
              <w:jc w:val="left"/>
              <w:rPr>
                <w:rFonts w:eastAsia="Times New Roman"/>
                <w:color w:val="000000"/>
                <w:lang w:eastAsia="en-AU"/>
              </w:rPr>
            </w:pPr>
            <w:r w:rsidRPr="002F6C3E">
              <w:rPr>
                <w:rFonts w:eastAsia="Calibri"/>
              </w:rPr>
              <w:t>Below board gender target &lt; 50% female</w:t>
            </w:r>
          </w:p>
        </w:tc>
      </w:tr>
      <w:tr w:rsidR="002F6C3E" w:rsidRPr="002F6C3E" w14:paraId="48307E70" w14:textId="77777777" w:rsidTr="002F6C3E">
        <w:trPr>
          <w:trHeight w:val="300"/>
        </w:trPr>
        <w:tc>
          <w:tcPr>
            <w:tcW w:w="1980" w:type="dxa"/>
            <w:vMerge/>
            <w:shd w:val="clear" w:color="auto" w:fill="FFD966"/>
            <w:noWrap/>
            <w:vAlign w:val="center"/>
          </w:tcPr>
          <w:p w14:paraId="3361402F" w14:textId="77777777" w:rsidR="002F6C3E" w:rsidRPr="002F6C3E" w:rsidRDefault="002F6C3E" w:rsidP="002F6C3E">
            <w:pPr>
              <w:jc w:val="center"/>
              <w:rPr>
                <w:rFonts w:eastAsia="Times New Roman"/>
                <w:b/>
                <w:color w:val="000000"/>
                <w:lang w:eastAsia="en-AU"/>
              </w:rPr>
            </w:pPr>
          </w:p>
        </w:tc>
        <w:tc>
          <w:tcPr>
            <w:tcW w:w="7654" w:type="dxa"/>
            <w:noWrap/>
            <w:vAlign w:val="center"/>
          </w:tcPr>
          <w:p w14:paraId="34E8206B" w14:textId="77777777" w:rsidR="002F6C3E" w:rsidRPr="002F6C3E" w:rsidRDefault="002F6C3E" w:rsidP="002F6C3E">
            <w:pPr>
              <w:jc w:val="left"/>
              <w:rPr>
                <w:rFonts w:eastAsia="Times New Roman"/>
                <w:color w:val="000000"/>
                <w:lang w:eastAsia="en-AU"/>
              </w:rPr>
            </w:pPr>
            <w:r w:rsidRPr="002F6C3E">
              <w:rPr>
                <w:rFonts w:eastAsia="Calibri"/>
              </w:rPr>
              <w:t xml:space="preserve">No gender diversity on board </w:t>
            </w:r>
          </w:p>
        </w:tc>
      </w:tr>
      <w:tr w:rsidR="002F6C3E" w:rsidRPr="002F6C3E" w14:paraId="2D421D99" w14:textId="77777777" w:rsidTr="002F6C3E">
        <w:trPr>
          <w:trHeight w:val="300"/>
        </w:trPr>
        <w:tc>
          <w:tcPr>
            <w:tcW w:w="1980" w:type="dxa"/>
            <w:vMerge w:val="restart"/>
            <w:shd w:val="clear" w:color="auto" w:fill="FFD966"/>
            <w:noWrap/>
            <w:vAlign w:val="center"/>
            <w:hideMark/>
          </w:tcPr>
          <w:p w14:paraId="076F792A"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Planning</w:t>
            </w:r>
          </w:p>
        </w:tc>
        <w:tc>
          <w:tcPr>
            <w:tcW w:w="7654" w:type="dxa"/>
            <w:shd w:val="clear" w:color="auto" w:fill="E7E6E6"/>
            <w:noWrap/>
            <w:vAlign w:val="center"/>
            <w:hideMark/>
          </w:tcPr>
          <w:p w14:paraId="5A87F801"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Good planning culture:</w:t>
            </w:r>
          </w:p>
        </w:tc>
      </w:tr>
      <w:tr w:rsidR="002F6C3E" w:rsidRPr="002F6C3E" w14:paraId="2BB2E337" w14:textId="77777777" w:rsidTr="002F6C3E">
        <w:trPr>
          <w:trHeight w:val="300"/>
        </w:trPr>
        <w:tc>
          <w:tcPr>
            <w:tcW w:w="1980" w:type="dxa"/>
            <w:vMerge/>
            <w:shd w:val="clear" w:color="auto" w:fill="FFD966"/>
            <w:noWrap/>
            <w:hideMark/>
          </w:tcPr>
          <w:p w14:paraId="5C764B40"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4131B9D4"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3-year strategic plan</w:t>
            </w:r>
          </w:p>
        </w:tc>
      </w:tr>
      <w:tr w:rsidR="002F6C3E" w:rsidRPr="002F6C3E" w14:paraId="6BCBB071" w14:textId="77777777" w:rsidTr="002F6C3E">
        <w:trPr>
          <w:trHeight w:val="300"/>
        </w:trPr>
        <w:tc>
          <w:tcPr>
            <w:tcW w:w="1980" w:type="dxa"/>
            <w:vMerge/>
            <w:shd w:val="clear" w:color="auto" w:fill="FFD966"/>
            <w:noWrap/>
            <w:hideMark/>
          </w:tcPr>
          <w:p w14:paraId="08C38FB9"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516D5E6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operational plan</w:t>
            </w:r>
          </w:p>
        </w:tc>
      </w:tr>
      <w:tr w:rsidR="002F6C3E" w:rsidRPr="002F6C3E" w14:paraId="60D0884C" w14:textId="77777777" w:rsidTr="002F6C3E">
        <w:trPr>
          <w:trHeight w:val="300"/>
        </w:trPr>
        <w:tc>
          <w:tcPr>
            <w:tcW w:w="1980" w:type="dxa"/>
            <w:vMerge/>
            <w:shd w:val="clear" w:color="auto" w:fill="FFD966"/>
            <w:noWrap/>
            <w:hideMark/>
          </w:tcPr>
          <w:p w14:paraId="003CD824"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393C7E9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budget</w:t>
            </w:r>
          </w:p>
        </w:tc>
      </w:tr>
      <w:tr w:rsidR="002F6C3E" w:rsidRPr="002F6C3E" w14:paraId="5FB4F713" w14:textId="77777777" w:rsidTr="002F6C3E">
        <w:trPr>
          <w:trHeight w:val="300"/>
        </w:trPr>
        <w:tc>
          <w:tcPr>
            <w:tcW w:w="1980" w:type="dxa"/>
            <w:vMerge/>
            <w:shd w:val="clear" w:color="auto" w:fill="FFD966"/>
            <w:noWrap/>
            <w:hideMark/>
          </w:tcPr>
          <w:p w14:paraId="3B09AAFE"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7CF1B4E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Risk Management Plan </w:t>
            </w:r>
          </w:p>
        </w:tc>
      </w:tr>
      <w:tr w:rsidR="002F6C3E" w:rsidRPr="002F6C3E" w14:paraId="1DCA5570" w14:textId="77777777" w:rsidTr="002F6C3E">
        <w:trPr>
          <w:trHeight w:val="300"/>
        </w:trPr>
        <w:tc>
          <w:tcPr>
            <w:tcW w:w="1980" w:type="dxa"/>
            <w:vMerge/>
            <w:shd w:val="clear" w:color="auto" w:fill="FFD966"/>
            <w:noWrap/>
            <w:hideMark/>
          </w:tcPr>
          <w:p w14:paraId="3C777DED"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4F26C7C3"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Asset register</w:t>
            </w:r>
          </w:p>
        </w:tc>
      </w:tr>
      <w:tr w:rsidR="002F6C3E" w:rsidRPr="002F6C3E" w14:paraId="77F089C4" w14:textId="77777777" w:rsidTr="002F6C3E">
        <w:trPr>
          <w:trHeight w:val="300"/>
        </w:trPr>
        <w:tc>
          <w:tcPr>
            <w:tcW w:w="1980" w:type="dxa"/>
            <w:vMerge/>
            <w:shd w:val="clear" w:color="auto" w:fill="FFD966"/>
            <w:noWrap/>
            <w:hideMark/>
          </w:tcPr>
          <w:p w14:paraId="763C7C1B"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09721086"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Volunteer Management Plan</w:t>
            </w:r>
          </w:p>
        </w:tc>
      </w:tr>
      <w:tr w:rsidR="002F6C3E" w:rsidRPr="002F6C3E" w14:paraId="74810D30" w14:textId="77777777" w:rsidTr="002F6C3E">
        <w:trPr>
          <w:trHeight w:val="300"/>
        </w:trPr>
        <w:tc>
          <w:tcPr>
            <w:tcW w:w="1980" w:type="dxa"/>
            <w:vMerge/>
            <w:shd w:val="clear" w:color="auto" w:fill="FFD966"/>
            <w:noWrap/>
            <w:hideMark/>
          </w:tcPr>
          <w:p w14:paraId="61E22108" w14:textId="77777777" w:rsidR="002F6C3E" w:rsidRPr="002F6C3E" w:rsidRDefault="002F6C3E" w:rsidP="002F6C3E">
            <w:pPr>
              <w:jc w:val="left"/>
              <w:rPr>
                <w:rFonts w:eastAsia="Times New Roman"/>
                <w:color w:val="000000"/>
                <w:lang w:eastAsia="en-AU"/>
              </w:rPr>
            </w:pPr>
          </w:p>
        </w:tc>
        <w:tc>
          <w:tcPr>
            <w:tcW w:w="7654" w:type="dxa"/>
            <w:noWrap/>
            <w:vAlign w:val="center"/>
            <w:hideMark/>
          </w:tcPr>
          <w:p w14:paraId="3B1A216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Marketing or Communications plan</w:t>
            </w:r>
          </w:p>
        </w:tc>
      </w:tr>
    </w:tbl>
    <w:p w14:paraId="15E3EC4B" w14:textId="77777777" w:rsidR="002F6C3E" w:rsidRPr="002F6C3E" w:rsidRDefault="002F6C3E" w:rsidP="002F6C3E">
      <w:pPr>
        <w:spacing w:after="160" w:line="259" w:lineRule="auto"/>
        <w:jc w:val="left"/>
        <w:rPr>
          <w:rFonts w:eastAsia="Calibri"/>
        </w:rPr>
      </w:pPr>
    </w:p>
    <w:p w14:paraId="63ECA47A" w14:textId="77777777" w:rsidR="002F6C3E" w:rsidRPr="002F6C3E" w:rsidRDefault="002F6C3E" w:rsidP="002F6C3E">
      <w:pPr>
        <w:spacing w:after="160" w:line="259" w:lineRule="auto"/>
        <w:jc w:val="left"/>
        <w:rPr>
          <w:rFonts w:eastAsia="Calibri"/>
        </w:rPr>
      </w:pPr>
      <w:r w:rsidRPr="002F6C3E">
        <w:rPr>
          <w:rFonts w:eastAsia="Calibri"/>
        </w:rPr>
        <w:br w:type="page"/>
      </w:r>
    </w:p>
    <w:tbl>
      <w:tblPr>
        <w:tblStyle w:val="TableGrid1"/>
        <w:tblW w:w="9209" w:type="dxa"/>
        <w:tblLook w:val="04A0" w:firstRow="1" w:lastRow="0" w:firstColumn="1" w:lastColumn="0" w:noHBand="0" w:noVBand="1"/>
      </w:tblPr>
      <w:tblGrid>
        <w:gridCol w:w="1838"/>
        <w:gridCol w:w="7371"/>
      </w:tblGrid>
      <w:tr w:rsidR="002F6C3E" w:rsidRPr="002F6C3E" w14:paraId="1EF23F28" w14:textId="77777777" w:rsidTr="002F6C3E">
        <w:trPr>
          <w:trHeight w:val="600"/>
        </w:trPr>
        <w:tc>
          <w:tcPr>
            <w:tcW w:w="9209" w:type="dxa"/>
            <w:gridSpan w:val="2"/>
            <w:shd w:val="clear" w:color="auto" w:fill="FFF2CC"/>
            <w:noWrap/>
            <w:vAlign w:val="center"/>
            <w:hideMark/>
          </w:tcPr>
          <w:p w14:paraId="086ED51C" w14:textId="77777777" w:rsidR="002F6C3E" w:rsidRPr="002F6C3E" w:rsidRDefault="002F6C3E" w:rsidP="002F6C3E">
            <w:pPr>
              <w:jc w:val="center"/>
              <w:rPr>
                <w:rFonts w:eastAsia="Times New Roman"/>
                <w:b/>
                <w:bCs/>
                <w:color w:val="000000"/>
                <w:lang w:eastAsia="en-AU"/>
              </w:rPr>
            </w:pPr>
            <w:r w:rsidRPr="002F6C3E">
              <w:rPr>
                <w:rFonts w:eastAsia="Times New Roman"/>
                <w:b/>
                <w:bCs/>
                <w:color w:val="000000"/>
                <w:lang w:eastAsia="en-AU"/>
              </w:rPr>
              <w:lastRenderedPageBreak/>
              <w:t>Category D</w:t>
            </w:r>
          </w:p>
        </w:tc>
      </w:tr>
      <w:tr w:rsidR="002F6C3E" w:rsidRPr="002F6C3E" w14:paraId="711CF890" w14:textId="77777777" w:rsidTr="002F6C3E">
        <w:trPr>
          <w:trHeight w:val="300"/>
        </w:trPr>
        <w:tc>
          <w:tcPr>
            <w:tcW w:w="1838" w:type="dxa"/>
            <w:vMerge w:val="restart"/>
            <w:shd w:val="clear" w:color="auto" w:fill="FFD966"/>
            <w:noWrap/>
            <w:vAlign w:val="center"/>
            <w:hideMark/>
          </w:tcPr>
          <w:p w14:paraId="4E6DACE9"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Participation / Membership</w:t>
            </w:r>
          </w:p>
        </w:tc>
        <w:tc>
          <w:tcPr>
            <w:tcW w:w="7371" w:type="dxa"/>
            <w:noWrap/>
            <w:vAlign w:val="center"/>
            <w:hideMark/>
          </w:tcPr>
          <w:p w14:paraId="608F3624"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Medium participation base &gt; 10,000</w:t>
            </w:r>
          </w:p>
        </w:tc>
      </w:tr>
      <w:tr w:rsidR="002F6C3E" w:rsidRPr="002F6C3E" w14:paraId="73089EF4" w14:textId="77777777" w:rsidTr="002F6C3E">
        <w:trPr>
          <w:trHeight w:val="300"/>
        </w:trPr>
        <w:tc>
          <w:tcPr>
            <w:tcW w:w="1838" w:type="dxa"/>
            <w:vMerge/>
            <w:shd w:val="clear" w:color="auto" w:fill="FFD966"/>
            <w:noWrap/>
            <w:vAlign w:val="center"/>
            <w:hideMark/>
          </w:tcPr>
          <w:p w14:paraId="7F78A551"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526B221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Medium membership &gt;5,000</w:t>
            </w:r>
          </w:p>
        </w:tc>
      </w:tr>
      <w:tr w:rsidR="002F6C3E" w:rsidRPr="002F6C3E" w14:paraId="28166B81" w14:textId="77777777" w:rsidTr="002F6C3E">
        <w:trPr>
          <w:trHeight w:val="300"/>
        </w:trPr>
        <w:tc>
          <w:tcPr>
            <w:tcW w:w="1838" w:type="dxa"/>
            <w:vMerge w:val="restart"/>
            <w:shd w:val="clear" w:color="auto" w:fill="FFD966"/>
            <w:noWrap/>
            <w:vAlign w:val="center"/>
            <w:hideMark/>
          </w:tcPr>
          <w:p w14:paraId="2CC6F07A"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High Performance / Pathways</w:t>
            </w:r>
          </w:p>
        </w:tc>
        <w:tc>
          <w:tcPr>
            <w:tcW w:w="7371" w:type="dxa"/>
            <w:shd w:val="clear" w:color="auto" w:fill="E7E6E6"/>
            <w:noWrap/>
            <w:vAlign w:val="center"/>
            <w:hideMark/>
          </w:tcPr>
          <w:p w14:paraId="67043948"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Medium-low talent development pathways:</w:t>
            </w:r>
          </w:p>
        </w:tc>
      </w:tr>
      <w:tr w:rsidR="002F6C3E" w:rsidRPr="002F6C3E" w14:paraId="10F292AB" w14:textId="77777777" w:rsidTr="002F6C3E">
        <w:trPr>
          <w:trHeight w:val="300"/>
        </w:trPr>
        <w:tc>
          <w:tcPr>
            <w:tcW w:w="1838" w:type="dxa"/>
            <w:vMerge/>
            <w:shd w:val="clear" w:color="auto" w:fill="FFD966"/>
            <w:noWrap/>
            <w:vAlign w:val="center"/>
            <w:hideMark/>
          </w:tcPr>
          <w:p w14:paraId="7F27005D"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1645DB16"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(open)</w:t>
            </w:r>
          </w:p>
        </w:tc>
      </w:tr>
      <w:tr w:rsidR="002F6C3E" w:rsidRPr="002F6C3E" w14:paraId="6FD14F4C" w14:textId="77777777" w:rsidTr="002F6C3E">
        <w:trPr>
          <w:trHeight w:val="300"/>
        </w:trPr>
        <w:tc>
          <w:tcPr>
            <w:tcW w:w="1838" w:type="dxa"/>
            <w:vMerge/>
            <w:shd w:val="clear" w:color="auto" w:fill="FFD966"/>
            <w:noWrap/>
            <w:vAlign w:val="center"/>
            <w:hideMark/>
          </w:tcPr>
          <w:p w14:paraId="44F15C06"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7A642AF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National event hosting (juniors)</w:t>
            </w:r>
          </w:p>
        </w:tc>
      </w:tr>
      <w:tr w:rsidR="002F6C3E" w:rsidRPr="002F6C3E" w14:paraId="78295A7B" w14:textId="77777777" w:rsidTr="002F6C3E">
        <w:trPr>
          <w:trHeight w:val="300"/>
        </w:trPr>
        <w:tc>
          <w:tcPr>
            <w:tcW w:w="1838" w:type="dxa"/>
            <w:vMerge/>
            <w:shd w:val="clear" w:color="auto" w:fill="FFD966"/>
            <w:noWrap/>
            <w:vAlign w:val="center"/>
            <w:hideMark/>
          </w:tcPr>
          <w:p w14:paraId="4BDC0354"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52789CEF"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National Championships participation – open AND junior </w:t>
            </w:r>
          </w:p>
        </w:tc>
      </w:tr>
      <w:tr w:rsidR="002F6C3E" w:rsidRPr="002F6C3E" w14:paraId="09059723" w14:textId="77777777" w:rsidTr="002F6C3E">
        <w:trPr>
          <w:trHeight w:val="300"/>
        </w:trPr>
        <w:tc>
          <w:tcPr>
            <w:tcW w:w="1838" w:type="dxa"/>
            <w:vMerge/>
            <w:shd w:val="clear" w:color="auto" w:fill="FFD966"/>
            <w:noWrap/>
            <w:vAlign w:val="center"/>
            <w:hideMark/>
          </w:tcPr>
          <w:p w14:paraId="658122D5"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262232D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Junior/Senior base</w:t>
            </w:r>
          </w:p>
        </w:tc>
      </w:tr>
      <w:tr w:rsidR="002F6C3E" w:rsidRPr="002F6C3E" w14:paraId="085BBE19" w14:textId="77777777" w:rsidTr="002F6C3E">
        <w:trPr>
          <w:trHeight w:val="300"/>
        </w:trPr>
        <w:tc>
          <w:tcPr>
            <w:tcW w:w="1838" w:type="dxa"/>
            <w:vMerge/>
            <w:shd w:val="clear" w:color="auto" w:fill="FFD966"/>
            <w:noWrap/>
            <w:vAlign w:val="center"/>
            <w:hideMark/>
          </w:tcPr>
          <w:p w14:paraId="3683C732"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787DACD1"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Coach/Official</w:t>
            </w:r>
          </w:p>
        </w:tc>
      </w:tr>
      <w:tr w:rsidR="002F6C3E" w:rsidRPr="002F6C3E" w14:paraId="56B068BE" w14:textId="77777777" w:rsidTr="002F6C3E">
        <w:trPr>
          <w:trHeight w:val="300"/>
        </w:trPr>
        <w:tc>
          <w:tcPr>
            <w:tcW w:w="1838" w:type="dxa"/>
            <w:shd w:val="clear" w:color="auto" w:fill="FFD966"/>
            <w:noWrap/>
            <w:vAlign w:val="center"/>
          </w:tcPr>
          <w:p w14:paraId="42987569"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Regional Delivery</w:t>
            </w:r>
          </w:p>
        </w:tc>
        <w:tc>
          <w:tcPr>
            <w:tcW w:w="7371" w:type="dxa"/>
            <w:shd w:val="clear" w:color="auto" w:fill="FFFFFF"/>
            <w:noWrap/>
            <w:vAlign w:val="center"/>
          </w:tcPr>
          <w:p w14:paraId="6DDD1D0D" w14:textId="77777777" w:rsidR="002F6C3E" w:rsidRPr="002F6C3E" w:rsidRDefault="002F6C3E" w:rsidP="002F6C3E">
            <w:pPr>
              <w:jc w:val="left"/>
              <w:rPr>
                <w:rFonts w:eastAsia="Times New Roman"/>
                <w:i/>
                <w:iCs/>
                <w:color w:val="000000"/>
                <w:lang w:eastAsia="en-AU"/>
              </w:rPr>
            </w:pPr>
            <w:r w:rsidRPr="002F6C3E">
              <w:rPr>
                <w:rFonts w:eastAsia="Times New Roman"/>
                <w:color w:val="000000"/>
                <w:lang w:eastAsia="en-AU"/>
              </w:rPr>
              <w:t>Medium-low affiliated regional representation in 5 to 6 regions</w:t>
            </w:r>
          </w:p>
        </w:tc>
      </w:tr>
      <w:tr w:rsidR="002F6C3E" w:rsidRPr="002F6C3E" w14:paraId="4ABE0536" w14:textId="77777777" w:rsidTr="002F6C3E">
        <w:trPr>
          <w:trHeight w:val="300"/>
        </w:trPr>
        <w:tc>
          <w:tcPr>
            <w:tcW w:w="1838" w:type="dxa"/>
            <w:vMerge w:val="restart"/>
            <w:shd w:val="clear" w:color="auto" w:fill="FFD966"/>
            <w:noWrap/>
            <w:vAlign w:val="center"/>
            <w:hideMark/>
          </w:tcPr>
          <w:p w14:paraId="48AF25F4"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Community Reach / Programming</w:t>
            </w:r>
          </w:p>
        </w:tc>
        <w:tc>
          <w:tcPr>
            <w:tcW w:w="7371" w:type="dxa"/>
            <w:shd w:val="clear" w:color="auto" w:fill="E7E6E6"/>
            <w:noWrap/>
            <w:vAlign w:val="center"/>
            <w:hideMark/>
          </w:tcPr>
          <w:p w14:paraId="024FCED2"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Medium-low reach into the WA community:</w:t>
            </w:r>
          </w:p>
        </w:tc>
      </w:tr>
      <w:tr w:rsidR="002F6C3E" w:rsidRPr="002F6C3E" w14:paraId="7CF94633" w14:textId="77777777" w:rsidTr="002F6C3E">
        <w:trPr>
          <w:trHeight w:val="300"/>
        </w:trPr>
        <w:tc>
          <w:tcPr>
            <w:tcW w:w="1838" w:type="dxa"/>
            <w:vMerge/>
            <w:shd w:val="clear" w:color="auto" w:fill="FFD966"/>
            <w:noWrap/>
            <w:vAlign w:val="center"/>
            <w:hideMark/>
          </w:tcPr>
          <w:p w14:paraId="76DAC7ED"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4234C1BD"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Sport engagement program/product</w:t>
            </w:r>
          </w:p>
        </w:tc>
      </w:tr>
      <w:tr w:rsidR="002F6C3E" w:rsidRPr="002F6C3E" w14:paraId="0BDFA1ED" w14:textId="77777777" w:rsidTr="002F6C3E">
        <w:trPr>
          <w:trHeight w:val="300"/>
        </w:trPr>
        <w:tc>
          <w:tcPr>
            <w:tcW w:w="1838" w:type="dxa"/>
            <w:vMerge/>
            <w:shd w:val="clear" w:color="auto" w:fill="FFD966"/>
            <w:noWrap/>
            <w:vAlign w:val="center"/>
            <w:hideMark/>
          </w:tcPr>
          <w:p w14:paraId="02070ADE"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63388F5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Schools programs</w:t>
            </w:r>
          </w:p>
        </w:tc>
      </w:tr>
      <w:tr w:rsidR="002F6C3E" w:rsidRPr="002F6C3E" w14:paraId="3F84DA1F" w14:textId="77777777" w:rsidTr="002F6C3E">
        <w:trPr>
          <w:trHeight w:val="300"/>
        </w:trPr>
        <w:tc>
          <w:tcPr>
            <w:tcW w:w="1838" w:type="dxa"/>
            <w:vMerge/>
            <w:shd w:val="clear" w:color="auto" w:fill="FFD966"/>
            <w:noWrap/>
            <w:vAlign w:val="center"/>
            <w:hideMark/>
          </w:tcPr>
          <w:p w14:paraId="1D53B6C0"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2F969953"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Recreational/social focus and competitive sport</w:t>
            </w:r>
          </w:p>
        </w:tc>
      </w:tr>
      <w:tr w:rsidR="002F6C3E" w:rsidRPr="002F6C3E" w14:paraId="3EF5A962" w14:textId="77777777" w:rsidTr="002F6C3E">
        <w:trPr>
          <w:trHeight w:val="339"/>
        </w:trPr>
        <w:tc>
          <w:tcPr>
            <w:tcW w:w="1838" w:type="dxa"/>
            <w:vMerge/>
            <w:shd w:val="clear" w:color="auto" w:fill="FFD966"/>
            <w:noWrap/>
            <w:vAlign w:val="center"/>
            <w:hideMark/>
          </w:tcPr>
          <w:p w14:paraId="66B0B059"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236A456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Participation events</w:t>
            </w:r>
          </w:p>
        </w:tc>
      </w:tr>
      <w:tr w:rsidR="002F6C3E" w:rsidRPr="002F6C3E" w14:paraId="56AC6516" w14:textId="77777777" w:rsidTr="002F6C3E">
        <w:trPr>
          <w:trHeight w:val="300"/>
        </w:trPr>
        <w:tc>
          <w:tcPr>
            <w:tcW w:w="1838" w:type="dxa"/>
            <w:shd w:val="clear" w:color="auto" w:fill="FFD966"/>
            <w:noWrap/>
            <w:vAlign w:val="center"/>
            <w:hideMark/>
          </w:tcPr>
          <w:p w14:paraId="716FDF14"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Finance</w:t>
            </w:r>
          </w:p>
        </w:tc>
        <w:tc>
          <w:tcPr>
            <w:tcW w:w="7371" w:type="dxa"/>
            <w:noWrap/>
            <w:vAlign w:val="center"/>
            <w:hideMark/>
          </w:tcPr>
          <w:p w14:paraId="6BCDF13B"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Reasonable annual total revenue between $500,000-750,000</w:t>
            </w:r>
          </w:p>
        </w:tc>
      </w:tr>
      <w:tr w:rsidR="002F6C3E" w:rsidRPr="002F6C3E" w14:paraId="4E93D5E4" w14:textId="77777777" w:rsidTr="002F6C3E">
        <w:trPr>
          <w:trHeight w:val="300"/>
        </w:trPr>
        <w:tc>
          <w:tcPr>
            <w:tcW w:w="1838" w:type="dxa"/>
            <w:vMerge w:val="restart"/>
            <w:shd w:val="clear" w:color="auto" w:fill="FFD966"/>
            <w:noWrap/>
            <w:vAlign w:val="center"/>
            <w:hideMark/>
          </w:tcPr>
          <w:p w14:paraId="2EAED230"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Governance</w:t>
            </w:r>
          </w:p>
        </w:tc>
        <w:tc>
          <w:tcPr>
            <w:tcW w:w="7371" w:type="dxa"/>
            <w:shd w:val="clear" w:color="auto" w:fill="E7E6E6"/>
            <w:noWrap/>
            <w:vAlign w:val="center"/>
            <w:hideMark/>
          </w:tcPr>
          <w:p w14:paraId="03C24313"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Reasonable governance structures:</w:t>
            </w:r>
          </w:p>
        </w:tc>
      </w:tr>
      <w:tr w:rsidR="002F6C3E" w:rsidRPr="002F6C3E" w14:paraId="0BFF1000" w14:textId="77777777" w:rsidTr="002F6C3E">
        <w:trPr>
          <w:trHeight w:val="300"/>
        </w:trPr>
        <w:tc>
          <w:tcPr>
            <w:tcW w:w="1838" w:type="dxa"/>
            <w:vMerge/>
            <w:shd w:val="clear" w:color="auto" w:fill="FFD966"/>
            <w:noWrap/>
            <w:vAlign w:val="center"/>
            <w:hideMark/>
          </w:tcPr>
          <w:p w14:paraId="18816931" w14:textId="77777777" w:rsidR="002F6C3E" w:rsidRPr="002F6C3E" w:rsidRDefault="002F6C3E" w:rsidP="002F6C3E">
            <w:pPr>
              <w:jc w:val="center"/>
              <w:rPr>
                <w:rFonts w:eastAsia="Times New Roman"/>
                <w:b/>
                <w:color w:val="000000"/>
                <w:lang w:eastAsia="en-AU"/>
              </w:rPr>
            </w:pPr>
          </w:p>
        </w:tc>
        <w:tc>
          <w:tcPr>
            <w:tcW w:w="7371" w:type="dxa"/>
            <w:noWrap/>
            <w:vAlign w:val="center"/>
            <w:hideMark/>
          </w:tcPr>
          <w:p w14:paraId="37AD3CB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&gt;115 rating against governance checklist </w:t>
            </w:r>
          </w:p>
        </w:tc>
      </w:tr>
      <w:tr w:rsidR="002F6C3E" w:rsidRPr="002F6C3E" w14:paraId="63D0F0EA" w14:textId="77777777" w:rsidTr="002F6C3E">
        <w:trPr>
          <w:trHeight w:val="300"/>
        </w:trPr>
        <w:tc>
          <w:tcPr>
            <w:tcW w:w="1838" w:type="dxa"/>
            <w:vMerge/>
            <w:shd w:val="clear" w:color="auto" w:fill="FFD966"/>
            <w:noWrap/>
            <w:vAlign w:val="center"/>
          </w:tcPr>
          <w:p w14:paraId="53158978" w14:textId="77777777" w:rsidR="002F6C3E" w:rsidRPr="002F6C3E" w:rsidRDefault="002F6C3E" w:rsidP="002F6C3E">
            <w:pPr>
              <w:jc w:val="center"/>
              <w:rPr>
                <w:rFonts w:eastAsia="Times New Roman"/>
                <w:b/>
                <w:color w:val="000000"/>
                <w:lang w:eastAsia="en-AU"/>
              </w:rPr>
            </w:pPr>
          </w:p>
        </w:tc>
        <w:tc>
          <w:tcPr>
            <w:tcW w:w="7371" w:type="dxa"/>
            <w:shd w:val="clear" w:color="auto" w:fill="E7E6E6"/>
            <w:noWrap/>
            <w:vAlign w:val="center"/>
          </w:tcPr>
          <w:p w14:paraId="7C47A6A5" w14:textId="77777777" w:rsidR="002F6C3E" w:rsidRPr="002F6C3E" w:rsidRDefault="002F6C3E" w:rsidP="002F6C3E">
            <w:pPr>
              <w:jc w:val="left"/>
              <w:rPr>
                <w:rFonts w:eastAsia="Times New Roman"/>
                <w:color w:val="000000"/>
                <w:lang w:eastAsia="en-AU"/>
              </w:rPr>
            </w:pPr>
            <w:r w:rsidRPr="002F6C3E">
              <w:rPr>
                <w:rFonts w:eastAsia="Calibri"/>
                <w:i/>
                <w:iCs/>
              </w:rPr>
              <w:t>Policy:</w:t>
            </w:r>
          </w:p>
        </w:tc>
      </w:tr>
      <w:tr w:rsidR="002F6C3E" w:rsidRPr="002F6C3E" w14:paraId="79FB975A" w14:textId="77777777" w:rsidTr="002F6C3E">
        <w:trPr>
          <w:trHeight w:val="300"/>
        </w:trPr>
        <w:tc>
          <w:tcPr>
            <w:tcW w:w="1838" w:type="dxa"/>
            <w:vMerge/>
            <w:shd w:val="clear" w:color="auto" w:fill="FFD966"/>
            <w:noWrap/>
            <w:vAlign w:val="center"/>
          </w:tcPr>
          <w:p w14:paraId="61B72D47" w14:textId="77777777" w:rsidR="002F6C3E" w:rsidRPr="002F6C3E" w:rsidRDefault="002F6C3E" w:rsidP="002F6C3E">
            <w:pPr>
              <w:jc w:val="center"/>
              <w:rPr>
                <w:rFonts w:eastAsia="Times New Roman"/>
                <w:b/>
                <w:color w:val="000000"/>
                <w:lang w:eastAsia="en-AU"/>
              </w:rPr>
            </w:pPr>
          </w:p>
        </w:tc>
        <w:tc>
          <w:tcPr>
            <w:tcW w:w="7371" w:type="dxa"/>
            <w:noWrap/>
            <w:vAlign w:val="center"/>
          </w:tcPr>
          <w:p w14:paraId="4B50E8B0" w14:textId="77777777" w:rsidR="002F6C3E" w:rsidRPr="002F6C3E" w:rsidRDefault="002F6C3E" w:rsidP="002F6C3E">
            <w:pPr>
              <w:jc w:val="left"/>
              <w:rPr>
                <w:rFonts w:eastAsia="Times New Roman"/>
                <w:color w:val="000000"/>
                <w:lang w:eastAsia="en-AU"/>
              </w:rPr>
            </w:pPr>
            <w:r w:rsidRPr="002F6C3E">
              <w:rPr>
                <w:rFonts w:eastAsia="Calibri"/>
                <w:iCs/>
              </w:rPr>
              <w:t>Developed and implemented policies – (at least 4 of 7 policies -</w:t>
            </w:r>
            <w:r w:rsidRPr="002F6C3E">
              <w:rPr>
                <w:rFonts w:eastAsia="Calibri"/>
                <w:b/>
                <w:iCs/>
              </w:rPr>
              <w:t>Member Protection, Alcohol, Drugs in Sport</w:t>
            </w:r>
            <w:r w:rsidRPr="002F6C3E">
              <w:rPr>
                <w:rFonts w:eastAsia="Calibri"/>
                <w:iCs/>
              </w:rPr>
              <w:t xml:space="preserve">, Sports Betting, Match Fixing, Privacy, Inclusion) </w:t>
            </w:r>
            <w:r w:rsidRPr="002F6C3E">
              <w:rPr>
                <w:rFonts w:eastAsia="Calibri"/>
                <w:b/>
                <w:iCs/>
              </w:rPr>
              <w:t>(Mandatory)</w:t>
            </w:r>
          </w:p>
        </w:tc>
      </w:tr>
      <w:tr w:rsidR="002F6C3E" w:rsidRPr="002F6C3E" w14:paraId="365F36A0" w14:textId="77777777" w:rsidTr="002F6C3E">
        <w:trPr>
          <w:trHeight w:val="300"/>
        </w:trPr>
        <w:tc>
          <w:tcPr>
            <w:tcW w:w="1838" w:type="dxa"/>
            <w:vMerge/>
            <w:shd w:val="clear" w:color="auto" w:fill="FFD966"/>
            <w:noWrap/>
            <w:vAlign w:val="center"/>
          </w:tcPr>
          <w:p w14:paraId="43EA5BB8" w14:textId="77777777" w:rsidR="002F6C3E" w:rsidRPr="002F6C3E" w:rsidRDefault="002F6C3E" w:rsidP="002F6C3E">
            <w:pPr>
              <w:jc w:val="center"/>
              <w:rPr>
                <w:rFonts w:eastAsia="Times New Roman"/>
                <w:b/>
                <w:color w:val="000000"/>
                <w:lang w:eastAsia="en-AU"/>
              </w:rPr>
            </w:pPr>
          </w:p>
        </w:tc>
        <w:tc>
          <w:tcPr>
            <w:tcW w:w="7371" w:type="dxa"/>
            <w:shd w:val="clear" w:color="auto" w:fill="E7E6E6"/>
            <w:noWrap/>
            <w:vAlign w:val="center"/>
          </w:tcPr>
          <w:p w14:paraId="10CD7DC9" w14:textId="77777777" w:rsidR="002F6C3E" w:rsidRPr="002F6C3E" w:rsidRDefault="002F6C3E" w:rsidP="002F6C3E">
            <w:pPr>
              <w:jc w:val="left"/>
              <w:rPr>
                <w:rFonts w:eastAsia="Times New Roman"/>
                <w:color w:val="000000"/>
                <w:lang w:eastAsia="en-AU"/>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p>
        </w:tc>
      </w:tr>
      <w:tr w:rsidR="002F6C3E" w:rsidRPr="002F6C3E" w14:paraId="73D13FE6" w14:textId="77777777" w:rsidTr="002F6C3E">
        <w:trPr>
          <w:trHeight w:val="300"/>
        </w:trPr>
        <w:tc>
          <w:tcPr>
            <w:tcW w:w="1838" w:type="dxa"/>
            <w:vMerge/>
            <w:shd w:val="clear" w:color="auto" w:fill="FFD966"/>
            <w:noWrap/>
            <w:vAlign w:val="center"/>
          </w:tcPr>
          <w:p w14:paraId="7DBF7136" w14:textId="77777777" w:rsidR="002F6C3E" w:rsidRPr="002F6C3E" w:rsidRDefault="002F6C3E" w:rsidP="002F6C3E">
            <w:pPr>
              <w:jc w:val="center"/>
              <w:rPr>
                <w:rFonts w:eastAsia="Times New Roman"/>
                <w:b/>
                <w:color w:val="000000"/>
                <w:lang w:eastAsia="en-AU"/>
              </w:rPr>
            </w:pPr>
          </w:p>
        </w:tc>
        <w:tc>
          <w:tcPr>
            <w:tcW w:w="7371" w:type="dxa"/>
            <w:noWrap/>
            <w:vAlign w:val="center"/>
          </w:tcPr>
          <w:p w14:paraId="346723B2" w14:textId="77777777" w:rsidR="002F6C3E" w:rsidRPr="002F6C3E" w:rsidRDefault="002F6C3E" w:rsidP="002F6C3E">
            <w:pPr>
              <w:jc w:val="left"/>
              <w:rPr>
                <w:rFonts w:eastAsia="Times New Roman"/>
                <w:color w:val="000000"/>
                <w:lang w:eastAsia="en-AU"/>
              </w:rPr>
            </w:pPr>
            <w:r w:rsidRPr="002F6C3E">
              <w:rPr>
                <w:rFonts w:eastAsia="Calibri"/>
              </w:rPr>
              <w:t>Meets board gender target &gt;= 50% female</w:t>
            </w:r>
          </w:p>
        </w:tc>
      </w:tr>
      <w:tr w:rsidR="002F6C3E" w:rsidRPr="002F6C3E" w14:paraId="3832FD5A" w14:textId="77777777" w:rsidTr="002F6C3E">
        <w:trPr>
          <w:trHeight w:val="300"/>
        </w:trPr>
        <w:tc>
          <w:tcPr>
            <w:tcW w:w="1838" w:type="dxa"/>
            <w:vMerge/>
            <w:shd w:val="clear" w:color="auto" w:fill="FFD966"/>
            <w:noWrap/>
            <w:vAlign w:val="center"/>
          </w:tcPr>
          <w:p w14:paraId="3D8D4B66" w14:textId="77777777" w:rsidR="002F6C3E" w:rsidRPr="002F6C3E" w:rsidRDefault="002F6C3E" w:rsidP="002F6C3E">
            <w:pPr>
              <w:jc w:val="center"/>
              <w:rPr>
                <w:rFonts w:eastAsia="Times New Roman"/>
                <w:b/>
                <w:color w:val="000000"/>
                <w:lang w:eastAsia="en-AU"/>
              </w:rPr>
            </w:pPr>
          </w:p>
        </w:tc>
        <w:tc>
          <w:tcPr>
            <w:tcW w:w="7371" w:type="dxa"/>
            <w:noWrap/>
            <w:vAlign w:val="center"/>
          </w:tcPr>
          <w:p w14:paraId="709250CF" w14:textId="77777777" w:rsidR="002F6C3E" w:rsidRPr="002F6C3E" w:rsidRDefault="002F6C3E" w:rsidP="002F6C3E">
            <w:pPr>
              <w:jc w:val="left"/>
              <w:rPr>
                <w:rFonts w:eastAsia="Times New Roman"/>
                <w:color w:val="000000"/>
                <w:lang w:eastAsia="en-AU"/>
              </w:rPr>
            </w:pPr>
            <w:r w:rsidRPr="002F6C3E">
              <w:rPr>
                <w:rFonts w:eastAsia="Calibri"/>
              </w:rPr>
              <w:t>Below board gender target &lt; 50% female</w:t>
            </w:r>
          </w:p>
        </w:tc>
      </w:tr>
      <w:tr w:rsidR="002F6C3E" w:rsidRPr="002F6C3E" w14:paraId="09A6614F" w14:textId="77777777" w:rsidTr="002F6C3E">
        <w:trPr>
          <w:trHeight w:val="300"/>
        </w:trPr>
        <w:tc>
          <w:tcPr>
            <w:tcW w:w="1838" w:type="dxa"/>
            <w:vMerge/>
            <w:shd w:val="clear" w:color="auto" w:fill="FFD966"/>
            <w:noWrap/>
            <w:vAlign w:val="center"/>
          </w:tcPr>
          <w:p w14:paraId="172E2BC2" w14:textId="77777777" w:rsidR="002F6C3E" w:rsidRPr="002F6C3E" w:rsidRDefault="002F6C3E" w:rsidP="002F6C3E">
            <w:pPr>
              <w:jc w:val="center"/>
              <w:rPr>
                <w:rFonts w:eastAsia="Times New Roman"/>
                <w:b/>
                <w:color w:val="000000"/>
                <w:lang w:eastAsia="en-AU"/>
              </w:rPr>
            </w:pPr>
          </w:p>
        </w:tc>
        <w:tc>
          <w:tcPr>
            <w:tcW w:w="7371" w:type="dxa"/>
            <w:noWrap/>
            <w:vAlign w:val="center"/>
          </w:tcPr>
          <w:p w14:paraId="61515E95" w14:textId="77777777" w:rsidR="002F6C3E" w:rsidRPr="002F6C3E" w:rsidRDefault="002F6C3E" w:rsidP="002F6C3E">
            <w:pPr>
              <w:jc w:val="left"/>
              <w:rPr>
                <w:rFonts w:eastAsia="Times New Roman"/>
                <w:color w:val="000000"/>
                <w:lang w:eastAsia="en-AU"/>
              </w:rPr>
            </w:pPr>
            <w:r w:rsidRPr="002F6C3E">
              <w:rPr>
                <w:rFonts w:eastAsia="Calibri"/>
              </w:rPr>
              <w:t xml:space="preserve">No gender diversity on board </w:t>
            </w:r>
          </w:p>
        </w:tc>
      </w:tr>
      <w:tr w:rsidR="002F6C3E" w:rsidRPr="002F6C3E" w14:paraId="187E638A" w14:textId="77777777" w:rsidTr="002F6C3E">
        <w:trPr>
          <w:trHeight w:val="300"/>
        </w:trPr>
        <w:tc>
          <w:tcPr>
            <w:tcW w:w="1838" w:type="dxa"/>
            <w:vMerge w:val="restart"/>
            <w:shd w:val="clear" w:color="auto" w:fill="FFD966"/>
            <w:noWrap/>
            <w:vAlign w:val="center"/>
            <w:hideMark/>
          </w:tcPr>
          <w:p w14:paraId="4EEFCBBF"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Planning</w:t>
            </w:r>
          </w:p>
        </w:tc>
        <w:tc>
          <w:tcPr>
            <w:tcW w:w="7371" w:type="dxa"/>
            <w:shd w:val="clear" w:color="auto" w:fill="E7E6E6"/>
            <w:noWrap/>
            <w:vAlign w:val="center"/>
            <w:hideMark/>
          </w:tcPr>
          <w:p w14:paraId="60683321"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Reasonable planning culture:</w:t>
            </w:r>
          </w:p>
        </w:tc>
      </w:tr>
      <w:tr w:rsidR="002F6C3E" w:rsidRPr="002F6C3E" w14:paraId="159056F6" w14:textId="77777777" w:rsidTr="002F6C3E">
        <w:trPr>
          <w:trHeight w:val="300"/>
        </w:trPr>
        <w:tc>
          <w:tcPr>
            <w:tcW w:w="1838" w:type="dxa"/>
            <w:vMerge/>
            <w:shd w:val="clear" w:color="auto" w:fill="FFD966"/>
            <w:noWrap/>
            <w:hideMark/>
          </w:tcPr>
          <w:p w14:paraId="43BD63D9" w14:textId="77777777" w:rsidR="002F6C3E" w:rsidRPr="002F6C3E" w:rsidRDefault="002F6C3E" w:rsidP="002F6C3E">
            <w:pPr>
              <w:jc w:val="left"/>
              <w:rPr>
                <w:rFonts w:eastAsia="Times New Roman"/>
                <w:color w:val="000000"/>
                <w:lang w:eastAsia="en-AU"/>
              </w:rPr>
            </w:pPr>
          </w:p>
        </w:tc>
        <w:tc>
          <w:tcPr>
            <w:tcW w:w="7371" w:type="dxa"/>
            <w:noWrap/>
            <w:vAlign w:val="center"/>
            <w:hideMark/>
          </w:tcPr>
          <w:p w14:paraId="53AC56F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3-year strategic plan</w:t>
            </w:r>
          </w:p>
        </w:tc>
      </w:tr>
      <w:tr w:rsidR="002F6C3E" w:rsidRPr="002F6C3E" w14:paraId="62ACC164" w14:textId="77777777" w:rsidTr="002F6C3E">
        <w:trPr>
          <w:trHeight w:val="300"/>
        </w:trPr>
        <w:tc>
          <w:tcPr>
            <w:tcW w:w="1838" w:type="dxa"/>
            <w:vMerge/>
            <w:shd w:val="clear" w:color="auto" w:fill="FFD966"/>
            <w:noWrap/>
            <w:hideMark/>
          </w:tcPr>
          <w:p w14:paraId="5D64D50F" w14:textId="77777777" w:rsidR="002F6C3E" w:rsidRPr="002F6C3E" w:rsidRDefault="002F6C3E" w:rsidP="002F6C3E">
            <w:pPr>
              <w:jc w:val="left"/>
              <w:rPr>
                <w:rFonts w:eastAsia="Times New Roman"/>
                <w:color w:val="000000"/>
                <w:lang w:eastAsia="en-AU"/>
              </w:rPr>
            </w:pPr>
          </w:p>
        </w:tc>
        <w:tc>
          <w:tcPr>
            <w:tcW w:w="7371" w:type="dxa"/>
            <w:noWrap/>
            <w:vAlign w:val="center"/>
            <w:hideMark/>
          </w:tcPr>
          <w:p w14:paraId="004E9B6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operational plan</w:t>
            </w:r>
          </w:p>
        </w:tc>
      </w:tr>
      <w:tr w:rsidR="002F6C3E" w:rsidRPr="002F6C3E" w14:paraId="45B5AB61" w14:textId="77777777" w:rsidTr="002F6C3E">
        <w:trPr>
          <w:trHeight w:val="300"/>
        </w:trPr>
        <w:tc>
          <w:tcPr>
            <w:tcW w:w="1838" w:type="dxa"/>
            <w:vMerge/>
            <w:shd w:val="clear" w:color="auto" w:fill="FFD966"/>
            <w:noWrap/>
            <w:hideMark/>
          </w:tcPr>
          <w:p w14:paraId="188406A7" w14:textId="77777777" w:rsidR="002F6C3E" w:rsidRPr="002F6C3E" w:rsidRDefault="002F6C3E" w:rsidP="002F6C3E">
            <w:pPr>
              <w:jc w:val="left"/>
              <w:rPr>
                <w:rFonts w:eastAsia="Times New Roman"/>
                <w:color w:val="000000"/>
                <w:lang w:eastAsia="en-AU"/>
              </w:rPr>
            </w:pPr>
          </w:p>
        </w:tc>
        <w:tc>
          <w:tcPr>
            <w:tcW w:w="7371" w:type="dxa"/>
            <w:noWrap/>
            <w:vAlign w:val="center"/>
            <w:hideMark/>
          </w:tcPr>
          <w:p w14:paraId="1BFFF70F"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budget</w:t>
            </w:r>
          </w:p>
        </w:tc>
      </w:tr>
      <w:tr w:rsidR="002F6C3E" w:rsidRPr="002F6C3E" w14:paraId="28CF2256" w14:textId="77777777" w:rsidTr="002F6C3E">
        <w:trPr>
          <w:trHeight w:val="300"/>
        </w:trPr>
        <w:tc>
          <w:tcPr>
            <w:tcW w:w="1838" w:type="dxa"/>
            <w:vMerge/>
            <w:shd w:val="clear" w:color="auto" w:fill="FFD966"/>
            <w:noWrap/>
            <w:hideMark/>
          </w:tcPr>
          <w:p w14:paraId="657C732A" w14:textId="77777777" w:rsidR="002F6C3E" w:rsidRPr="002F6C3E" w:rsidRDefault="002F6C3E" w:rsidP="002F6C3E">
            <w:pPr>
              <w:jc w:val="left"/>
              <w:rPr>
                <w:rFonts w:eastAsia="Times New Roman"/>
                <w:color w:val="000000"/>
                <w:lang w:eastAsia="en-AU"/>
              </w:rPr>
            </w:pPr>
          </w:p>
        </w:tc>
        <w:tc>
          <w:tcPr>
            <w:tcW w:w="7371" w:type="dxa"/>
            <w:noWrap/>
            <w:vAlign w:val="center"/>
            <w:hideMark/>
          </w:tcPr>
          <w:p w14:paraId="725B04AC"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Risk Register </w:t>
            </w:r>
          </w:p>
        </w:tc>
      </w:tr>
      <w:tr w:rsidR="002F6C3E" w:rsidRPr="002F6C3E" w14:paraId="53CDE2EB" w14:textId="77777777" w:rsidTr="002F6C3E">
        <w:trPr>
          <w:trHeight w:val="300"/>
        </w:trPr>
        <w:tc>
          <w:tcPr>
            <w:tcW w:w="1838" w:type="dxa"/>
            <w:vMerge/>
            <w:shd w:val="clear" w:color="auto" w:fill="FFD966"/>
            <w:noWrap/>
          </w:tcPr>
          <w:p w14:paraId="2D650DCB" w14:textId="77777777" w:rsidR="002F6C3E" w:rsidRPr="002F6C3E" w:rsidRDefault="002F6C3E" w:rsidP="002F6C3E">
            <w:pPr>
              <w:jc w:val="left"/>
              <w:rPr>
                <w:rFonts w:eastAsia="Times New Roman"/>
                <w:color w:val="000000"/>
                <w:lang w:eastAsia="en-AU"/>
              </w:rPr>
            </w:pPr>
          </w:p>
        </w:tc>
        <w:tc>
          <w:tcPr>
            <w:tcW w:w="7371" w:type="dxa"/>
            <w:noWrap/>
            <w:vAlign w:val="center"/>
          </w:tcPr>
          <w:p w14:paraId="18CEE25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Asset Register </w:t>
            </w:r>
          </w:p>
        </w:tc>
      </w:tr>
      <w:tr w:rsidR="002F6C3E" w:rsidRPr="002F6C3E" w14:paraId="14A3570D" w14:textId="77777777" w:rsidTr="002F6C3E">
        <w:trPr>
          <w:trHeight w:val="300"/>
        </w:trPr>
        <w:tc>
          <w:tcPr>
            <w:tcW w:w="1838" w:type="dxa"/>
            <w:vMerge/>
            <w:shd w:val="clear" w:color="auto" w:fill="FFD966"/>
            <w:noWrap/>
            <w:hideMark/>
          </w:tcPr>
          <w:p w14:paraId="1C873DDF" w14:textId="77777777" w:rsidR="002F6C3E" w:rsidRPr="002F6C3E" w:rsidRDefault="002F6C3E" w:rsidP="002F6C3E">
            <w:pPr>
              <w:jc w:val="left"/>
              <w:rPr>
                <w:rFonts w:eastAsia="Times New Roman"/>
                <w:color w:val="000000"/>
                <w:lang w:eastAsia="en-AU"/>
              </w:rPr>
            </w:pPr>
          </w:p>
        </w:tc>
        <w:tc>
          <w:tcPr>
            <w:tcW w:w="7371" w:type="dxa"/>
            <w:noWrap/>
            <w:vAlign w:val="center"/>
            <w:hideMark/>
          </w:tcPr>
          <w:p w14:paraId="0B5D481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Volunteer Management Plan</w:t>
            </w:r>
          </w:p>
        </w:tc>
      </w:tr>
      <w:tr w:rsidR="002F6C3E" w:rsidRPr="002F6C3E" w14:paraId="0A65B1B4" w14:textId="77777777" w:rsidTr="002F6C3E">
        <w:trPr>
          <w:trHeight w:val="300"/>
        </w:trPr>
        <w:tc>
          <w:tcPr>
            <w:tcW w:w="1838" w:type="dxa"/>
            <w:vMerge/>
            <w:shd w:val="clear" w:color="auto" w:fill="FFD966"/>
            <w:noWrap/>
            <w:hideMark/>
          </w:tcPr>
          <w:p w14:paraId="594F4624" w14:textId="77777777" w:rsidR="002F6C3E" w:rsidRPr="002F6C3E" w:rsidRDefault="002F6C3E" w:rsidP="002F6C3E">
            <w:pPr>
              <w:jc w:val="left"/>
              <w:rPr>
                <w:rFonts w:eastAsia="Times New Roman"/>
                <w:color w:val="000000"/>
                <w:lang w:eastAsia="en-AU"/>
              </w:rPr>
            </w:pPr>
          </w:p>
        </w:tc>
        <w:tc>
          <w:tcPr>
            <w:tcW w:w="7371" w:type="dxa"/>
            <w:noWrap/>
            <w:vAlign w:val="center"/>
            <w:hideMark/>
          </w:tcPr>
          <w:p w14:paraId="5142CAA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Communication Initiatives</w:t>
            </w:r>
          </w:p>
        </w:tc>
      </w:tr>
    </w:tbl>
    <w:p w14:paraId="7A5F06FA" w14:textId="77777777" w:rsidR="002F6C3E" w:rsidRPr="002F6C3E" w:rsidRDefault="002F6C3E" w:rsidP="002F6C3E">
      <w:pPr>
        <w:spacing w:after="160" w:line="259" w:lineRule="auto"/>
        <w:jc w:val="left"/>
        <w:rPr>
          <w:rFonts w:eastAsia="Calibri"/>
        </w:rPr>
      </w:pPr>
    </w:p>
    <w:p w14:paraId="2A9B94B1" w14:textId="77777777" w:rsidR="002F6C3E" w:rsidRPr="002F6C3E" w:rsidRDefault="002F6C3E" w:rsidP="002F6C3E">
      <w:pPr>
        <w:spacing w:after="160" w:line="259" w:lineRule="auto"/>
        <w:jc w:val="left"/>
        <w:rPr>
          <w:rFonts w:eastAsia="Calibri"/>
        </w:rPr>
      </w:pPr>
      <w:r w:rsidRPr="002F6C3E">
        <w:rPr>
          <w:rFonts w:eastAsia="Calibri"/>
        </w:rPr>
        <w:br w:type="page"/>
      </w:r>
    </w:p>
    <w:tbl>
      <w:tblPr>
        <w:tblStyle w:val="TableGrid1"/>
        <w:tblW w:w="9634" w:type="dxa"/>
        <w:tblLook w:val="04A0" w:firstRow="1" w:lastRow="0" w:firstColumn="1" w:lastColumn="0" w:noHBand="0" w:noVBand="1"/>
      </w:tblPr>
      <w:tblGrid>
        <w:gridCol w:w="1838"/>
        <w:gridCol w:w="7796"/>
      </w:tblGrid>
      <w:tr w:rsidR="002F6C3E" w:rsidRPr="002F6C3E" w14:paraId="0865404B" w14:textId="77777777" w:rsidTr="002F6C3E">
        <w:trPr>
          <w:trHeight w:val="600"/>
        </w:trPr>
        <w:tc>
          <w:tcPr>
            <w:tcW w:w="9634" w:type="dxa"/>
            <w:gridSpan w:val="2"/>
            <w:shd w:val="clear" w:color="auto" w:fill="FFF2CC"/>
            <w:noWrap/>
            <w:vAlign w:val="center"/>
            <w:hideMark/>
          </w:tcPr>
          <w:p w14:paraId="2DA4051F" w14:textId="77777777" w:rsidR="002F6C3E" w:rsidRPr="002F6C3E" w:rsidRDefault="002F6C3E" w:rsidP="002F6C3E">
            <w:pPr>
              <w:jc w:val="center"/>
              <w:rPr>
                <w:rFonts w:eastAsia="Calibri"/>
                <w:b/>
                <w:bCs/>
              </w:rPr>
            </w:pPr>
            <w:r w:rsidRPr="002F6C3E">
              <w:rPr>
                <w:rFonts w:eastAsia="Calibri"/>
                <w:b/>
                <w:bCs/>
              </w:rPr>
              <w:lastRenderedPageBreak/>
              <w:t>Category E</w:t>
            </w:r>
          </w:p>
        </w:tc>
      </w:tr>
      <w:tr w:rsidR="002F6C3E" w:rsidRPr="002F6C3E" w14:paraId="2C440153" w14:textId="77777777" w:rsidTr="002F6C3E">
        <w:trPr>
          <w:trHeight w:val="300"/>
        </w:trPr>
        <w:tc>
          <w:tcPr>
            <w:tcW w:w="1838" w:type="dxa"/>
            <w:vMerge w:val="restart"/>
            <w:shd w:val="clear" w:color="auto" w:fill="FFD966"/>
            <w:noWrap/>
            <w:vAlign w:val="center"/>
            <w:hideMark/>
          </w:tcPr>
          <w:p w14:paraId="2F604268" w14:textId="77777777" w:rsidR="002F6C3E" w:rsidRPr="002F6C3E" w:rsidRDefault="002F6C3E" w:rsidP="002F6C3E">
            <w:pPr>
              <w:jc w:val="center"/>
              <w:rPr>
                <w:rFonts w:eastAsia="Calibri"/>
                <w:b/>
              </w:rPr>
            </w:pPr>
            <w:r w:rsidRPr="002F6C3E">
              <w:rPr>
                <w:rFonts w:eastAsia="Calibri"/>
                <w:b/>
              </w:rPr>
              <w:t>Participation / Membership</w:t>
            </w:r>
          </w:p>
        </w:tc>
        <w:tc>
          <w:tcPr>
            <w:tcW w:w="7796" w:type="dxa"/>
            <w:noWrap/>
            <w:vAlign w:val="center"/>
            <w:hideMark/>
          </w:tcPr>
          <w:p w14:paraId="1AE05C5C" w14:textId="77777777" w:rsidR="002F6C3E" w:rsidRPr="002F6C3E" w:rsidRDefault="002F6C3E" w:rsidP="002F6C3E">
            <w:pPr>
              <w:jc w:val="left"/>
              <w:rPr>
                <w:rFonts w:eastAsia="Calibri"/>
              </w:rPr>
            </w:pPr>
            <w:r w:rsidRPr="002F6C3E">
              <w:rPr>
                <w:rFonts w:eastAsia="Calibri"/>
              </w:rPr>
              <w:t xml:space="preserve">Small participation base &gt; 2,000 </w:t>
            </w:r>
          </w:p>
        </w:tc>
      </w:tr>
      <w:tr w:rsidR="002F6C3E" w:rsidRPr="002F6C3E" w14:paraId="32349A32" w14:textId="77777777" w:rsidTr="002F6C3E">
        <w:trPr>
          <w:trHeight w:val="300"/>
        </w:trPr>
        <w:tc>
          <w:tcPr>
            <w:tcW w:w="1838" w:type="dxa"/>
            <w:vMerge/>
            <w:shd w:val="clear" w:color="auto" w:fill="FFD966"/>
            <w:noWrap/>
            <w:vAlign w:val="center"/>
            <w:hideMark/>
          </w:tcPr>
          <w:p w14:paraId="47F3A711" w14:textId="77777777" w:rsidR="002F6C3E" w:rsidRPr="002F6C3E" w:rsidRDefault="002F6C3E" w:rsidP="002F6C3E">
            <w:pPr>
              <w:jc w:val="center"/>
              <w:rPr>
                <w:rFonts w:eastAsia="Calibri"/>
                <w:b/>
              </w:rPr>
            </w:pPr>
          </w:p>
        </w:tc>
        <w:tc>
          <w:tcPr>
            <w:tcW w:w="7796" w:type="dxa"/>
            <w:noWrap/>
            <w:vAlign w:val="center"/>
            <w:hideMark/>
          </w:tcPr>
          <w:p w14:paraId="695D0FD0" w14:textId="77777777" w:rsidR="002F6C3E" w:rsidRPr="002F6C3E" w:rsidRDefault="002F6C3E" w:rsidP="002F6C3E">
            <w:pPr>
              <w:jc w:val="left"/>
              <w:rPr>
                <w:rFonts w:eastAsia="Calibri"/>
              </w:rPr>
            </w:pPr>
            <w:r w:rsidRPr="002F6C3E">
              <w:rPr>
                <w:rFonts w:eastAsia="Calibri"/>
              </w:rPr>
              <w:t>Small Member base &gt;2,000</w:t>
            </w:r>
          </w:p>
        </w:tc>
      </w:tr>
      <w:tr w:rsidR="002F6C3E" w:rsidRPr="002F6C3E" w14:paraId="2F9A5910" w14:textId="77777777" w:rsidTr="002F6C3E">
        <w:trPr>
          <w:trHeight w:val="300"/>
        </w:trPr>
        <w:tc>
          <w:tcPr>
            <w:tcW w:w="1838" w:type="dxa"/>
            <w:vMerge w:val="restart"/>
            <w:shd w:val="clear" w:color="auto" w:fill="FFD966"/>
            <w:noWrap/>
            <w:vAlign w:val="center"/>
            <w:hideMark/>
          </w:tcPr>
          <w:p w14:paraId="270C3EC4" w14:textId="77777777" w:rsidR="002F6C3E" w:rsidRPr="002F6C3E" w:rsidRDefault="002F6C3E" w:rsidP="002F6C3E">
            <w:pPr>
              <w:jc w:val="center"/>
              <w:rPr>
                <w:rFonts w:eastAsia="Calibri"/>
                <w:b/>
              </w:rPr>
            </w:pPr>
            <w:r w:rsidRPr="002F6C3E">
              <w:rPr>
                <w:rFonts w:eastAsia="Calibri"/>
                <w:b/>
              </w:rPr>
              <w:t>High performance / Pathways</w:t>
            </w:r>
          </w:p>
        </w:tc>
        <w:tc>
          <w:tcPr>
            <w:tcW w:w="7796" w:type="dxa"/>
            <w:shd w:val="clear" w:color="auto" w:fill="E7E6E6"/>
            <w:noWrap/>
            <w:vAlign w:val="center"/>
            <w:hideMark/>
          </w:tcPr>
          <w:p w14:paraId="1BD0AD70" w14:textId="77777777" w:rsidR="002F6C3E" w:rsidRPr="002F6C3E" w:rsidRDefault="002F6C3E" w:rsidP="002F6C3E">
            <w:pPr>
              <w:jc w:val="left"/>
              <w:rPr>
                <w:rFonts w:eastAsia="Calibri"/>
                <w:i/>
                <w:iCs/>
              </w:rPr>
            </w:pPr>
            <w:r w:rsidRPr="002F6C3E">
              <w:rPr>
                <w:rFonts w:eastAsia="Calibri"/>
                <w:i/>
                <w:iCs/>
              </w:rPr>
              <w:t>Low talent development pathways:</w:t>
            </w:r>
          </w:p>
        </w:tc>
      </w:tr>
      <w:tr w:rsidR="002F6C3E" w:rsidRPr="002F6C3E" w14:paraId="2BD7FFF7" w14:textId="77777777" w:rsidTr="002F6C3E">
        <w:trPr>
          <w:trHeight w:val="300"/>
        </w:trPr>
        <w:tc>
          <w:tcPr>
            <w:tcW w:w="1838" w:type="dxa"/>
            <w:vMerge/>
            <w:shd w:val="clear" w:color="auto" w:fill="FFD966"/>
            <w:noWrap/>
            <w:vAlign w:val="center"/>
            <w:hideMark/>
          </w:tcPr>
          <w:p w14:paraId="4F577734" w14:textId="77777777" w:rsidR="002F6C3E" w:rsidRPr="002F6C3E" w:rsidRDefault="002F6C3E" w:rsidP="002F6C3E">
            <w:pPr>
              <w:jc w:val="center"/>
              <w:rPr>
                <w:rFonts w:eastAsia="Calibri"/>
                <w:b/>
              </w:rPr>
            </w:pPr>
          </w:p>
        </w:tc>
        <w:tc>
          <w:tcPr>
            <w:tcW w:w="7796" w:type="dxa"/>
            <w:noWrap/>
            <w:vAlign w:val="center"/>
            <w:hideMark/>
          </w:tcPr>
          <w:p w14:paraId="6984EF2A" w14:textId="77777777" w:rsidR="002F6C3E" w:rsidRPr="002F6C3E" w:rsidRDefault="002F6C3E" w:rsidP="002F6C3E">
            <w:pPr>
              <w:jc w:val="left"/>
              <w:rPr>
                <w:rFonts w:eastAsia="Calibri"/>
              </w:rPr>
            </w:pPr>
            <w:r w:rsidRPr="002F6C3E">
              <w:rPr>
                <w:rFonts w:eastAsia="Calibri"/>
              </w:rPr>
              <w:t>National event hosting</w:t>
            </w:r>
          </w:p>
        </w:tc>
      </w:tr>
      <w:tr w:rsidR="002F6C3E" w:rsidRPr="002F6C3E" w14:paraId="6E208160" w14:textId="77777777" w:rsidTr="002F6C3E">
        <w:trPr>
          <w:trHeight w:val="300"/>
        </w:trPr>
        <w:tc>
          <w:tcPr>
            <w:tcW w:w="1838" w:type="dxa"/>
            <w:vMerge/>
            <w:shd w:val="clear" w:color="auto" w:fill="FFD966"/>
            <w:noWrap/>
            <w:vAlign w:val="center"/>
            <w:hideMark/>
          </w:tcPr>
          <w:p w14:paraId="18837B2D" w14:textId="77777777" w:rsidR="002F6C3E" w:rsidRPr="002F6C3E" w:rsidRDefault="002F6C3E" w:rsidP="002F6C3E">
            <w:pPr>
              <w:jc w:val="center"/>
              <w:rPr>
                <w:rFonts w:eastAsia="Calibri"/>
                <w:b/>
              </w:rPr>
            </w:pPr>
          </w:p>
        </w:tc>
        <w:tc>
          <w:tcPr>
            <w:tcW w:w="7796" w:type="dxa"/>
            <w:noWrap/>
            <w:vAlign w:val="center"/>
            <w:hideMark/>
          </w:tcPr>
          <w:p w14:paraId="07193C07" w14:textId="77777777" w:rsidR="002F6C3E" w:rsidRPr="002F6C3E" w:rsidRDefault="002F6C3E" w:rsidP="002F6C3E">
            <w:pPr>
              <w:jc w:val="left"/>
              <w:rPr>
                <w:rFonts w:eastAsia="Calibri"/>
              </w:rPr>
            </w:pPr>
            <w:r w:rsidRPr="002F6C3E">
              <w:rPr>
                <w:rFonts w:eastAsia="Calibri"/>
              </w:rPr>
              <w:t>National event hosting juniors</w:t>
            </w:r>
          </w:p>
        </w:tc>
      </w:tr>
      <w:tr w:rsidR="002F6C3E" w:rsidRPr="002F6C3E" w14:paraId="39FE62FB" w14:textId="77777777" w:rsidTr="002F6C3E">
        <w:trPr>
          <w:trHeight w:val="300"/>
        </w:trPr>
        <w:tc>
          <w:tcPr>
            <w:tcW w:w="1838" w:type="dxa"/>
            <w:vMerge/>
            <w:shd w:val="clear" w:color="auto" w:fill="FFD966"/>
            <w:noWrap/>
            <w:vAlign w:val="center"/>
            <w:hideMark/>
          </w:tcPr>
          <w:p w14:paraId="70103FDA" w14:textId="77777777" w:rsidR="002F6C3E" w:rsidRPr="002F6C3E" w:rsidRDefault="002F6C3E" w:rsidP="002F6C3E">
            <w:pPr>
              <w:jc w:val="center"/>
              <w:rPr>
                <w:rFonts w:eastAsia="Calibri"/>
                <w:b/>
              </w:rPr>
            </w:pPr>
          </w:p>
        </w:tc>
        <w:tc>
          <w:tcPr>
            <w:tcW w:w="7796" w:type="dxa"/>
            <w:noWrap/>
            <w:vAlign w:val="center"/>
            <w:hideMark/>
          </w:tcPr>
          <w:p w14:paraId="3A6E7153" w14:textId="77777777" w:rsidR="002F6C3E" w:rsidRPr="002F6C3E" w:rsidRDefault="002F6C3E" w:rsidP="002F6C3E">
            <w:pPr>
              <w:jc w:val="left"/>
              <w:rPr>
                <w:rFonts w:eastAsia="Calibri"/>
              </w:rPr>
            </w:pPr>
            <w:r w:rsidRPr="002F6C3E">
              <w:rPr>
                <w:rFonts w:eastAsia="Times New Roman"/>
                <w:color w:val="000000"/>
                <w:lang w:eastAsia="en-AU"/>
              </w:rPr>
              <w:t>National Championships participation – open OR junior</w:t>
            </w:r>
          </w:p>
        </w:tc>
      </w:tr>
      <w:tr w:rsidR="002F6C3E" w:rsidRPr="002F6C3E" w14:paraId="57277F14" w14:textId="77777777" w:rsidTr="002F6C3E">
        <w:trPr>
          <w:trHeight w:val="300"/>
        </w:trPr>
        <w:tc>
          <w:tcPr>
            <w:tcW w:w="1838" w:type="dxa"/>
            <w:vMerge/>
            <w:shd w:val="clear" w:color="auto" w:fill="FFD966"/>
            <w:noWrap/>
            <w:vAlign w:val="center"/>
            <w:hideMark/>
          </w:tcPr>
          <w:p w14:paraId="6F280B40" w14:textId="77777777" w:rsidR="002F6C3E" w:rsidRPr="002F6C3E" w:rsidRDefault="002F6C3E" w:rsidP="002F6C3E">
            <w:pPr>
              <w:jc w:val="center"/>
              <w:rPr>
                <w:rFonts w:eastAsia="Calibri"/>
                <w:b/>
              </w:rPr>
            </w:pPr>
          </w:p>
        </w:tc>
        <w:tc>
          <w:tcPr>
            <w:tcW w:w="7796" w:type="dxa"/>
            <w:noWrap/>
            <w:vAlign w:val="center"/>
            <w:hideMark/>
          </w:tcPr>
          <w:p w14:paraId="6E448ECF" w14:textId="77777777" w:rsidR="002F6C3E" w:rsidRPr="002F6C3E" w:rsidRDefault="002F6C3E" w:rsidP="002F6C3E">
            <w:pPr>
              <w:jc w:val="left"/>
              <w:rPr>
                <w:rFonts w:eastAsia="Calibri"/>
              </w:rPr>
            </w:pPr>
            <w:r w:rsidRPr="002F6C3E">
              <w:rPr>
                <w:rFonts w:eastAsia="Calibri"/>
              </w:rPr>
              <w:t>Junior/Senior base</w:t>
            </w:r>
          </w:p>
        </w:tc>
      </w:tr>
      <w:tr w:rsidR="002F6C3E" w:rsidRPr="002F6C3E" w14:paraId="74D8B9DB" w14:textId="77777777" w:rsidTr="002F6C3E">
        <w:trPr>
          <w:trHeight w:val="300"/>
        </w:trPr>
        <w:tc>
          <w:tcPr>
            <w:tcW w:w="1838" w:type="dxa"/>
            <w:vMerge/>
            <w:shd w:val="clear" w:color="auto" w:fill="FFD966"/>
            <w:noWrap/>
            <w:vAlign w:val="center"/>
            <w:hideMark/>
          </w:tcPr>
          <w:p w14:paraId="2143010D" w14:textId="77777777" w:rsidR="002F6C3E" w:rsidRPr="002F6C3E" w:rsidRDefault="002F6C3E" w:rsidP="002F6C3E">
            <w:pPr>
              <w:jc w:val="center"/>
              <w:rPr>
                <w:rFonts w:eastAsia="Calibri"/>
                <w:b/>
              </w:rPr>
            </w:pPr>
          </w:p>
        </w:tc>
        <w:tc>
          <w:tcPr>
            <w:tcW w:w="7796" w:type="dxa"/>
            <w:noWrap/>
            <w:vAlign w:val="center"/>
            <w:hideMark/>
          </w:tcPr>
          <w:p w14:paraId="228C20F2" w14:textId="77777777" w:rsidR="002F6C3E" w:rsidRPr="002F6C3E" w:rsidRDefault="002F6C3E" w:rsidP="002F6C3E">
            <w:pPr>
              <w:jc w:val="left"/>
              <w:rPr>
                <w:rFonts w:eastAsia="Calibri"/>
              </w:rPr>
            </w:pPr>
            <w:r w:rsidRPr="002F6C3E">
              <w:rPr>
                <w:rFonts w:eastAsia="Calibri"/>
              </w:rPr>
              <w:t>Coach/Official</w:t>
            </w:r>
          </w:p>
        </w:tc>
      </w:tr>
      <w:tr w:rsidR="002F6C3E" w:rsidRPr="002F6C3E" w14:paraId="39402D91" w14:textId="77777777" w:rsidTr="002F6C3E">
        <w:trPr>
          <w:trHeight w:val="300"/>
        </w:trPr>
        <w:tc>
          <w:tcPr>
            <w:tcW w:w="1838" w:type="dxa"/>
            <w:shd w:val="clear" w:color="auto" w:fill="FFD966"/>
            <w:noWrap/>
            <w:vAlign w:val="center"/>
          </w:tcPr>
          <w:p w14:paraId="395EED83" w14:textId="77777777" w:rsidR="002F6C3E" w:rsidRPr="002F6C3E" w:rsidRDefault="002F6C3E" w:rsidP="002F6C3E">
            <w:pPr>
              <w:jc w:val="center"/>
              <w:rPr>
                <w:rFonts w:eastAsia="Calibri"/>
                <w:b/>
              </w:rPr>
            </w:pPr>
            <w:r w:rsidRPr="002F6C3E">
              <w:rPr>
                <w:rFonts w:eastAsia="Calibri"/>
                <w:b/>
              </w:rPr>
              <w:t>Regional Delivery</w:t>
            </w:r>
          </w:p>
        </w:tc>
        <w:tc>
          <w:tcPr>
            <w:tcW w:w="7796" w:type="dxa"/>
            <w:shd w:val="clear" w:color="auto" w:fill="FFFFFF"/>
            <w:noWrap/>
            <w:vAlign w:val="center"/>
          </w:tcPr>
          <w:p w14:paraId="09CA843F" w14:textId="77777777" w:rsidR="002F6C3E" w:rsidRPr="002F6C3E" w:rsidRDefault="002F6C3E" w:rsidP="002F6C3E">
            <w:pPr>
              <w:jc w:val="left"/>
              <w:rPr>
                <w:rFonts w:eastAsia="Calibri"/>
                <w:i/>
                <w:iCs/>
              </w:rPr>
            </w:pPr>
            <w:r w:rsidRPr="002F6C3E">
              <w:rPr>
                <w:rFonts w:eastAsia="Calibri"/>
              </w:rPr>
              <w:t xml:space="preserve">Low </w:t>
            </w:r>
            <w:r w:rsidRPr="002F6C3E">
              <w:rPr>
                <w:rFonts w:eastAsia="Times New Roman"/>
                <w:color w:val="000000"/>
                <w:lang w:eastAsia="en-AU"/>
              </w:rPr>
              <w:t xml:space="preserve">affiliated regional representation </w:t>
            </w:r>
            <w:r w:rsidRPr="002F6C3E">
              <w:rPr>
                <w:rFonts w:eastAsia="Calibri"/>
              </w:rPr>
              <w:t>in 3 to 4 regions</w:t>
            </w:r>
          </w:p>
        </w:tc>
      </w:tr>
      <w:tr w:rsidR="002F6C3E" w:rsidRPr="002F6C3E" w14:paraId="1D7A06CD" w14:textId="77777777" w:rsidTr="002F6C3E">
        <w:trPr>
          <w:trHeight w:val="300"/>
        </w:trPr>
        <w:tc>
          <w:tcPr>
            <w:tcW w:w="1838" w:type="dxa"/>
            <w:vMerge w:val="restart"/>
            <w:shd w:val="clear" w:color="auto" w:fill="FFD966"/>
            <w:noWrap/>
            <w:vAlign w:val="center"/>
            <w:hideMark/>
          </w:tcPr>
          <w:p w14:paraId="6E20F4DB" w14:textId="77777777" w:rsidR="002F6C3E" w:rsidRPr="002F6C3E" w:rsidRDefault="002F6C3E" w:rsidP="002F6C3E">
            <w:pPr>
              <w:jc w:val="center"/>
              <w:rPr>
                <w:rFonts w:eastAsia="Calibri"/>
                <w:b/>
              </w:rPr>
            </w:pPr>
            <w:r w:rsidRPr="002F6C3E">
              <w:rPr>
                <w:rFonts w:eastAsia="Calibri"/>
                <w:b/>
              </w:rPr>
              <w:t>Community Reach / Programming</w:t>
            </w:r>
          </w:p>
        </w:tc>
        <w:tc>
          <w:tcPr>
            <w:tcW w:w="7796" w:type="dxa"/>
            <w:shd w:val="clear" w:color="auto" w:fill="E7E6E6"/>
            <w:noWrap/>
            <w:vAlign w:val="center"/>
            <w:hideMark/>
          </w:tcPr>
          <w:p w14:paraId="015E65F5" w14:textId="77777777" w:rsidR="002F6C3E" w:rsidRPr="002F6C3E" w:rsidRDefault="002F6C3E" w:rsidP="002F6C3E">
            <w:pPr>
              <w:jc w:val="left"/>
              <w:rPr>
                <w:rFonts w:eastAsia="Calibri"/>
                <w:i/>
                <w:iCs/>
              </w:rPr>
            </w:pPr>
            <w:r w:rsidRPr="002F6C3E">
              <w:rPr>
                <w:rFonts w:eastAsia="Calibri"/>
                <w:i/>
                <w:iCs/>
              </w:rPr>
              <w:t>Low reach into the WA community</w:t>
            </w:r>
          </w:p>
        </w:tc>
      </w:tr>
      <w:tr w:rsidR="002F6C3E" w:rsidRPr="002F6C3E" w14:paraId="2CDBA14D" w14:textId="77777777" w:rsidTr="002F6C3E">
        <w:trPr>
          <w:trHeight w:val="300"/>
        </w:trPr>
        <w:tc>
          <w:tcPr>
            <w:tcW w:w="1838" w:type="dxa"/>
            <w:vMerge/>
            <w:shd w:val="clear" w:color="auto" w:fill="FFD966"/>
            <w:noWrap/>
            <w:vAlign w:val="center"/>
            <w:hideMark/>
          </w:tcPr>
          <w:p w14:paraId="6D63B30C" w14:textId="77777777" w:rsidR="002F6C3E" w:rsidRPr="002F6C3E" w:rsidRDefault="002F6C3E" w:rsidP="002F6C3E">
            <w:pPr>
              <w:jc w:val="center"/>
              <w:rPr>
                <w:rFonts w:eastAsia="Calibri"/>
                <w:b/>
              </w:rPr>
            </w:pPr>
          </w:p>
        </w:tc>
        <w:tc>
          <w:tcPr>
            <w:tcW w:w="7796" w:type="dxa"/>
            <w:noWrap/>
            <w:vAlign w:val="center"/>
            <w:hideMark/>
          </w:tcPr>
          <w:p w14:paraId="24D8D121" w14:textId="77777777" w:rsidR="002F6C3E" w:rsidRPr="002F6C3E" w:rsidRDefault="002F6C3E" w:rsidP="002F6C3E">
            <w:pPr>
              <w:jc w:val="left"/>
              <w:rPr>
                <w:rFonts w:eastAsia="Calibri"/>
              </w:rPr>
            </w:pPr>
            <w:r w:rsidRPr="002F6C3E">
              <w:rPr>
                <w:rFonts w:eastAsia="Calibri"/>
              </w:rPr>
              <w:t>Sport engagement product/program</w:t>
            </w:r>
          </w:p>
        </w:tc>
      </w:tr>
      <w:tr w:rsidR="002F6C3E" w:rsidRPr="002F6C3E" w14:paraId="19FF1813" w14:textId="77777777" w:rsidTr="002F6C3E">
        <w:trPr>
          <w:trHeight w:val="300"/>
        </w:trPr>
        <w:tc>
          <w:tcPr>
            <w:tcW w:w="1838" w:type="dxa"/>
            <w:vMerge/>
            <w:shd w:val="clear" w:color="auto" w:fill="FFD966"/>
            <w:noWrap/>
            <w:vAlign w:val="center"/>
            <w:hideMark/>
          </w:tcPr>
          <w:p w14:paraId="00C7D74D" w14:textId="77777777" w:rsidR="002F6C3E" w:rsidRPr="002F6C3E" w:rsidRDefault="002F6C3E" w:rsidP="002F6C3E">
            <w:pPr>
              <w:jc w:val="center"/>
              <w:rPr>
                <w:rFonts w:eastAsia="Calibri"/>
                <w:b/>
              </w:rPr>
            </w:pPr>
          </w:p>
        </w:tc>
        <w:tc>
          <w:tcPr>
            <w:tcW w:w="7796" w:type="dxa"/>
            <w:noWrap/>
            <w:vAlign w:val="center"/>
            <w:hideMark/>
          </w:tcPr>
          <w:p w14:paraId="0D9B4DAA" w14:textId="77777777" w:rsidR="002F6C3E" w:rsidRPr="002F6C3E" w:rsidRDefault="002F6C3E" w:rsidP="002F6C3E">
            <w:pPr>
              <w:jc w:val="left"/>
              <w:rPr>
                <w:rFonts w:eastAsia="Calibri"/>
              </w:rPr>
            </w:pPr>
            <w:r w:rsidRPr="002F6C3E">
              <w:rPr>
                <w:rFonts w:eastAsia="Calibri"/>
              </w:rPr>
              <w:t>Competitive sport</w:t>
            </w:r>
          </w:p>
        </w:tc>
      </w:tr>
      <w:tr w:rsidR="002F6C3E" w:rsidRPr="002F6C3E" w14:paraId="315D22A1" w14:textId="77777777" w:rsidTr="002F6C3E">
        <w:trPr>
          <w:trHeight w:val="300"/>
        </w:trPr>
        <w:tc>
          <w:tcPr>
            <w:tcW w:w="1838" w:type="dxa"/>
            <w:vMerge/>
            <w:shd w:val="clear" w:color="auto" w:fill="FFD966"/>
            <w:noWrap/>
            <w:vAlign w:val="center"/>
            <w:hideMark/>
          </w:tcPr>
          <w:p w14:paraId="6A4B6169" w14:textId="77777777" w:rsidR="002F6C3E" w:rsidRPr="002F6C3E" w:rsidRDefault="002F6C3E" w:rsidP="002F6C3E">
            <w:pPr>
              <w:jc w:val="center"/>
              <w:rPr>
                <w:rFonts w:eastAsia="Calibri"/>
                <w:b/>
              </w:rPr>
            </w:pPr>
          </w:p>
        </w:tc>
        <w:tc>
          <w:tcPr>
            <w:tcW w:w="7796" w:type="dxa"/>
            <w:noWrap/>
            <w:vAlign w:val="center"/>
            <w:hideMark/>
          </w:tcPr>
          <w:p w14:paraId="68E4ECCB" w14:textId="77777777" w:rsidR="002F6C3E" w:rsidRPr="002F6C3E" w:rsidRDefault="002F6C3E" w:rsidP="002F6C3E">
            <w:pPr>
              <w:jc w:val="left"/>
              <w:rPr>
                <w:rFonts w:eastAsia="Calibri"/>
              </w:rPr>
            </w:pPr>
            <w:r w:rsidRPr="002F6C3E">
              <w:rPr>
                <w:rFonts w:eastAsia="Calibri"/>
              </w:rPr>
              <w:t xml:space="preserve">Recreational/social focus </w:t>
            </w:r>
          </w:p>
        </w:tc>
      </w:tr>
      <w:tr w:rsidR="002F6C3E" w:rsidRPr="002F6C3E" w14:paraId="7B539CF2" w14:textId="77777777" w:rsidTr="002F6C3E">
        <w:trPr>
          <w:trHeight w:val="300"/>
        </w:trPr>
        <w:tc>
          <w:tcPr>
            <w:tcW w:w="1838" w:type="dxa"/>
            <w:shd w:val="clear" w:color="auto" w:fill="FFD966"/>
            <w:noWrap/>
            <w:vAlign w:val="center"/>
            <w:hideMark/>
          </w:tcPr>
          <w:p w14:paraId="5D065021" w14:textId="77777777" w:rsidR="002F6C3E" w:rsidRPr="002F6C3E" w:rsidRDefault="002F6C3E" w:rsidP="002F6C3E">
            <w:pPr>
              <w:jc w:val="center"/>
              <w:rPr>
                <w:rFonts w:eastAsia="Calibri"/>
                <w:b/>
              </w:rPr>
            </w:pPr>
            <w:r w:rsidRPr="002F6C3E">
              <w:rPr>
                <w:rFonts w:eastAsia="Calibri"/>
                <w:b/>
              </w:rPr>
              <w:t>Finance</w:t>
            </w:r>
          </w:p>
        </w:tc>
        <w:tc>
          <w:tcPr>
            <w:tcW w:w="7796" w:type="dxa"/>
            <w:noWrap/>
            <w:vAlign w:val="center"/>
            <w:hideMark/>
          </w:tcPr>
          <w:p w14:paraId="563CF36E" w14:textId="77777777" w:rsidR="002F6C3E" w:rsidRPr="002F6C3E" w:rsidRDefault="002F6C3E" w:rsidP="002F6C3E">
            <w:pPr>
              <w:jc w:val="left"/>
              <w:rPr>
                <w:rFonts w:eastAsia="Calibri"/>
              </w:rPr>
            </w:pPr>
            <w:r w:rsidRPr="002F6C3E">
              <w:rPr>
                <w:rFonts w:eastAsia="Calibri"/>
              </w:rPr>
              <w:t>Baseline annual total revenue $150,000 - $500,000</w:t>
            </w:r>
          </w:p>
        </w:tc>
      </w:tr>
      <w:tr w:rsidR="002F6C3E" w:rsidRPr="002F6C3E" w14:paraId="70DF1402" w14:textId="77777777" w:rsidTr="002F6C3E">
        <w:trPr>
          <w:trHeight w:val="300"/>
        </w:trPr>
        <w:tc>
          <w:tcPr>
            <w:tcW w:w="1838" w:type="dxa"/>
            <w:vMerge w:val="restart"/>
            <w:shd w:val="clear" w:color="auto" w:fill="FFD966"/>
            <w:noWrap/>
            <w:vAlign w:val="center"/>
            <w:hideMark/>
          </w:tcPr>
          <w:p w14:paraId="51B8F5E3" w14:textId="77777777" w:rsidR="002F6C3E" w:rsidRPr="002F6C3E" w:rsidRDefault="002F6C3E" w:rsidP="002F6C3E">
            <w:pPr>
              <w:jc w:val="center"/>
              <w:rPr>
                <w:rFonts w:eastAsia="Calibri"/>
                <w:b/>
              </w:rPr>
            </w:pPr>
            <w:r w:rsidRPr="002F6C3E">
              <w:rPr>
                <w:rFonts w:eastAsia="Calibri"/>
                <w:b/>
              </w:rPr>
              <w:t>Governance</w:t>
            </w:r>
          </w:p>
        </w:tc>
        <w:tc>
          <w:tcPr>
            <w:tcW w:w="7796" w:type="dxa"/>
            <w:shd w:val="clear" w:color="auto" w:fill="E7E6E6"/>
            <w:noWrap/>
            <w:vAlign w:val="center"/>
            <w:hideMark/>
          </w:tcPr>
          <w:p w14:paraId="3FBDD69D" w14:textId="77777777" w:rsidR="002F6C3E" w:rsidRPr="002F6C3E" w:rsidRDefault="002F6C3E" w:rsidP="002F6C3E">
            <w:pPr>
              <w:jc w:val="left"/>
              <w:rPr>
                <w:rFonts w:eastAsia="Calibri"/>
                <w:i/>
                <w:iCs/>
              </w:rPr>
            </w:pPr>
            <w:r w:rsidRPr="002F6C3E">
              <w:rPr>
                <w:rFonts w:eastAsia="Calibri"/>
                <w:i/>
                <w:iCs/>
              </w:rPr>
              <w:t xml:space="preserve">Baseline governance structures: </w:t>
            </w:r>
          </w:p>
        </w:tc>
      </w:tr>
      <w:tr w:rsidR="002F6C3E" w:rsidRPr="002F6C3E" w14:paraId="6F114871" w14:textId="77777777" w:rsidTr="002F6C3E">
        <w:trPr>
          <w:trHeight w:val="300"/>
        </w:trPr>
        <w:tc>
          <w:tcPr>
            <w:tcW w:w="1838" w:type="dxa"/>
            <w:vMerge/>
            <w:shd w:val="clear" w:color="auto" w:fill="FFD966"/>
            <w:noWrap/>
            <w:vAlign w:val="center"/>
            <w:hideMark/>
          </w:tcPr>
          <w:p w14:paraId="390F7BCD" w14:textId="77777777" w:rsidR="002F6C3E" w:rsidRPr="002F6C3E" w:rsidRDefault="002F6C3E" w:rsidP="002F6C3E">
            <w:pPr>
              <w:jc w:val="center"/>
              <w:rPr>
                <w:rFonts w:eastAsia="Calibri"/>
                <w:b/>
              </w:rPr>
            </w:pPr>
          </w:p>
        </w:tc>
        <w:tc>
          <w:tcPr>
            <w:tcW w:w="7796" w:type="dxa"/>
            <w:noWrap/>
            <w:vAlign w:val="center"/>
            <w:hideMark/>
          </w:tcPr>
          <w:p w14:paraId="220D30AE" w14:textId="77777777" w:rsidR="002F6C3E" w:rsidRPr="002F6C3E" w:rsidRDefault="002F6C3E" w:rsidP="002F6C3E">
            <w:pPr>
              <w:jc w:val="left"/>
              <w:rPr>
                <w:rFonts w:eastAsia="Calibri"/>
              </w:rPr>
            </w:pPr>
            <w:r w:rsidRPr="002F6C3E">
              <w:rPr>
                <w:rFonts w:eastAsia="Calibri"/>
              </w:rPr>
              <w:t xml:space="preserve">&gt;105 rating against governance checklist </w:t>
            </w:r>
          </w:p>
        </w:tc>
      </w:tr>
      <w:tr w:rsidR="002F6C3E" w:rsidRPr="002F6C3E" w14:paraId="54F5ECF7" w14:textId="77777777" w:rsidTr="002F6C3E">
        <w:trPr>
          <w:trHeight w:val="300"/>
        </w:trPr>
        <w:tc>
          <w:tcPr>
            <w:tcW w:w="1838" w:type="dxa"/>
            <w:vMerge/>
            <w:shd w:val="clear" w:color="auto" w:fill="FFD966"/>
            <w:noWrap/>
            <w:vAlign w:val="center"/>
          </w:tcPr>
          <w:p w14:paraId="051510F7" w14:textId="77777777" w:rsidR="002F6C3E" w:rsidRPr="002F6C3E" w:rsidRDefault="002F6C3E" w:rsidP="002F6C3E">
            <w:pPr>
              <w:jc w:val="center"/>
              <w:rPr>
                <w:rFonts w:eastAsia="Calibri"/>
                <w:b/>
              </w:rPr>
            </w:pPr>
          </w:p>
        </w:tc>
        <w:tc>
          <w:tcPr>
            <w:tcW w:w="7796" w:type="dxa"/>
            <w:shd w:val="clear" w:color="auto" w:fill="E7E6E6"/>
            <w:noWrap/>
            <w:vAlign w:val="center"/>
          </w:tcPr>
          <w:p w14:paraId="1438753A" w14:textId="77777777" w:rsidR="002F6C3E" w:rsidRPr="002F6C3E" w:rsidRDefault="002F6C3E" w:rsidP="002F6C3E">
            <w:pPr>
              <w:jc w:val="left"/>
              <w:rPr>
                <w:rFonts w:eastAsia="Calibri"/>
              </w:rPr>
            </w:pPr>
            <w:r w:rsidRPr="002F6C3E">
              <w:rPr>
                <w:rFonts w:eastAsia="Calibri"/>
                <w:i/>
                <w:iCs/>
              </w:rPr>
              <w:t>Policy:</w:t>
            </w:r>
          </w:p>
        </w:tc>
      </w:tr>
      <w:tr w:rsidR="002F6C3E" w:rsidRPr="002F6C3E" w14:paraId="23371B69" w14:textId="77777777" w:rsidTr="002F6C3E">
        <w:trPr>
          <w:trHeight w:val="300"/>
        </w:trPr>
        <w:tc>
          <w:tcPr>
            <w:tcW w:w="1838" w:type="dxa"/>
            <w:vMerge/>
            <w:shd w:val="clear" w:color="auto" w:fill="FFD966"/>
            <w:noWrap/>
            <w:vAlign w:val="center"/>
          </w:tcPr>
          <w:p w14:paraId="799090BA" w14:textId="77777777" w:rsidR="002F6C3E" w:rsidRPr="002F6C3E" w:rsidRDefault="002F6C3E" w:rsidP="002F6C3E">
            <w:pPr>
              <w:jc w:val="center"/>
              <w:rPr>
                <w:rFonts w:eastAsia="Calibri"/>
                <w:b/>
              </w:rPr>
            </w:pPr>
          </w:p>
        </w:tc>
        <w:tc>
          <w:tcPr>
            <w:tcW w:w="7796" w:type="dxa"/>
            <w:noWrap/>
            <w:vAlign w:val="center"/>
          </w:tcPr>
          <w:p w14:paraId="3A0D16F9" w14:textId="77777777" w:rsidR="002F6C3E" w:rsidRPr="002F6C3E" w:rsidRDefault="002F6C3E" w:rsidP="002F6C3E">
            <w:pPr>
              <w:jc w:val="left"/>
              <w:rPr>
                <w:rFonts w:eastAsia="Calibri"/>
              </w:rPr>
            </w:pPr>
            <w:r w:rsidRPr="002F6C3E">
              <w:rPr>
                <w:rFonts w:eastAsia="Calibri"/>
                <w:iCs/>
              </w:rPr>
              <w:t xml:space="preserve">Member Protection Policy, Alcohol, Drugs in sport developed and implemented– (others as applicable </w:t>
            </w:r>
            <w:proofErr w:type="gramStart"/>
            <w:r w:rsidRPr="002F6C3E">
              <w:rPr>
                <w:rFonts w:eastAsia="Calibri"/>
                <w:iCs/>
              </w:rPr>
              <w:t>-  Sports</w:t>
            </w:r>
            <w:proofErr w:type="gramEnd"/>
            <w:r w:rsidRPr="002F6C3E">
              <w:rPr>
                <w:rFonts w:eastAsia="Calibri"/>
                <w:iCs/>
              </w:rPr>
              <w:t xml:space="preserve"> Betting, Match Fixing, Privacy, Inclusion)</w:t>
            </w:r>
          </w:p>
        </w:tc>
      </w:tr>
      <w:tr w:rsidR="002F6C3E" w:rsidRPr="002F6C3E" w14:paraId="2D1A8236" w14:textId="77777777" w:rsidTr="002F6C3E">
        <w:trPr>
          <w:trHeight w:val="300"/>
        </w:trPr>
        <w:tc>
          <w:tcPr>
            <w:tcW w:w="1838" w:type="dxa"/>
            <w:vMerge/>
            <w:shd w:val="clear" w:color="auto" w:fill="FFD966"/>
            <w:noWrap/>
            <w:vAlign w:val="center"/>
          </w:tcPr>
          <w:p w14:paraId="14235387" w14:textId="77777777" w:rsidR="002F6C3E" w:rsidRPr="002F6C3E" w:rsidRDefault="002F6C3E" w:rsidP="002F6C3E">
            <w:pPr>
              <w:jc w:val="center"/>
              <w:rPr>
                <w:rFonts w:eastAsia="Calibri"/>
                <w:b/>
              </w:rPr>
            </w:pPr>
          </w:p>
        </w:tc>
        <w:tc>
          <w:tcPr>
            <w:tcW w:w="7796" w:type="dxa"/>
            <w:shd w:val="clear" w:color="auto" w:fill="E7E6E6"/>
            <w:noWrap/>
            <w:vAlign w:val="center"/>
          </w:tcPr>
          <w:p w14:paraId="2A48275A" w14:textId="77777777" w:rsidR="002F6C3E" w:rsidRPr="002F6C3E" w:rsidRDefault="002F6C3E" w:rsidP="002F6C3E">
            <w:pPr>
              <w:jc w:val="left"/>
              <w:rPr>
                <w:rFonts w:eastAsia="Calibri"/>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p>
        </w:tc>
      </w:tr>
      <w:tr w:rsidR="002F6C3E" w:rsidRPr="002F6C3E" w14:paraId="3A7E9D40" w14:textId="77777777" w:rsidTr="002F6C3E">
        <w:trPr>
          <w:trHeight w:val="300"/>
        </w:trPr>
        <w:tc>
          <w:tcPr>
            <w:tcW w:w="1838" w:type="dxa"/>
            <w:vMerge/>
            <w:shd w:val="clear" w:color="auto" w:fill="FFD966"/>
            <w:noWrap/>
            <w:vAlign w:val="center"/>
          </w:tcPr>
          <w:p w14:paraId="6D021546" w14:textId="77777777" w:rsidR="002F6C3E" w:rsidRPr="002F6C3E" w:rsidRDefault="002F6C3E" w:rsidP="002F6C3E">
            <w:pPr>
              <w:jc w:val="center"/>
              <w:rPr>
                <w:rFonts w:eastAsia="Calibri"/>
                <w:b/>
              </w:rPr>
            </w:pPr>
          </w:p>
        </w:tc>
        <w:tc>
          <w:tcPr>
            <w:tcW w:w="7796" w:type="dxa"/>
            <w:noWrap/>
            <w:vAlign w:val="center"/>
          </w:tcPr>
          <w:p w14:paraId="03F71F76" w14:textId="77777777" w:rsidR="002F6C3E" w:rsidRPr="002F6C3E" w:rsidRDefault="002F6C3E" w:rsidP="002F6C3E">
            <w:pPr>
              <w:jc w:val="left"/>
              <w:rPr>
                <w:rFonts w:eastAsia="Calibri"/>
              </w:rPr>
            </w:pPr>
            <w:r w:rsidRPr="002F6C3E">
              <w:rPr>
                <w:rFonts w:eastAsia="Calibri"/>
              </w:rPr>
              <w:t>Meets board gender target &gt;= 50% female</w:t>
            </w:r>
          </w:p>
        </w:tc>
      </w:tr>
      <w:tr w:rsidR="002F6C3E" w:rsidRPr="002F6C3E" w14:paraId="6F29606B" w14:textId="77777777" w:rsidTr="002F6C3E">
        <w:trPr>
          <w:trHeight w:val="300"/>
        </w:trPr>
        <w:tc>
          <w:tcPr>
            <w:tcW w:w="1838" w:type="dxa"/>
            <w:vMerge/>
            <w:shd w:val="clear" w:color="auto" w:fill="FFD966"/>
            <w:noWrap/>
            <w:vAlign w:val="center"/>
          </w:tcPr>
          <w:p w14:paraId="2663809C" w14:textId="77777777" w:rsidR="002F6C3E" w:rsidRPr="002F6C3E" w:rsidRDefault="002F6C3E" w:rsidP="002F6C3E">
            <w:pPr>
              <w:jc w:val="center"/>
              <w:rPr>
                <w:rFonts w:eastAsia="Calibri"/>
                <w:b/>
              </w:rPr>
            </w:pPr>
          </w:p>
        </w:tc>
        <w:tc>
          <w:tcPr>
            <w:tcW w:w="7796" w:type="dxa"/>
            <w:noWrap/>
            <w:vAlign w:val="center"/>
          </w:tcPr>
          <w:p w14:paraId="5249AAC6" w14:textId="77777777" w:rsidR="002F6C3E" w:rsidRPr="002F6C3E" w:rsidRDefault="002F6C3E" w:rsidP="002F6C3E">
            <w:pPr>
              <w:jc w:val="left"/>
              <w:rPr>
                <w:rFonts w:eastAsia="Calibri"/>
              </w:rPr>
            </w:pPr>
            <w:r w:rsidRPr="002F6C3E">
              <w:rPr>
                <w:rFonts w:eastAsia="Calibri"/>
              </w:rPr>
              <w:t>Below board gender target &lt; 50% female</w:t>
            </w:r>
          </w:p>
        </w:tc>
      </w:tr>
      <w:tr w:rsidR="002F6C3E" w:rsidRPr="002F6C3E" w14:paraId="62827D07" w14:textId="77777777" w:rsidTr="002F6C3E">
        <w:trPr>
          <w:trHeight w:val="300"/>
        </w:trPr>
        <w:tc>
          <w:tcPr>
            <w:tcW w:w="1838" w:type="dxa"/>
            <w:vMerge/>
            <w:shd w:val="clear" w:color="auto" w:fill="FFD966"/>
            <w:noWrap/>
            <w:vAlign w:val="center"/>
          </w:tcPr>
          <w:p w14:paraId="2164D7B1" w14:textId="77777777" w:rsidR="002F6C3E" w:rsidRPr="002F6C3E" w:rsidRDefault="002F6C3E" w:rsidP="002F6C3E">
            <w:pPr>
              <w:jc w:val="center"/>
              <w:rPr>
                <w:rFonts w:eastAsia="Calibri"/>
                <w:b/>
              </w:rPr>
            </w:pPr>
          </w:p>
        </w:tc>
        <w:tc>
          <w:tcPr>
            <w:tcW w:w="7796" w:type="dxa"/>
            <w:noWrap/>
            <w:vAlign w:val="center"/>
          </w:tcPr>
          <w:p w14:paraId="34B36DA7" w14:textId="77777777" w:rsidR="002F6C3E" w:rsidRPr="002F6C3E" w:rsidRDefault="002F6C3E" w:rsidP="002F6C3E">
            <w:pPr>
              <w:jc w:val="left"/>
              <w:rPr>
                <w:rFonts w:eastAsia="Calibri"/>
              </w:rPr>
            </w:pPr>
            <w:r w:rsidRPr="002F6C3E">
              <w:rPr>
                <w:rFonts w:eastAsia="Calibri"/>
              </w:rPr>
              <w:t xml:space="preserve">No gender diversity on board </w:t>
            </w:r>
          </w:p>
        </w:tc>
      </w:tr>
      <w:tr w:rsidR="002F6C3E" w:rsidRPr="002F6C3E" w14:paraId="0ACFE4AC" w14:textId="77777777" w:rsidTr="002F6C3E">
        <w:trPr>
          <w:trHeight w:val="300"/>
        </w:trPr>
        <w:tc>
          <w:tcPr>
            <w:tcW w:w="1838" w:type="dxa"/>
            <w:vMerge w:val="restart"/>
            <w:shd w:val="clear" w:color="auto" w:fill="FFD966"/>
            <w:noWrap/>
            <w:vAlign w:val="center"/>
            <w:hideMark/>
          </w:tcPr>
          <w:p w14:paraId="43035BD2" w14:textId="77777777" w:rsidR="002F6C3E" w:rsidRPr="002F6C3E" w:rsidRDefault="002F6C3E" w:rsidP="002F6C3E">
            <w:pPr>
              <w:jc w:val="center"/>
              <w:rPr>
                <w:rFonts w:eastAsia="Calibri"/>
                <w:b/>
              </w:rPr>
            </w:pPr>
            <w:r w:rsidRPr="002F6C3E">
              <w:rPr>
                <w:rFonts w:eastAsia="Calibri"/>
                <w:b/>
              </w:rPr>
              <w:t>Planning</w:t>
            </w:r>
          </w:p>
        </w:tc>
        <w:tc>
          <w:tcPr>
            <w:tcW w:w="7796" w:type="dxa"/>
            <w:shd w:val="clear" w:color="auto" w:fill="E7E6E6"/>
            <w:noWrap/>
            <w:vAlign w:val="center"/>
            <w:hideMark/>
          </w:tcPr>
          <w:p w14:paraId="72E65ECD" w14:textId="77777777" w:rsidR="002F6C3E" w:rsidRPr="002F6C3E" w:rsidRDefault="002F6C3E" w:rsidP="002F6C3E">
            <w:pPr>
              <w:jc w:val="left"/>
              <w:rPr>
                <w:rFonts w:eastAsia="Calibri"/>
                <w:i/>
                <w:iCs/>
              </w:rPr>
            </w:pPr>
            <w:r w:rsidRPr="002F6C3E">
              <w:rPr>
                <w:rFonts w:eastAsia="Calibri"/>
                <w:i/>
                <w:iCs/>
              </w:rPr>
              <w:t>Baseline planning culture:</w:t>
            </w:r>
          </w:p>
        </w:tc>
      </w:tr>
      <w:tr w:rsidR="002F6C3E" w:rsidRPr="002F6C3E" w14:paraId="0CEA3718" w14:textId="77777777" w:rsidTr="002F6C3E">
        <w:trPr>
          <w:trHeight w:val="300"/>
        </w:trPr>
        <w:tc>
          <w:tcPr>
            <w:tcW w:w="1838" w:type="dxa"/>
            <w:vMerge/>
            <w:shd w:val="clear" w:color="auto" w:fill="FFD966"/>
            <w:noWrap/>
            <w:hideMark/>
          </w:tcPr>
          <w:p w14:paraId="64845A3F" w14:textId="77777777" w:rsidR="002F6C3E" w:rsidRPr="002F6C3E" w:rsidRDefault="002F6C3E" w:rsidP="002F6C3E">
            <w:pPr>
              <w:jc w:val="left"/>
              <w:rPr>
                <w:rFonts w:eastAsia="Calibri"/>
              </w:rPr>
            </w:pPr>
          </w:p>
        </w:tc>
        <w:tc>
          <w:tcPr>
            <w:tcW w:w="7796" w:type="dxa"/>
            <w:noWrap/>
            <w:vAlign w:val="center"/>
            <w:hideMark/>
          </w:tcPr>
          <w:p w14:paraId="448712D4" w14:textId="77777777" w:rsidR="002F6C3E" w:rsidRPr="002F6C3E" w:rsidRDefault="002F6C3E" w:rsidP="002F6C3E">
            <w:pPr>
              <w:jc w:val="left"/>
              <w:rPr>
                <w:rFonts w:eastAsia="Calibri"/>
              </w:rPr>
            </w:pPr>
            <w:r w:rsidRPr="002F6C3E">
              <w:rPr>
                <w:rFonts w:eastAsia="Calibri"/>
              </w:rPr>
              <w:t>3-year strategic plan</w:t>
            </w:r>
          </w:p>
        </w:tc>
      </w:tr>
      <w:tr w:rsidR="002F6C3E" w:rsidRPr="002F6C3E" w14:paraId="69CFA667" w14:textId="77777777" w:rsidTr="002F6C3E">
        <w:trPr>
          <w:trHeight w:val="300"/>
        </w:trPr>
        <w:tc>
          <w:tcPr>
            <w:tcW w:w="1838" w:type="dxa"/>
            <w:vMerge/>
            <w:shd w:val="clear" w:color="auto" w:fill="FFD966"/>
            <w:noWrap/>
            <w:hideMark/>
          </w:tcPr>
          <w:p w14:paraId="105052A9" w14:textId="77777777" w:rsidR="002F6C3E" w:rsidRPr="002F6C3E" w:rsidRDefault="002F6C3E" w:rsidP="002F6C3E">
            <w:pPr>
              <w:jc w:val="left"/>
              <w:rPr>
                <w:rFonts w:eastAsia="Calibri"/>
              </w:rPr>
            </w:pPr>
          </w:p>
        </w:tc>
        <w:tc>
          <w:tcPr>
            <w:tcW w:w="7796" w:type="dxa"/>
            <w:noWrap/>
            <w:vAlign w:val="center"/>
            <w:hideMark/>
          </w:tcPr>
          <w:p w14:paraId="747FE70C" w14:textId="77777777" w:rsidR="002F6C3E" w:rsidRPr="002F6C3E" w:rsidRDefault="002F6C3E" w:rsidP="002F6C3E">
            <w:pPr>
              <w:jc w:val="left"/>
              <w:rPr>
                <w:rFonts w:eastAsia="Calibri"/>
              </w:rPr>
            </w:pPr>
            <w:r w:rsidRPr="002F6C3E">
              <w:rPr>
                <w:rFonts w:eastAsia="Calibri"/>
              </w:rPr>
              <w:t>Annual operational plan</w:t>
            </w:r>
          </w:p>
        </w:tc>
      </w:tr>
      <w:tr w:rsidR="002F6C3E" w:rsidRPr="002F6C3E" w14:paraId="239D66C3" w14:textId="77777777" w:rsidTr="002F6C3E">
        <w:trPr>
          <w:trHeight w:val="300"/>
        </w:trPr>
        <w:tc>
          <w:tcPr>
            <w:tcW w:w="1838" w:type="dxa"/>
            <w:vMerge/>
            <w:shd w:val="clear" w:color="auto" w:fill="FFD966"/>
            <w:noWrap/>
            <w:hideMark/>
          </w:tcPr>
          <w:p w14:paraId="5E2F9EC0" w14:textId="77777777" w:rsidR="002F6C3E" w:rsidRPr="002F6C3E" w:rsidRDefault="002F6C3E" w:rsidP="002F6C3E">
            <w:pPr>
              <w:jc w:val="left"/>
              <w:rPr>
                <w:rFonts w:eastAsia="Calibri"/>
              </w:rPr>
            </w:pPr>
          </w:p>
        </w:tc>
        <w:tc>
          <w:tcPr>
            <w:tcW w:w="7796" w:type="dxa"/>
            <w:noWrap/>
            <w:vAlign w:val="center"/>
            <w:hideMark/>
          </w:tcPr>
          <w:p w14:paraId="63EA03B7" w14:textId="77777777" w:rsidR="002F6C3E" w:rsidRPr="002F6C3E" w:rsidRDefault="002F6C3E" w:rsidP="002F6C3E">
            <w:pPr>
              <w:jc w:val="left"/>
              <w:rPr>
                <w:rFonts w:eastAsia="Calibri"/>
              </w:rPr>
            </w:pPr>
            <w:r w:rsidRPr="002F6C3E">
              <w:rPr>
                <w:rFonts w:eastAsia="Calibri"/>
              </w:rPr>
              <w:t>Annual budget</w:t>
            </w:r>
          </w:p>
        </w:tc>
      </w:tr>
      <w:tr w:rsidR="002F6C3E" w:rsidRPr="002F6C3E" w14:paraId="5B4D97C0" w14:textId="77777777" w:rsidTr="002F6C3E">
        <w:trPr>
          <w:trHeight w:val="300"/>
        </w:trPr>
        <w:tc>
          <w:tcPr>
            <w:tcW w:w="1838" w:type="dxa"/>
            <w:vMerge/>
            <w:shd w:val="clear" w:color="auto" w:fill="FFD966"/>
            <w:noWrap/>
            <w:hideMark/>
          </w:tcPr>
          <w:p w14:paraId="687C142A" w14:textId="77777777" w:rsidR="002F6C3E" w:rsidRPr="002F6C3E" w:rsidRDefault="002F6C3E" w:rsidP="002F6C3E">
            <w:pPr>
              <w:jc w:val="left"/>
              <w:rPr>
                <w:rFonts w:eastAsia="Calibri"/>
              </w:rPr>
            </w:pPr>
          </w:p>
        </w:tc>
        <w:tc>
          <w:tcPr>
            <w:tcW w:w="7796" w:type="dxa"/>
            <w:noWrap/>
            <w:vAlign w:val="center"/>
            <w:hideMark/>
          </w:tcPr>
          <w:p w14:paraId="7B1E7A7A" w14:textId="77777777" w:rsidR="002F6C3E" w:rsidRPr="002F6C3E" w:rsidRDefault="002F6C3E" w:rsidP="002F6C3E">
            <w:pPr>
              <w:jc w:val="left"/>
              <w:rPr>
                <w:rFonts w:eastAsia="Calibri"/>
              </w:rPr>
            </w:pPr>
            <w:r w:rsidRPr="002F6C3E">
              <w:rPr>
                <w:rFonts w:eastAsia="Calibri"/>
              </w:rPr>
              <w:t>Risk Register</w:t>
            </w:r>
          </w:p>
        </w:tc>
      </w:tr>
      <w:tr w:rsidR="002F6C3E" w:rsidRPr="002F6C3E" w14:paraId="46612C7F" w14:textId="77777777" w:rsidTr="002F6C3E">
        <w:trPr>
          <w:trHeight w:val="300"/>
        </w:trPr>
        <w:tc>
          <w:tcPr>
            <w:tcW w:w="1838" w:type="dxa"/>
            <w:vMerge/>
            <w:shd w:val="clear" w:color="auto" w:fill="FFD966"/>
            <w:noWrap/>
          </w:tcPr>
          <w:p w14:paraId="4AC37D49" w14:textId="77777777" w:rsidR="002F6C3E" w:rsidRPr="002F6C3E" w:rsidRDefault="002F6C3E" w:rsidP="002F6C3E">
            <w:pPr>
              <w:jc w:val="left"/>
              <w:rPr>
                <w:rFonts w:eastAsia="Calibri"/>
              </w:rPr>
            </w:pPr>
          </w:p>
        </w:tc>
        <w:tc>
          <w:tcPr>
            <w:tcW w:w="7796" w:type="dxa"/>
            <w:noWrap/>
            <w:vAlign w:val="center"/>
          </w:tcPr>
          <w:p w14:paraId="48AA3FDF" w14:textId="77777777" w:rsidR="002F6C3E" w:rsidRPr="002F6C3E" w:rsidRDefault="002F6C3E" w:rsidP="002F6C3E">
            <w:pPr>
              <w:jc w:val="left"/>
              <w:rPr>
                <w:rFonts w:eastAsia="Calibri"/>
              </w:rPr>
            </w:pPr>
            <w:r w:rsidRPr="002F6C3E">
              <w:rPr>
                <w:rFonts w:eastAsia="Calibri"/>
              </w:rPr>
              <w:t>Volunteer Management Plan</w:t>
            </w:r>
          </w:p>
        </w:tc>
      </w:tr>
      <w:tr w:rsidR="002F6C3E" w:rsidRPr="002F6C3E" w14:paraId="7A5EBF6D" w14:textId="77777777" w:rsidTr="002F6C3E">
        <w:trPr>
          <w:trHeight w:val="300"/>
        </w:trPr>
        <w:tc>
          <w:tcPr>
            <w:tcW w:w="1838" w:type="dxa"/>
            <w:vMerge/>
            <w:shd w:val="clear" w:color="auto" w:fill="FFD966"/>
            <w:noWrap/>
          </w:tcPr>
          <w:p w14:paraId="18F4DFDA" w14:textId="77777777" w:rsidR="002F6C3E" w:rsidRPr="002F6C3E" w:rsidRDefault="002F6C3E" w:rsidP="002F6C3E">
            <w:pPr>
              <w:jc w:val="left"/>
              <w:rPr>
                <w:rFonts w:eastAsia="Calibri"/>
              </w:rPr>
            </w:pPr>
          </w:p>
        </w:tc>
        <w:tc>
          <w:tcPr>
            <w:tcW w:w="7796" w:type="dxa"/>
            <w:noWrap/>
            <w:vAlign w:val="center"/>
          </w:tcPr>
          <w:p w14:paraId="053C6E43" w14:textId="77777777" w:rsidR="002F6C3E" w:rsidRPr="002F6C3E" w:rsidRDefault="002F6C3E" w:rsidP="002F6C3E">
            <w:pPr>
              <w:jc w:val="left"/>
              <w:rPr>
                <w:rFonts w:eastAsia="Calibri"/>
              </w:rPr>
            </w:pPr>
            <w:r w:rsidRPr="002F6C3E">
              <w:rPr>
                <w:rFonts w:eastAsia="Calibri"/>
              </w:rPr>
              <w:t>Asset Register</w:t>
            </w:r>
          </w:p>
        </w:tc>
      </w:tr>
      <w:tr w:rsidR="002F6C3E" w:rsidRPr="002F6C3E" w14:paraId="36FC75FC" w14:textId="77777777" w:rsidTr="002F6C3E">
        <w:trPr>
          <w:trHeight w:val="300"/>
        </w:trPr>
        <w:tc>
          <w:tcPr>
            <w:tcW w:w="1838" w:type="dxa"/>
            <w:vMerge/>
            <w:shd w:val="clear" w:color="auto" w:fill="FFD966"/>
            <w:noWrap/>
            <w:hideMark/>
          </w:tcPr>
          <w:p w14:paraId="1FE2B68E" w14:textId="77777777" w:rsidR="002F6C3E" w:rsidRPr="002F6C3E" w:rsidRDefault="002F6C3E" w:rsidP="002F6C3E">
            <w:pPr>
              <w:jc w:val="left"/>
              <w:rPr>
                <w:rFonts w:eastAsia="Calibri"/>
              </w:rPr>
            </w:pPr>
          </w:p>
        </w:tc>
        <w:tc>
          <w:tcPr>
            <w:tcW w:w="7796" w:type="dxa"/>
            <w:noWrap/>
            <w:vAlign w:val="center"/>
            <w:hideMark/>
          </w:tcPr>
          <w:p w14:paraId="57822619" w14:textId="77777777" w:rsidR="002F6C3E" w:rsidRPr="002F6C3E" w:rsidRDefault="002F6C3E" w:rsidP="002F6C3E">
            <w:pPr>
              <w:jc w:val="left"/>
              <w:rPr>
                <w:rFonts w:eastAsia="Calibri"/>
              </w:rPr>
            </w:pPr>
            <w:r w:rsidRPr="002F6C3E">
              <w:rPr>
                <w:rFonts w:eastAsia="Calibri"/>
              </w:rPr>
              <w:t>Communication Initiatives</w:t>
            </w:r>
          </w:p>
        </w:tc>
      </w:tr>
    </w:tbl>
    <w:p w14:paraId="0E47036A" w14:textId="77777777" w:rsidR="002F6C3E" w:rsidRPr="002F6C3E" w:rsidRDefault="002F6C3E" w:rsidP="002F6C3E">
      <w:pPr>
        <w:spacing w:after="160" w:line="259" w:lineRule="auto"/>
        <w:jc w:val="left"/>
        <w:rPr>
          <w:rFonts w:eastAsia="Calibri"/>
        </w:rPr>
      </w:pPr>
    </w:p>
    <w:p w14:paraId="555ABC31" w14:textId="77777777" w:rsidR="002F6C3E" w:rsidRPr="002F6C3E" w:rsidRDefault="002F6C3E" w:rsidP="002F6C3E">
      <w:pPr>
        <w:spacing w:after="160" w:line="259" w:lineRule="auto"/>
        <w:jc w:val="left"/>
        <w:rPr>
          <w:rFonts w:eastAsia="Calibri"/>
        </w:rPr>
      </w:pPr>
      <w:r w:rsidRPr="002F6C3E">
        <w:rPr>
          <w:rFonts w:eastAsia="Calibri"/>
        </w:rPr>
        <w:br w:type="page"/>
      </w:r>
    </w:p>
    <w:tbl>
      <w:tblPr>
        <w:tblStyle w:val="TableGrid1"/>
        <w:tblW w:w="9493" w:type="dxa"/>
        <w:tblLook w:val="04A0" w:firstRow="1" w:lastRow="0" w:firstColumn="1" w:lastColumn="0" w:noHBand="0" w:noVBand="1"/>
      </w:tblPr>
      <w:tblGrid>
        <w:gridCol w:w="1980"/>
        <w:gridCol w:w="7513"/>
      </w:tblGrid>
      <w:tr w:rsidR="002F6C3E" w:rsidRPr="002F6C3E" w14:paraId="3996628A" w14:textId="77777777" w:rsidTr="002F6C3E">
        <w:trPr>
          <w:trHeight w:val="600"/>
        </w:trPr>
        <w:tc>
          <w:tcPr>
            <w:tcW w:w="9493" w:type="dxa"/>
            <w:gridSpan w:val="2"/>
            <w:shd w:val="clear" w:color="auto" w:fill="FFF2CC"/>
            <w:noWrap/>
            <w:vAlign w:val="center"/>
            <w:hideMark/>
          </w:tcPr>
          <w:p w14:paraId="14F296F8" w14:textId="77777777" w:rsidR="002F6C3E" w:rsidRPr="002F6C3E" w:rsidRDefault="002F6C3E" w:rsidP="002F6C3E">
            <w:pPr>
              <w:jc w:val="center"/>
              <w:rPr>
                <w:rFonts w:eastAsia="Calibri"/>
                <w:b/>
                <w:bCs/>
              </w:rPr>
            </w:pPr>
            <w:r w:rsidRPr="002F6C3E">
              <w:rPr>
                <w:rFonts w:eastAsia="Calibri"/>
                <w:b/>
                <w:bCs/>
              </w:rPr>
              <w:lastRenderedPageBreak/>
              <w:t>Category F</w:t>
            </w:r>
          </w:p>
        </w:tc>
      </w:tr>
      <w:tr w:rsidR="002F6C3E" w:rsidRPr="002F6C3E" w14:paraId="71B6384E" w14:textId="77777777" w:rsidTr="002F6C3E">
        <w:trPr>
          <w:trHeight w:val="300"/>
        </w:trPr>
        <w:tc>
          <w:tcPr>
            <w:tcW w:w="1980" w:type="dxa"/>
            <w:vMerge w:val="restart"/>
            <w:shd w:val="clear" w:color="auto" w:fill="FFD966"/>
            <w:noWrap/>
            <w:vAlign w:val="center"/>
            <w:hideMark/>
          </w:tcPr>
          <w:p w14:paraId="594F15AF" w14:textId="77777777" w:rsidR="002F6C3E" w:rsidRPr="002F6C3E" w:rsidRDefault="002F6C3E" w:rsidP="002F6C3E">
            <w:pPr>
              <w:jc w:val="center"/>
              <w:rPr>
                <w:rFonts w:eastAsia="Calibri"/>
                <w:b/>
              </w:rPr>
            </w:pPr>
            <w:r w:rsidRPr="002F6C3E">
              <w:rPr>
                <w:rFonts w:eastAsia="Calibri"/>
                <w:b/>
              </w:rPr>
              <w:t>Participation / Membership</w:t>
            </w:r>
          </w:p>
        </w:tc>
        <w:tc>
          <w:tcPr>
            <w:tcW w:w="7513" w:type="dxa"/>
            <w:noWrap/>
            <w:vAlign w:val="center"/>
            <w:hideMark/>
          </w:tcPr>
          <w:p w14:paraId="49FFB457" w14:textId="77777777" w:rsidR="002F6C3E" w:rsidRPr="002F6C3E" w:rsidRDefault="002F6C3E" w:rsidP="002F6C3E">
            <w:pPr>
              <w:jc w:val="left"/>
              <w:rPr>
                <w:rFonts w:eastAsia="Calibri"/>
              </w:rPr>
            </w:pPr>
            <w:r w:rsidRPr="002F6C3E">
              <w:rPr>
                <w:rFonts w:eastAsia="Calibri"/>
              </w:rPr>
              <w:t>Low participation base &gt; 1,000</w:t>
            </w:r>
          </w:p>
        </w:tc>
      </w:tr>
      <w:tr w:rsidR="002F6C3E" w:rsidRPr="002F6C3E" w14:paraId="174C67F2" w14:textId="77777777" w:rsidTr="002F6C3E">
        <w:trPr>
          <w:trHeight w:val="300"/>
        </w:trPr>
        <w:tc>
          <w:tcPr>
            <w:tcW w:w="1980" w:type="dxa"/>
            <w:vMerge/>
            <w:shd w:val="clear" w:color="auto" w:fill="FFD966"/>
            <w:noWrap/>
            <w:vAlign w:val="center"/>
            <w:hideMark/>
          </w:tcPr>
          <w:p w14:paraId="769B0C35" w14:textId="77777777" w:rsidR="002F6C3E" w:rsidRPr="002F6C3E" w:rsidRDefault="002F6C3E" w:rsidP="002F6C3E">
            <w:pPr>
              <w:jc w:val="center"/>
              <w:rPr>
                <w:rFonts w:eastAsia="Calibri"/>
                <w:b/>
              </w:rPr>
            </w:pPr>
          </w:p>
        </w:tc>
        <w:tc>
          <w:tcPr>
            <w:tcW w:w="7513" w:type="dxa"/>
            <w:noWrap/>
            <w:vAlign w:val="center"/>
            <w:hideMark/>
          </w:tcPr>
          <w:p w14:paraId="35304178" w14:textId="77777777" w:rsidR="002F6C3E" w:rsidRPr="002F6C3E" w:rsidRDefault="002F6C3E" w:rsidP="002F6C3E">
            <w:pPr>
              <w:jc w:val="left"/>
              <w:rPr>
                <w:rFonts w:eastAsia="Calibri"/>
              </w:rPr>
            </w:pPr>
            <w:r w:rsidRPr="002F6C3E">
              <w:rPr>
                <w:rFonts w:eastAsia="Calibri"/>
              </w:rPr>
              <w:t>Low Member base &gt; 500</w:t>
            </w:r>
          </w:p>
        </w:tc>
      </w:tr>
      <w:tr w:rsidR="002F6C3E" w:rsidRPr="002F6C3E" w14:paraId="3BD35362" w14:textId="77777777" w:rsidTr="002F6C3E">
        <w:trPr>
          <w:trHeight w:val="300"/>
        </w:trPr>
        <w:tc>
          <w:tcPr>
            <w:tcW w:w="1980" w:type="dxa"/>
            <w:vMerge w:val="restart"/>
            <w:shd w:val="clear" w:color="auto" w:fill="FFD966"/>
            <w:noWrap/>
            <w:vAlign w:val="center"/>
            <w:hideMark/>
          </w:tcPr>
          <w:p w14:paraId="693C7019" w14:textId="77777777" w:rsidR="002F6C3E" w:rsidRPr="002F6C3E" w:rsidRDefault="002F6C3E" w:rsidP="002F6C3E">
            <w:pPr>
              <w:jc w:val="center"/>
              <w:rPr>
                <w:rFonts w:eastAsia="Calibri"/>
                <w:b/>
              </w:rPr>
            </w:pPr>
            <w:r w:rsidRPr="002F6C3E">
              <w:rPr>
                <w:rFonts w:eastAsia="Calibri"/>
                <w:b/>
              </w:rPr>
              <w:t>High performance / pathways</w:t>
            </w:r>
          </w:p>
        </w:tc>
        <w:tc>
          <w:tcPr>
            <w:tcW w:w="7513" w:type="dxa"/>
            <w:shd w:val="clear" w:color="auto" w:fill="E7E6E6"/>
            <w:noWrap/>
            <w:vAlign w:val="center"/>
            <w:hideMark/>
          </w:tcPr>
          <w:p w14:paraId="4EA57055" w14:textId="22227631" w:rsidR="002F6C3E" w:rsidRPr="002F6C3E" w:rsidRDefault="00405854" w:rsidP="002F6C3E">
            <w:pPr>
              <w:jc w:val="left"/>
              <w:rPr>
                <w:rFonts w:eastAsia="Calibri"/>
                <w:i/>
                <w:iCs/>
              </w:rPr>
            </w:pPr>
            <w:r>
              <w:rPr>
                <w:rFonts w:eastAsia="Calibri"/>
                <w:i/>
                <w:iCs/>
              </w:rPr>
              <w:t>Limited</w:t>
            </w:r>
            <w:r w:rsidR="002F6C3E" w:rsidRPr="002F6C3E">
              <w:rPr>
                <w:rFonts w:eastAsia="Calibri"/>
                <w:i/>
                <w:iCs/>
              </w:rPr>
              <w:t xml:space="preserve"> talent development pathways:</w:t>
            </w:r>
          </w:p>
        </w:tc>
      </w:tr>
      <w:tr w:rsidR="002F6C3E" w:rsidRPr="002F6C3E" w14:paraId="27964F77" w14:textId="77777777" w:rsidTr="002F6C3E">
        <w:trPr>
          <w:trHeight w:val="300"/>
        </w:trPr>
        <w:tc>
          <w:tcPr>
            <w:tcW w:w="1980" w:type="dxa"/>
            <w:vMerge/>
            <w:shd w:val="clear" w:color="auto" w:fill="FFD966"/>
            <w:noWrap/>
            <w:vAlign w:val="center"/>
            <w:hideMark/>
          </w:tcPr>
          <w:p w14:paraId="35329CA9" w14:textId="77777777" w:rsidR="002F6C3E" w:rsidRPr="002F6C3E" w:rsidRDefault="002F6C3E" w:rsidP="002F6C3E">
            <w:pPr>
              <w:jc w:val="center"/>
              <w:rPr>
                <w:rFonts w:eastAsia="Calibri"/>
                <w:b/>
              </w:rPr>
            </w:pPr>
          </w:p>
        </w:tc>
        <w:tc>
          <w:tcPr>
            <w:tcW w:w="7513" w:type="dxa"/>
            <w:noWrap/>
            <w:vAlign w:val="center"/>
            <w:hideMark/>
          </w:tcPr>
          <w:p w14:paraId="71B0D2DD" w14:textId="77777777" w:rsidR="002F6C3E" w:rsidRPr="002F6C3E" w:rsidRDefault="002F6C3E" w:rsidP="002F6C3E">
            <w:pPr>
              <w:jc w:val="left"/>
              <w:rPr>
                <w:rFonts w:eastAsia="Calibri"/>
              </w:rPr>
            </w:pPr>
            <w:r w:rsidRPr="002F6C3E">
              <w:rPr>
                <w:rFonts w:eastAsia="Calibri"/>
              </w:rPr>
              <w:t>Junior and/or Senior base</w:t>
            </w:r>
          </w:p>
        </w:tc>
      </w:tr>
      <w:tr w:rsidR="002F6C3E" w:rsidRPr="002F6C3E" w14:paraId="397BB435" w14:textId="77777777" w:rsidTr="002F6C3E">
        <w:trPr>
          <w:trHeight w:val="300"/>
        </w:trPr>
        <w:tc>
          <w:tcPr>
            <w:tcW w:w="1980" w:type="dxa"/>
            <w:vMerge/>
            <w:shd w:val="clear" w:color="auto" w:fill="FFD966"/>
            <w:noWrap/>
            <w:vAlign w:val="center"/>
            <w:hideMark/>
          </w:tcPr>
          <w:p w14:paraId="4C73405A" w14:textId="77777777" w:rsidR="002F6C3E" w:rsidRPr="002F6C3E" w:rsidRDefault="002F6C3E" w:rsidP="002F6C3E">
            <w:pPr>
              <w:jc w:val="center"/>
              <w:rPr>
                <w:rFonts w:eastAsia="Calibri"/>
                <w:b/>
              </w:rPr>
            </w:pPr>
          </w:p>
        </w:tc>
        <w:tc>
          <w:tcPr>
            <w:tcW w:w="7513" w:type="dxa"/>
            <w:noWrap/>
            <w:vAlign w:val="center"/>
            <w:hideMark/>
          </w:tcPr>
          <w:p w14:paraId="7C789867" w14:textId="77777777" w:rsidR="002F6C3E" w:rsidRPr="002F6C3E" w:rsidRDefault="002F6C3E" w:rsidP="002F6C3E">
            <w:pPr>
              <w:jc w:val="left"/>
              <w:rPr>
                <w:rFonts w:eastAsia="Calibri"/>
              </w:rPr>
            </w:pPr>
            <w:r w:rsidRPr="002F6C3E">
              <w:rPr>
                <w:rFonts w:eastAsia="Times New Roman"/>
                <w:color w:val="000000"/>
                <w:lang w:eastAsia="en-AU"/>
              </w:rPr>
              <w:t>National Championships participation – open OR junior</w:t>
            </w:r>
          </w:p>
        </w:tc>
      </w:tr>
      <w:tr w:rsidR="002F6C3E" w:rsidRPr="002F6C3E" w14:paraId="44F3C5A9" w14:textId="77777777" w:rsidTr="002F6C3E">
        <w:trPr>
          <w:trHeight w:val="300"/>
        </w:trPr>
        <w:tc>
          <w:tcPr>
            <w:tcW w:w="1980" w:type="dxa"/>
            <w:vMerge/>
            <w:shd w:val="clear" w:color="auto" w:fill="FFD966"/>
            <w:noWrap/>
            <w:vAlign w:val="center"/>
            <w:hideMark/>
          </w:tcPr>
          <w:p w14:paraId="59BD3AC8" w14:textId="77777777" w:rsidR="002F6C3E" w:rsidRPr="002F6C3E" w:rsidRDefault="002F6C3E" w:rsidP="002F6C3E">
            <w:pPr>
              <w:jc w:val="center"/>
              <w:rPr>
                <w:rFonts w:eastAsia="Calibri"/>
                <w:b/>
              </w:rPr>
            </w:pPr>
          </w:p>
        </w:tc>
        <w:tc>
          <w:tcPr>
            <w:tcW w:w="7513" w:type="dxa"/>
            <w:noWrap/>
            <w:vAlign w:val="center"/>
            <w:hideMark/>
          </w:tcPr>
          <w:p w14:paraId="4B84E937" w14:textId="77777777" w:rsidR="002F6C3E" w:rsidRPr="002F6C3E" w:rsidRDefault="002F6C3E" w:rsidP="002F6C3E">
            <w:pPr>
              <w:jc w:val="left"/>
              <w:rPr>
                <w:rFonts w:eastAsia="Calibri"/>
              </w:rPr>
            </w:pPr>
            <w:r w:rsidRPr="002F6C3E">
              <w:rPr>
                <w:rFonts w:eastAsia="Calibri"/>
              </w:rPr>
              <w:t>Coach/Official</w:t>
            </w:r>
          </w:p>
        </w:tc>
      </w:tr>
      <w:tr w:rsidR="002F6C3E" w:rsidRPr="002F6C3E" w14:paraId="18B6F3A2" w14:textId="77777777" w:rsidTr="002F6C3E">
        <w:trPr>
          <w:trHeight w:val="300"/>
        </w:trPr>
        <w:tc>
          <w:tcPr>
            <w:tcW w:w="1980" w:type="dxa"/>
            <w:shd w:val="clear" w:color="auto" w:fill="FFD966"/>
            <w:noWrap/>
            <w:vAlign w:val="center"/>
          </w:tcPr>
          <w:p w14:paraId="56F2C6B3" w14:textId="77777777" w:rsidR="002F6C3E" w:rsidRPr="002F6C3E" w:rsidRDefault="002F6C3E" w:rsidP="002F6C3E">
            <w:pPr>
              <w:jc w:val="center"/>
              <w:rPr>
                <w:rFonts w:eastAsia="Calibri"/>
                <w:b/>
              </w:rPr>
            </w:pPr>
            <w:r w:rsidRPr="002F6C3E">
              <w:rPr>
                <w:rFonts w:eastAsia="Calibri"/>
                <w:b/>
              </w:rPr>
              <w:t>Regional Delivery</w:t>
            </w:r>
          </w:p>
        </w:tc>
        <w:tc>
          <w:tcPr>
            <w:tcW w:w="7513" w:type="dxa"/>
            <w:shd w:val="clear" w:color="auto" w:fill="FFFFFF"/>
            <w:noWrap/>
            <w:vAlign w:val="center"/>
          </w:tcPr>
          <w:p w14:paraId="3ABDA6DB" w14:textId="1BA90564" w:rsidR="002F6C3E" w:rsidRPr="002F6C3E" w:rsidRDefault="007B3DDB" w:rsidP="002F6C3E">
            <w:pPr>
              <w:jc w:val="left"/>
              <w:rPr>
                <w:rFonts w:eastAsia="Calibri"/>
                <w:i/>
                <w:iCs/>
              </w:rPr>
            </w:pPr>
            <w:r w:rsidRPr="007B3DDB">
              <w:rPr>
                <w:rFonts w:eastAsia="Calibri"/>
              </w:rPr>
              <w:t>Affiliated regional representation in 2 regions</w:t>
            </w:r>
          </w:p>
        </w:tc>
      </w:tr>
      <w:tr w:rsidR="002F6C3E" w:rsidRPr="002F6C3E" w14:paraId="1DB5AAFB" w14:textId="77777777" w:rsidTr="002F6C3E">
        <w:trPr>
          <w:trHeight w:val="300"/>
        </w:trPr>
        <w:tc>
          <w:tcPr>
            <w:tcW w:w="1980" w:type="dxa"/>
            <w:vMerge w:val="restart"/>
            <w:shd w:val="clear" w:color="auto" w:fill="FFD966"/>
            <w:noWrap/>
            <w:vAlign w:val="center"/>
            <w:hideMark/>
          </w:tcPr>
          <w:p w14:paraId="3DAD39AF" w14:textId="77777777" w:rsidR="002F6C3E" w:rsidRPr="002F6C3E" w:rsidRDefault="002F6C3E" w:rsidP="002F6C3E">
            <w:pPr>
              <w:jc w:val="center"/>
              <w:rPr>
                <w:rFonts w:eastAsia="Calibri"/>
                <w:b/>
              </w:rPr>
            </w:pPr>
            <w:r w:rsidRPr="002F6C3E">
              <w:rPr>
                <w:rFonts w:eastAsia="Calibri"/>
                <w:b/>
              </w:rPr>
              <w:t>Community Reach / Programming</w:t>
            </w:r>
          </w:p>
        </w:tc>
        <w:tc>
          <w:tcPr>
            <w:tcW w:w="7513" w:type="dxa"/>
            <w:shd w:val="clear" w:color="auto" w:fill="E7E6E6"/>
            <w:noWrap/>
            <w:vAlign w:val="center"/>
            <w:hideMark/>
          </w:tcPr>
          <w:p w14:paraId="398AD261" w14:textId="08E7302C" w:rsidR="002F6C3E" w:rsidRPr="002F6C3E" w:rsidRDefault="00405854" w:rsidP="002F6C3E">
            <w:pPr>
              <w:jc w:val="left"/>
              <w:rPr>
                <w:rFonts w:eastAsia="Calibri"/>
                <w:i/>
                <w:iCs/>
              </w:rPr>
            </w:pPr>
            <w:proofErr w:type="gramStart"/>
            <w:r>
              <w:rPr>
                <w:rFonts w:eastAsia="Calibri"/>
                <w:i/>
                <w:iCs/>
              </w:rPr>
              <w:t xml:space="preserve">Limited </w:t>
            </w:r>
            <w:r w:rsidR="002F6C3E" w:rsidRPr="002F6C3E">
              <w:rPr>
                <w:rFonts w:eastAsia="Calibri"/>
                <w:i/>
                <w:iCs/>
              </w:rPr>
              <w:t xml:space="preserve"> reach</w:t>
            </w:r>
            <w:proofErr w:type="gramEnd"/>
            <w:r w:rsidR="002F6C3E" w:rsidRPr="002F6C3E">
              <w:rPr>
                <w:rFonts w:eastAsia="Calibri"/>
                <w:i/>
                <w:iCs/>
              </w:rPr>
              <w:t xml:space="preserve"> into the WA community:</w:t>
            </w:r>
          </w:p>
        </w:tc>
      </w:tr>
      <w:tr w:rsidR="002F6C3E" w:rsidRPr="002F6C3E" w14:paraId="15147751" w14:textId="77777777" w:rsidTr="002F6C3E">
        <w:trPr>
          <w:trHeight w:val="300"/>
        </w:trPr>
        <w:tc>
          <w:tcPr>
            <w:tcW w:w="1980" w:type="dxa"/>
            <w:vMerge/>
            <w:shd w:val="clear" w:color="auto" w:fill="FFD966"/>
            <w:noWrap/>
            <w:vAlign w:val="center"/>
            <w:hideMark/>
          </w:tcPr>
          <w:p w14:paraId="5D6D2D8F" w14:textId="77777777" w:rsidR="002F6C3E" w:rsidRPr="002F6C3E" w:rsidRDefault="002F6C3E" w:rsidP="002F6C3E">
            <w:pPr>
              <w:jc w:val="center"/>
              <w:rPr>
                <w:rFonts w:eastAsia="Calibri"/>
                <w:b/>
              </w:rPr>
            </w:pPr>
          </w:p>
        </w:tc>
        <w:tc>
          <w:tcPr>
            <w:tcW w:w="7513" w:type="dxa"/>
            <w:noWrap/>
            <w:vAlign w:val="center"/>
            <w:hideMark/>
          </w:tcPr>
          <w:p w14:paraId="4079A0A4" w14:textId="77777777" w:rsidR="002F6C3E" w:rsidRPr="002F6C3E" w:rsidRDefault="002F6C3E" w:rsidP="002F6C3E">
            <w:pPr>
              <w:jc w:val="left"/>
              <w:rPr>
                <w:rFonts w:eastAsia="Calibri"/>
              </w:rPr>
            </w:pPr>
            <w:r w:rsidRPr="002F6C3E">
              <w:rPr>
                <w:rFonts w:eastAsia="Calibri"/>
              </w:rPr>
              <w:t>Recreational/social focus and participation sport</w:t>
            </w:r>
          </w:p>
        </w:tc>
      </w:tr>
      <w:tr w:rsidR="002F6C3E" w:rsidRPr="002F6C3E" w14:paraId="14502AE0" w14:textId="77777777" w:rsidTr="002F6C3E">
        <w:trPr>
          <w:trHeight w:val="339"/>
        </w:trPr>
        <w:tc>
          <w:tcPr>
            <w:tcW w:w="1980" w:type="dxa"/>
            <w:vMerge/>
            <w:shd w:val="clear" w:color="auto" w:fill="FFD966"/>
            <w:noWrap/>
            <w:vAlign w:val="center"/>
            <w:hideMark/>
          </w:tcPr>
          <w:p w14:paraId="4D3219B2" w14:textId="77777777" w:rsidR="002F6C3E" w:rsidRPr="002F6C3E" w:rsidRDefault="002F6C3E" w:rsidP="002F6C3E">
            <w:pPr>
              <w:jc w:val="center"/>
              <w:rPr>
                <w:rFonts w:eastAsia="Calibri"/>
                <w:b/>
              </w:rPr>
            </w:pPr>
          </w:p>
        </w:tc>
        <w:tc>
          <w:tcPr>
            <w:tcW w:w="7513" w:type="dxa"/>
            <w:noWrap/>
            <w:vAlign w:val="center"/>
            <w:hideMark/>
          </w:tcPr>
          <w:p w14:paraId="16108F25" w14:textId="77777777" w:rsidR="002F6C3E" w:rsidRPr="002F6C3E" w:rsidRDefault="002F6C3E" w:rsidP="002F6C3E">
            <w:pPr>
              <w:jc w:val="left"/>
              <w:rPr>
                <w:rFonts w:eastAsia="Calibri"/>
              </w:rPr>
            </w:pPr>
            <w:r w:rsidRPr="002F6C3E">
              <w:rPr>
                <w:rFonts w:eastAsia="Calibri"/>
              </w:rPr>
              <w:t>Competition/events for participants</w:t>
            </w:r>
          </w:p>
        </w:tc>
      </w:tr>
      <w:tr w:rsidR="002F6C3E" w:rsidRPr="002F6C3E" w14:paraId="55695A21" w14:textId="77777777" w:rsidTr="002F6C3E">
        <w:trPr>
          <w:trHeight w:val="300"/>
        </w:trPr>
        <w:tc>
          <w:tcPr>
            <w:tcW w:w="1980" w:type="dxa"/>
            <w:shd w:val="clear" w:color="auto" w:fill="FFD966"/>
            <w:noWrap/>
            <w:vAlign w:val="center"/>
            <w:hideMark/>
          </w:tcPr>
          <w:p w14:paraId="6289A233" w14:textId="77777777" w:rsidR="002F6C3E" w:rsidRPr="002F6C3E" w:rsidRDefault="002F6C3E" w:rsidP="002F6C3E">
            <w:pPr>
              <w:jc w:val="center"/>
              <w:rPr>
                <w:rFonts w:eastAsia="Calibri"/>
                <w:b/>
              </w:rPr>
            </w:pPr>
            <w:r w:rsidRPr="002F6C3E">
              <w:rPr>
                <w:rFonts w:eastAsia="Calibri"/>
                <w:b/>
              </w:rPr>
              <w:t>Finance</w:t>
            </w:r>
          </w:p>
        </w:tc>
        <w:tc>
          <w:tcPr>
            <w:tcW w:w="7513" w:type="dxa"/>
            <w:noWrap/>
            <w:vAlign w:val="center"/>
            <w:hideMark/>
          </w:tcPr>
          <w:p w14:paraId="55205BAA" w14:textId="77777777" w:rsidR="002F6C3E" w:rsidRPr="002F6C3E" w:rsidRDefault="002F6C3E" w:rsidP="002F6C3E">
            <w:pPr>
              <w:jc w:val="left"/>
              <w:rPr>
                <w:rFonts w:eastAsia="Calibri"/>
              </w:rPr>
            </w:pPr>
            <w:r w:rsidRPr="002F6C3E">
              <w:rPr>
                <w:rFonts w:eastAsia="Calibri"/>
              </w:rPr>
              <w:t>Basic annual total revenue $50,000 - $150,000</w:t>
            </w:r>
          </w:p>
        </w:tc>
      </w:tr>
      <w:tr w:rsidR="002F6C3E" w:rsidRPr="002F6C3E" w14:paraId="51AF49AD" w14:textId="77777777" w:rsidTr="002F6C3E">
        <w:trPr>
          <w:trHeight w:val="300"/>
        </w:trPr>
        <w:tc>
          <w:tcPr>
            <w:tcW w:w="1980" w:type="dxa"/>
            <w:vMerge w:val="restart"/>
            <w:shd w:val="clear" w:color="auto" w:fill="FFD966"/>
            <w:noWrap/>
            <w:vAlign w:val="center"/>
            <w:hideMark/>
          </w:tcPr>
          <w:p w14:paraId="45B387DE" w14:textId="77777777" w:rsidR="002F6C3E" w:rsidRPr="002F6C3E" w:rsidRDefault="002F6C3E" w:rsidP="002F6C3E">
            <w:pPr>
              <w:jc w:val="center"/>
              <w:rPr>
                <w:rFonts w:eastAsia="Calibri"/>
                <w:b/>
              </w:rPr>
            </w:pPr>
            <w:r w:rsidRPr="002F6C3E">
              <w:rPr>
                <w:rFonts w:eastAsia="Calibri"/>
                <w:b/>
              </w:rPr>
              <w:t>Governance</w:t>
            </w:r>
          </w:p>
        </w:tc>
        <w:tc>
          <w:tcPr>
            <w:tcW w:w="7513" w:type="dxa"/>
            <w:shd w:val="clear" w:color="auto" w:fill="E7E6E6"/>
            <w:noWrap/>
            <w:vAlign w:val="center"/>
            <w:hideMark/>
          </w:tcPr>
          <w:p w14:paraId="13702E5C" w14:textId="77777777" w:rsidR="002F6C3E" w:rsidRPr="002F6C3E" w:rsidRDefault="002F6C3E" w:rsidP="002F6C3E">
            <w:pPr>
              <w:jc w:val="left"/>
              <w:rPr>
                <w:rFonts w:eastAsia="Calibri"/>
                <w:i/>
                <w:iCs/>
              </w:rPr>
            </w:pPr>
            <w:r w:rsidRPr="002F6C3E">
              <w:rPr>
                <w:rFonts w:eastAsia="Calibri"/>
                <w:i/>
                <w:iCs/>
              </w:rPr>
              <w:t xml:space="preserve">Basic governance structures: </w:t>
            </w:r>
          </w:p>
        </w:tc>
      </w:tr>
      <w:tr w:rsidR="002F6C3E" w:rsidRPr="002F6C3E" w14:paraId="748E27BB" w14:textId="77777777" w:rsidTr="002F6C3E">
        <w:trPr>
          <w:trHeight w:val="300"/>
        </w:trPr>
        <w:tc>
          <w:tcPr>
            <w:tcW w:w="1980" w:type="dxa"/>
            <w:vMerge/>
            <w:shd w:val="clear" w:color="auto" w:fill="FFD966"/>
            <w:noWrap/>
            <w:vAlign w:val="center"/>
            <w:hideMark/>
          </w:tcPr>
          <w:p w14:paraId="4CAA4BE9" w14:textId="77777777" w:rsidR="002F6C3E" w:rsidRPr="002F6C3E" w:rsidRDefault="002F6C3E" w:rsidP="002F6C3E">
            <w:pPr>
              <w:jc w:val="center"/>
              <w:rPr>
                <w:rFonts w:eastAsia="Calibri"/>
                <w:b/>
              </w:rPr>
            </w:pPr>
          </w:p>
        </w:tc>
        <w:tc>
          <w:tcPr>
            <w:tcW w:w="7513" w:type="dxa"/>
            <w:noWrap/>
            <w:vAlign w:val="center"/>
            <w:hideMark/>
          </w:tcPr>
          <w:p w14:paraId="3C2F1039" w14:textId="77777777" w:rsidR="002F6C3E" w:rsidRPr="002F6C3E" w:rsidRDefault="002F6C3E" w:rsidP="002F6C3E">
            <w:pPr>
              <w:jc w:val="left"/>
              <w:rPr>
                <w:rFonts w:eastAsia="Calibri"/>
              </w:rPr>
            </w:pPr>
            <w:r w:rsidRPr="002F6C3E">
              <w:rPr>
                <w:rFonts w:eastAsia="Calibri"/>
              </w:rPr>
              <w:t xml:space="preserve">&gt;95 rating against governance checklist </w:t>
            </w:r>
          </w:p>
        </w:tc>
      </w:tr>
      <w:tr w:rsidR="002F6C3E" w:rsidRPr="002F6C3E" w14:paraId="616EEF88" w14:textId="77777777" w:rsidTr="002F6C3E">
        <w:trPr>
          <w:trHeight w:val="300"/>
        </w:trPr>
        <w:tc>
          <w:tcPr>
            <w:tcW w:w="1980" w:type="dxa"/>
            <w:vMerge/>
            <w:shd w:val="clear" w:color="auto" w:fill="FFD966"/>
            <w:noWrap/>
            <w:vAlign w:val="center"/>
          </w:tcPr>
          <w:p w14:paraId="0C9726A6" w14:textId="77777777" w:rsidR="002F6C3E" w:rsidRPr="002F6C3E" w:rsidRDefault="002F6C3E" w:rsidP="002F6C3E">
            <w:pPr>
              <w:jc w:val="center"/>
              <w:rPr>
                <w:rFonts w:eastAsia="Calibri"/>
                <w:b/>
              </w:rPr>
            </w:pPr>
          </w:p>
        </w:tc>
        <w:tc>
          <w:tcPr>
            <w:tcW w:w="7513" w:type="dxa"/>
            <w:shd w:val="clear" w:color="auto" w:fill="E7E6E6"/>
            <w:noWrap/>
            <w:vAlign w:val="center"/>
          </w:tcPr>
          <w:p w14:paraId="1DB26F92" w14:textId="77777777" w:rsidR="002F6C3E" w:rsidRPr="002F6C3E" w:rsidRDefault="002F6C3E" w:rsidP="002F6C3E">
            <w:pPr>
              <w:jc w:val="left"/>
              <w:rPr>
                <w:rFonts w:eastAsia="Calibri"/>
              </w:rPr>
            </w:pPr>
            <w:r w:rsidRPr="002F6C3E">
              <w:rPr>
                <w:rFonts w:eastAsia="Calibri"/>
                <w:i/>
                <w:iCs/>
              </w:rPr>
              <w:t>Policy:</w:t>
            </w:r>
          </w:p>
        </w:tc>
      </w:tr>
      <w:tr w:rsidR="002F6C3E" w:rsidRPr="002F6C3E" w14:paraId="44E866E0" w14:textId="77777777" w:rsidTr="002F6C3E">
        <w:trPr>
          <w:trHeight w:val="300"/>
        </w:trPr>
        <w:tc>
          <w:tcPr>
            <w:tcW w:w="1980" w:type="dxa"/>
            <w:vMerge/>
            <w:shd w:val="clear" w:color="auto" w:fill="FFD966"/>
            <w:noWrap/>
            <w:vAlign w:val="center"/>
          </w:tcPr>
          <w:p w14:paraId="77E816C9" w14:textId="77777777" w:rsidR="002F6C3E" w:rsidRPr="002F6C3E" w:rsidRDefault="002F6C3E" w:rsidP="002F6C3E">
            <w:pPr>
              <w:jc w:val="center"/>
              <w:rPr>
                <w:rFonts w:eastAsia="Calibri"/>
                <w:b/>
              </w:rPr>
            </w:pPr>
          </w:p>
        </w:tc>
        <w:tc>
          <w:tcPr>
            <w:tcW w:w="7513" w:type="dxa"/>
            <w:noWrap/>
            <w:vAlign w:val="center"/>
          </w:tcPr>
          <w:p w14:paraId="1DBF09D1" w14:textId="77777777" w:rsidR="002F6C3E" w:rsidRPr="002F6C3E" w:rsidRDefault="002F6C3E" w:rsidP="002F6C3E">
            <w:pPr>
              <w:jc w:val="left"/>
              <w:rPr>
                <w:rFonts w:eastAsia="Calibri"/>
              </w:rPr>
            </w:pPr>
            <w:r w:rsidRPr="002F6C3E">
              <w:rPr>
                <w:rFonts w:eastAsia="Calibri"/>
                <w:iCs/>
              </w:rPr>
              <w:t xml:space="preserve">Member Protection Policy, Alcohol, Drugs in sport developed and implemented– (others as applicable </w:t>
            </w:r>
            <w:proofErr w:type="gramStart"/>
            <w:r w:rsidRPr="002F6C3E">
              <w:rPr>
                <w:rFonts w:eastAsia="Calibri"/>
                <w:iCs/>
              </w:rPr>
              <w:t>-  Sports</w:t>
            </w:r>
            <w:proofErr w:type="gramEnd"/>
            <w:r w:rsidRPr="002F6C3E">
              <w:rPr>
                <w:rFonts w:eastAsia="Calibri"/>
                <w:iCs/>
              </w:rPr>
              <w:t xml:space="preserve"> Betting, Match Fixing, Privacy, Inclusion)</w:t>
            </w:r>
          </w:p>
        </w:tc>
      </w:tr>
      <w:tr w:rsidR="002F6C3E" w:rsidRPr="002F6C3E" w14:paraId="350334AA" w14:textId="77777777" w:rsidTr="002F6C3E">
        <w:trPr>
          <w:trHeight w:val="300"/>
        </w:trPr>
        <w:tc>
          <w:tcPr>
            <w:tcW w:w="1980" w:type="dxa"/>
            <w:vMerge/>
            <w:shd w:val="clear" w:color="auto" w:fill="FFD966"/>
            <w:noWrap/>
            <w:vAlign w:val="center"/>
          </w:tcPr>
          <w:p w14:paraId="22BF71F3" w14:textId="77777777" w:rsidR="002F6C3E" w:rsidRPr="002F6C3E" w:rsidRDefault="002F6C3E" w:rsidP="002F6C3E">
            <w:pPr>
              <w:jc w:val="center"/>
              <w:rPr>
                <w:rFonts w:eastAsia="Calibri"/>
                <w:b/>
              </w:rPr>
            </w:pPr>
          </w:p>
        </w:tc>
        <w:tc>
          <w:tcPr>
            <w:tcW w:w="7513" w:type="dxa"/>
            <w:shd w:val="clear" w:color="auto" w:fill="E7E6E6"/>
            <w:noWrap/>
            <w:vAlign w:val="center"/>
          </w:tcPr>
          <w:p w14:paraId="25833133" w14:textId="77777777" w:rsidR="002F6C3E" w:rsidRPr="002F6C3E" w:rsidRDefault="002F6C3E" w:rsidP="002F6C3E">
            <w:pPr>
              <w:jc w:val="left"/>
              <w:rPr>
                <w:rFonts w:eastAsia="Calibri"/>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3 year</w:t>
            </w:r>
          </w:p>
        </w:tc>
      </w:tr>
      <w:tr w:rsidR="002F6C3E" w:rsidRPr="002F6C3E" w14:paraId="11463700" w14:textId="77777777" w:rsidTr="002F6C3E">
        <w:trPr>
          <w:trHeight w:val="300"/>
        </w:trPr>
        <w:tc>
          <w:tcPr>
            <w:tcW w:w="1980" w:type="dxa"/>
            <w:vMerge/>
            <w:shd w:val="clear" w:color="auto" w:fill="FFD966"/>
            <w:noWrap/>
            <w:vAlign w:val="center"/>
          </w:tcPr>
          <w:p w14:paraId="57082E01" w14:textId="77777777" w:rsidR="002F6C3E" w:rsidRPr="002F6C3E" w:rsidRDefault="002F6C3E" w:rsidP="002F6C3E">
            <w:pPr>
              <w:jc w:val="center"/>
              <w:rPr>
                <w:rFonts w:eastAsia="Calibri"/>
                <w:b/>
              </w:rPr>
            </w:pPr>
          </w:p>
        </w:tc>
        <w:tc>
          <w:tcPr>
            <w:tcW w:w="7513" w:type="dxa"/>
            <w:noWrap/>
            <w:vAlign w:val="center"/>
          </w:tcPr>
          <w:p w14:paraId="6FD9CACE" w14:textId="77777777" w:rsidR="002F6C3E" w:rsidRPr="002F6C3E" w:rsidRDefault="002F6C3E" w:rsidP="002F6C3E">
            <w:pPr>
              <w:jc w:val="left"/>
              <w:rPr>
                <w:rFonts w:eastAsia="Calibri"/>
              </w:rPr>
            </w:pPr>
            <w:r w:rsidRPr="002F6C3E">
              <w:rPr>
                <w:rFonts w:eastAsia="Calibri"/>
              </w:rPr>
              <w:t>Meets board gender target &gt;= 50% female</w:t>
            </w:r>
          </w:p>
        </w:tc>
      </w:tr>
      <w:tr w:rsidR="002F6C3E" w:rsidRPr="002F6C3E" w14:paraId="56EEBF84" w14:textId="77777777" w:rsidTr="002F6C3E">
        <w:trPr>
          <w:trHeight w:val="300"/>
        </w:trPr>
        <w:tc>
          <w:tcPr>
            <w:tcW w:w="1980" w:type="dxa"/>
            <w:vMerge/>
            <w:shd w:val="clear" w:color="auto" w:fill="FFD966"/>
            <w:noWrap/>
            <w:vAlign w:val="center"/>
          </w:tcPr>
          <w:p w14:paraId="4DB8BFB5" w14:textId="77777777" w:rsidR="002F6C3E" w:rsidRPr="002F6C3E" w:rsidRDefault="002F6C3E" w:rsidP="002F6C3E">
            <w:pPr>
              <w:jc w:val="center"/>
              <w:rPr>
                <w:rFonts w:eastAsia="Calibri"/>
                <w:b/>
              </w:rPr>
            </w:pPr>
          </w:p>
        </w:tc>
        <w:tc>
          <w:tcPr>
            <w:tcW w:w="7513" w:type="dxa"/>
            <w:noWrap/>
            <w:vAlign w:val="center"/>
          </w:tcPr>
          <w:p w14:paraId="439F723F" w14:textId="77777777" w:rsidR="002F6C3E" w:rsidRPr="002F6C3E" w:rsidRDefault="002F6C3E" w:rsidP="002F6C3E">
            <w:pPr>
              <w:jc w:val="left"/>
              <w:rPr>
                <w:rFonts w:eastAsia="Calibri"/>
              </w:rPr>
            </w:pPr>
            <w:r w:rsidRPr="002F6C3E">
              <w:rPr>
                <w:rFonts w:eastAsia="Calibri"/>
              </w:rPr>
              <w:t>Below board gender target &lt; 50% female</w:t>
            </w:r>
          </w:p>
        </w:tc>
      </w:tr>
      <w:tr w:rsidR="002F6C3E" w:rsidRPr="002F6C3E" w14:paraId="0E43306F" w14:textId="77777777" w:rsidTr="002F6C3E">
        <w:trPr>
          <w:trHeight w:val="300"/>
        </w:trPr>
        <w:tc>
          <w:tcPr>
            <w:tcW w:w="1980" w:type="dxa"/>
            <w:vMerge/>
            <w:shd w:val="clear" w:color="auto" w:fill="FFD966"/>
            <w:noWrap/>
            <w:vAlign w:val="center"/>
          </w:tcPr>
          <w:p w14:paraId="2036029F" w14:textId="77777777" w:rsidR="002F6C3E" w:rsidRPr="002F6C3E" w:rsidRDefault="002F6C3E" w:rsidP="002F6C3E">
            <w:pPr>
              <w:jc w:val="center"/>
              <w:rPr>
                <w:rFonts w:eastAsia="Calibri"/>
                <w:b/>
              </w:rPr>
            </w:pPr>
          </w:p>
        </w:tc>
        <w:tc>
          <w:tcPr>
            <w:tcW w:w="7513" w:type="dxa"/>
            <w:noWrap/>
            <w:vAlign w:val="center"/>
          </w:tcPr>
          <w:p w14:paraId="530F552B" w14:textId="77777777" w:rsidR="002F6C3E" w:rsidRPr="002F6C3E" w:rsidRDefault="002F6C3E" w:rsidP="002F6C3E">
            <w:pPr>
              <w:jc w:val="left"/>
              <w:rPr>
                <w:rFonts w:eastAsia="Calibri"/>
              </w:rPr>
            </w:pPr>
            <w:r w:rsidRPr="002F6C3E">
              <w:rPr>
                <w:rFonts w:eastAsia="Calibri"/>
              </w:rPr>
              <w:t xml:space="preserve">No gender diversity on board </w:t>
            </w:r>
          </w:p>
        </w:tc>
      </w:tr>
      <w:tr w:rsidR="002F6C3E" w:rsidRPr="002F6C3E" w14:paraId="7447E4A6" w14:textId="77777777" w:rsidTr="002F6C3E">
        <w:trPr>
          <w:trHeight w:val="300"/>
        </w:trPr>
        <w:tc>
          <w:tcPr>
            <w:tcW w:w="1980" w:type="dxa"/>
            <w:vMerge w:val="restart"/>
            <w:shd w:val="clear" w:color="auto" w:fill="FFD966"/>
            <w:noWrap/>
            <w:vAlign w:val="center"/>
            <w:hideMark/>
          </w:tcPr>
          <w:p w14:paraId="42A5D5AF" w14:textId="77777777" w:rsidR="002F6C3E" w:rsidRPr="002F6C3E" w:rsidRDefault="002F6C3E" w:rsidP="002F6C3E">
            <w:pPr>
              <w:jc w:val="center"/>
              <w:rPr>
                <w:rFonts w:eastAsia="Calibri"/>
                <w:b/>
              </w:rPr>
            </w:pPr>
            <w:r w:rsidRPr="002F6C3E">
              <w:rPr>
                <w:rFonts w:eastAsia="Calibri"/>
                <w:b/>
              </w:rPr>
              <w:t>Planning</w:t>
            </w:r>
          </w:p>
        </w:tc>
        <w:tc>
          <w:tcPr>
            <w:tcW w:w="7513" w:type="dxa"/>
            <w:shd w:val="clear" w:color="auto" w:fill="E7E6E6"/>
            <w:noWrap/>
            <w:vAlign w:val="center"/>
            <w:hideMark/>
          </w:tcPr>
          <w:p w14:paraId="6F037FBA" w14:textId="77777777" w:rsidR="002F6C3E" w:rsidRPr="002F6C3E" w:rsidRDefault="002F6C3E" w:rsidP="002F6C3E">
            <w:pPr>
              <w:jc w:val="left"/>
              <w:rPr>
                <w:rFonts w:eastAsia="Calibri"/>
                <w:i/>
                <w:iCs/>
              </w:rPr>
            </w:pPr>
            <w:r w:rsidRPr="002F6C3E">
              <w:rPr>
                <w:rFonts w:eastAsia="Calibri"/>
                <w:i/>
                <w:iCs/>
              </w:rPr>
              <w:t>Basic planning culture:</w:t>
            </w:r>
          </w:p>
        </w:tc>
      </w:tr>
      <w:tr w:rsidR="002F6C3E" w:rsidRPr="002F6C3E" w14:paraId="2F6551B8" w14:textId="77777777" w:rsidTr="002F6C3E">
        <w:trPr>
          <w:trHeight w:val="300"/>
        </w:trPr>
        <w:tc>
          <w:tcPr>
            <w:tcW w:w="1980" w:type="dxa"/>
            <w:vMerge/>
            <w:shd w:val="clear" w:color="auto" w:fill="FFD966"/>
            <w:noWrap/>
            <w:hideMark/>
          </w:tcPr>
          <w:p w14:paraId="051BABAB" w14:textId="77777777" w:rsidR="002F6C3E" w:rsidRPr="002F6C3E" w:rsidRDefault="002F6C3E" w:rsidP="002F6C3E">
            <w:pPr>
              <w:jc w:val="left"/>
              <w:rPr>
                <w:rFonts w:eastAsia="Calibri"/>
              </w:rPr>
            </w:pPr>
          </w:p>
        </w:tc>
        <w:tc>
          <w:tcPr>
            <w:tcW w:w="7513" w:type="dxa"/>
            <w:noWrap/>
            <w:vAlign w:val="center"/>
            <w:hideMark/>
          </w:tcPr>
          <w:p w14:paraId="1195803D" w14:textId="77777777" w:rsidR="002F6C3E" w:rsidRPr="002F6C3E" w:rsidRDefault="002F6C3E" w:rsidP="002F6C3E">
            <w:pPr>
              <w:jc w:val="left"/>
              <w:rPr>
                <w:rFonts w:eastAsia="Calibri"/>
              </w:rPr>
            </w:pPr>
            <w:r w:rsidRPr="002F6C3E">
              <w:rPr>
                <w:rFonts w:eastAsia="Calibri"/>
              </w:rPr>
              <w:t>Working towards a 3yr plan aimed at growing the sport</w:t>
            </w:r>
          </w:p>
        </w:tc>
      </w:tr>
      <w:tr w:rsidR="002F6C3E" w:rsidRPr="002F6C3E" w14:paraId="4A6B89C4" w14:textId="77777777" w:rsidTr="002F6C3E">
        <w:trPr>
          <w:trHeight w:val="300"/>
        </w:trPr>
        <w:tc>
          <w:tcPr>
            <w:tcW w:w="1980" w:type="dxa"/>
            <w:vMerge/>
            <w:shd w:val="clear" w:color="auto" w:fill="FFD966"/>
            <w:noWrap/>
            <w:hideMark/>
          </w:tcPr>
          <w:p w14:paraId="5CFCC41A" w14:textId="77777777" w:rsidR="002F6C3E" w:rsidRPr="002F6C3E" w:rsidRDefault="002F6C3E" w:rsidP="002F6C3E">
            <w:pPr>
              <w:jc w:val="left"/>
              <w:rPr>
                <w:rFonts w:eastAsia="Calibri"/>
              </w:rPr>
            </w:pPr>
          </w:p>
        </w:tc>
        <w:tc>
          <w:tcPr>
            <w:tcW w:w="7513" w:type="dxa"/>
            <w:noWrap/>
            <w:vAlign w:val="center"/>
            <w:hideMark/>
          </w:tcPr>
          <w:p w14:paraId="67FC057D" w14:textId="77777777" w:rsidR="002F6C3E" w:rsidRPr="002F6C3E" w:rsidRDefault="002F6C3E" w:rsidP="002F6C3E">
            <w:pPr>
              <w:jc w:val="left"/>
              <w:rPr>
                <w:rFonts w:eastAsia="Calibri"/>
              </w:rPr>
            </w:pPr>
            <w:r w:rsidRPr="002F6C3E">
              <w:rPr>
                <w:rFonts w:eastAsia="Calibri"/>
              </w:rPr>
              <w:t>Annual operational plan</w:t>
            </w:r>
          </w:p>
        </w:tc>
      </w:tr>
      <w:tr w:rsidR="002F6C3E" w:rsidRPr="002F6C3E" w14:paraId="1434BAF7" w14:textId="77777777" w:rsidTr="002F6C3E">
        <w:trPr>
          <w:trHeight w:val="300"/>
        </w:trPr>
        <w:tc>
          <w:tcPr>
            <w:tcW w:w="1980" w:type="dxa"/>
            <w:vMerge/>
            <w:shd w:val="clear" w:color="auto" w:fill="FFD966"/>
            <w:noWrap/>
            <w:hideMark/>
          </w:tcPr>
          <w:p w14:paraId="1A90F9A0" w14:textId="77777777" w:rsidR="002F6C3E" w:rsidRPr="002F6C3E" w:rsidRDefault="002F6C3E" w:rsidP="002F6C3E">
            <w:pPr>
              <w:jc w:val="left"/>
              <w:rPr>
                <w:rFonts w:eastAsia="Calibri"/>
              </w:rPr>
            </w:pPr>
          </w:p>
        </w:tc>
        <w:tc>
          <w:tcPr>
            <w:tcW w:w="7513" w:type="dxa"/>
            <w:noWrap/>
            <w:vAlign w:val="center"/>
            <w:hideMark/>
          </w:tcPr>
          <w:p w14:paraId="46C5254C" w14:textId="77777777" w:rsidR="002F6C3E" w:rsidRPr="002F6C3E" w:rsidRDefault="002F6C3E" w:rsidP="002F6C3E">
            <w:pPr>
              <w:jc w:val="left"/>
              <w:rPr>
                <w:rFonts w:eastAsia="Calibri"/>
              </w:rPr>
            </w:pPr>
            <w:r w:rsidRPr="002F6C3E">
              <w:rPr>
                <w:rFonts w:eastAsia="Calibri"/>
              </w:rPr>
              <w:t>Annual calendar of events</w:t>
            </w:r>
          </w:p>
        </w:tc>
      </w:tr>
      <w:tr w:rsidR="002F6C3E" w:rsidRPr="002F6C3E" w14:paraId="370FCDB6" w14:textId="77777777" w:rsidTr="002F6C3E">
        <w:trPr>
          <w:trHeight w:val="300"/>
        </w:trPr>
        <w:tc>
          <w:tcPr>
            <w:tcW w:w="1980" w:type="dxa"/>
            <w:vMerge/>
            <w:shd w:val="clear" w:color="auto" w:fill="FFD966"/>
            <w:noWrap/>
          </w:tcPr>
          <w:p w14:paraId="45F54DDA" w14:textId="77777777" w:rsidR="002F6C3E" w:rsidRPr="002F6C3E" w:rsidRDefault="002F6C3E" w:rsidP="002F6C3E">
            <w:pPr>
              <w:jc w:val="left"/>
              <w:rPr>
                <w:rFonts w:eastAsia="Calibri"/>
              </w:rPr>
            </w:pPr>
          </w:p>
        </w:tc>
        <w:tc>
          <w:tcPr>
            <w:tcW w:w="7513" w:type="dxa"/>
            <w:noWrap/>
            <w:vAlign w:val="center"/>
          </w:tcPr>
          <w:p w14:paraId="6EB87FE8" w14:textId="77777777" w:rsidR="002F6C3E" w:rsidRPr="002F6C3E" w:rsidRDefault="002F6C3E" w:rsidP="002F6C3E">
            <w:pPr>
              <w:jc w:val="left"/>
              <w:rPr>
                <w:rFonts w:eastAsia="Calibri"/>
              </w:rPr>
            </w:pPr>
            <w:r w:rsidRPr="002F6C3E">
              <w:rPr>
                <w:rFonts w:eastAsia="Calibri"/>
              </w:rPr>
              <w:t>Event / Programs Risk Register</w:t>
            </w:r>
          </w:p>
        </w:tc>
      </w:tr>
      <w:tr w:rsidR="002F6C3E" w:rsidRPr="002F6C3E" w14:paraId="7144454F" w14:textId="77777777" w:rsidTr="002F6C3E">
        <w:trPr>
          <w:trHeight w:val="300"/>
        </w:trPr>
        <w:tc>
          <w:tcPr>
            <w:tcW w:w="1980" w:type="dxa"/>
            <w:vMerge/>
            <w:shd w:val="clear" w:color="auto" w:fill="FFD966"/>
            <w:noWrap/>
          </w:tcPr>
          <w:p w14:paraId="74537E47" w14:textId="77777777" w:rsidR="002F6C3E" w:rsidRPr="002F6C3E" w:rsidRDefault="002F6C3E" w:rsidP="002F6C3E">
            <w:pPr>
              <w:jc w:val="left"/>
              <w:rPr>
                <w:rFonts w:eastAsia="Calibri"/>
              </w:rPr>
            </w:pPr>
          </w:p>
        </w:tc>
        <w:tc>
          <w:tcPr>
            <w:tcW w:w="7513" w:type="dxa"/>
            <w:noWrap/>
            <w:vAlign w:val="center"/>
          </w:tcPr>
          <w:p w14:paraId="42206EB7" w14:textId="77777777" w:rsidR="002F6C3E" w:rsidRPr="002F6C3E" w:rsidRDefault="002F6C3E" w:rsidP="002F6C3E">
            <w:pPr>
              <w:jc w:val="left"/>
              <w:rPr>
                <w:rFonts w:eastAsia="Calibri"/>
              </w:rPr>
            </w:pPr>
            <w:r w:rsidRPr="002F6C3E">
              <w:rPr>
                <w:rFonts w:eastAsia="Calibri"/>
              </w:rPr>
              <w:t xml:space="preserve">Asset Register </w:t>
            </w:r>
          </w:p>
        </w:tc>
      </w:tr>
      <w:tr w:rsidR="002F6C3E" w:rsidRPr="002F6C3E" w14:paraId="7703D146" w14:textId="77777777" w:rsidTr="002F6C3E">
        <w:trPr>
          <w:trHeight w:val="300"/>
        </w:trPr>
        <w:tc>
          <w:tcPr>
            <w:tcW w:w="1980" w:type="dxa"/>
            <w:vMerge/>
            <w:shd w:val="clear" w:color="auto" w:fill="FFD966"/>
            <w:noWrap/>
            <w:hideMark/>
          </w:tcPr>
          <w:p w14:paraId="6323D7F1" w14:textId="77777777" w:rsidR="002F6C3E" w:rsidRPr="002F6C3E" w:rsidRDefault="002F6C3E" w:rsidP="002F6C3E">
            <w:pPr>
              <w:jc w:val="left"/>
              <w:rPr>
                <w:rFonts w:eastAsia="Calibri"/>
              </w:rPr>
            </w:pPr>
          </w:p>
        </w:tc>
        <w:tc>
          <w:tcPr>
            <w:tcW w:w="7513" w:type="dxa"/>
            <w:noWrap/>
            <w:vAlign w:val="center"/>
            <w:hideMark/>
          </w:tcPr>
          <w:p w14:paraId="71201649" w14:textId="77777777" w:rsidR="002F6C3E" w:rsidRPr="002F6C3E" w:rsidRDefault="002F6C3E" w:rsidP="002F6C3E">
            <w:pPr>
              <w:jc w:val="left"/>
              <w:rPr>
                <w:rFonts w:eastAsia="Calibri"/>
              </w:rPr>
            </w:pPr>
            <w:r w:rsidRPr="002F6C3E">
              <w:rPr>
                <w:rFonts w:eastAsia="Calibri"/>
              </w:rPr>
              <w:t>Communication initiatives</w:t>
            </w:r>
          </w:p>
        </w:tc>
      </w:tr>
    </w:tbl>
    <w:p w14:paraId="688053DA" w14:textId="77777777" w:rsidR="002F6C3E" w:rsidRPr="002F6C3E" w:rsidRDefault="002F6C3E" w:rsidP="002F6C3E">
      <w:pPr>
        <w:spacing w:after="160" w:line="259" w:lineRule="auto"/>
        <w:jc w:val="left"/>
        <w:rPr>
          <w:rFonts w:eastAsia="Calibri"/>
        </w:rPr>
      </w:pPr>
    </w:p>
    <w:p w14:paraId="1E1DC1EA" w14:textId="77777777" w:rsidR="002F6C3E" w:rsidRPr="002F6C3E" w:rsidRDefault="002F6C3E" w:rsidP="002F6C3E">
      <w:pPr>
        <w:spacing w:after="160" w:line="259" w:lineRule="auto"/>
        <w:jc w:val="left"/>
        <w:rPr>
          <w:rFonts w:eastAsia="Calibri"/>
        </w:rPr>
      </w:pPr>
      <w:r w:rsidRPr="002F6C3E">
        <w:rPr>
          <w:rFonts w:eastAsia="Calibri"/>
        </w:rPr>
        <w:br w:type="page"/>
      </w:r>
    </w:p>
    <w:tbl>
      <w:tblPr>
        <w:tblStyle w:val="TableGrid1"/>
        <w:tblW w:w="9634" w:type="dxa"/>
        <w:tblLook w:val="04A0" w:firstRow="1" w:lastRow="0" w:firstColumn="1" w:lastColumn="0" w:noHBand="0" w:noVBand="1"/>
      </w:tblPr>
      <w:tblGrid>
        <w:gridCol w:w="1838"/>
        <w:gridCol w:w="7796"/>
      </w:tblGrid>
      <w:tr w:rsidR="002F6C3E" w:rsidRPr="002F6C3E" w14:paraId="332B0D04" w14:textId="77777777" w:rsidTr="002F6C3E">
        <w:trPr>
          <w:trHeight w:val="600"/>
        </w:trPr>
        <w:tc>
          <w:tcPr>
            <w:tcW w:w="9634" w:type="dxa"/>
            <w:gridSpan w:val="2"/>
            <w:shd w:val="clear" w:color="auto" w:fill="FFF2CC"/>
            <w:noWrap/>
            <w:vAlign w:val="center"/>
            <w:hideMark/>
          </w:tcPr>
          <w:p w14:paraId="76A5012D" w14:textId="77777777" w:rsidR="002F6C3E" w:rsidRPr="002F6C3E" w:rsidRDefault="002F6C3E" w:rsidP="002F6C3E">
            <w:pPr>
              <w:jc w:val="center"/>
              <w:rPr>
                <w:rFonts w:eastAsia="Times New Roman"/>
                <w:b/>
                <w:bCs/>
                <w:color w:val="000000"/>
                <w:lang w:eastAsia="en-AU"/>
              </w:rPr>
            </w:pPr>
            <w:r w:rsidRPr="002F6C3E">
              <w:rPr>
                <w:rFonts w:eastAsia="Times New Roman"/>
                <w:b/>
                <w:bCs/>
                <w:color w:val="000000"/>
                <w:lang w:eastAsia="en-AU"/>
              </w:rPr>
              <w:lastRenderedPageBreak/>
              <w:t>Provisional</w:t>
            </w:r>
          </w:p>
        </w:tc>
      </w:tr>
      <w:tr w:rsidR="002F6C3E" w:rsidRPr="002F6C3E" w14:paraId="43338FE8" w14:textId="77777777" w:rsidTr="002F6C3E">
        <w:trPr>
          <w:trHeight w:val="300"/>
        </w:trPr>
        <w:tc>
          <w:tcPr>
            <w:tcW w:w="1838" w:type="dxa"/>
            <w:vMerge w:val="restart"/>
            <w:shd w:val="clear" w:color="auto" w:fill="FFD966"/>
            <w:noWrap/>
            <w:vAlign w:val="center"/>
            <w:hideMark/>
          </w:tcPr>
          <w:p w14:paraId="159F1B10"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Participation / membership</w:t>
            </w:r>
          </w:p>
        </w:tc>
        <w:tc>
          <w:tcPr>
            <w:tcW w:w="7796" w:type="dxa"/>
            <w:noWrap/>
            <w:vAlign w:val="center"/>
            <w:hideMark/>
          </w:tcPr>
          <w:p w14:paraId="13DDE8A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Very low participation base &lt;1,000</w:t>
            </w:r>
          </w:p>
        </w:tc>
      </w:tr>
      <w:tr w:rsidR="002F6C3E" w:rsidRPr="002F6C3E" w14:paraId="6058EDF5" w14:textId="77777777" w:rsidTr="002F6C3E">
        <w:trPr>
          <w:trHeight w:val="300"/>
        </w:trPr>
        <w:tc>
          <w:tcPr>
            <w:tcW w:w="1838" w:type="dxa"/>
            <w:vMerge/>
            <w:shd w:val="clear" w:color="auto" w:fill="FFD966"/>
            <w:noWrap/>
            <w:vAlign w:val="center"/>
            <w:hideMark/>
          </w:tcPr>
          <w:p w14:paraId="2C24A26E" w14:textId="77777777" w:rsidR="002F6C3E" w:rsidRPr="002F6C3E" w:rsidRDefault="002F6C3E" w:rsidP="002F6C3E">
            <w:pPr>
              <w:jc w:val="center"/>
              <w:rPr>
                <w:rFonts w:eastAsia="Times New Roman"/>
                <w:b/>
                <w:color w:val="000000"/>
                <w:lang w:eastAsia="en-AU"/>
              </w:rPr>
            </w:pPr>
          </w:p>
        </w:tc>
        <w:tc>
          <w:tcPr>
            <w:tcW w:w="7796" w:type="dxa"/>
            <w:noWrap/>
            <w:vAlign w:val="center"/>
            <w:hideMark/>
          </w:tcPr>
          <w:p w14:paraId="14782610"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Very low Member base &lt;500</w:t>
            </w:r>
          </w:p>
        </w:tc>
      </w:tr>
      <w:tr w:rsidR="00B64178" w:rsidRPr="002F6C3E" w14:paraId="6C217217" w14:textId="77777777" w:rsidTr="00B64178">
        <w:trPr>
          <w:trHeight w:val="462"/>
        </w:trPr>
        <w:tc>
          <w:tcPr>
            <w:tcW w:w="1838" w:type="dxa"/>
            <w:vMerge w:val="restart"/>
            <w:shd w:val="clear" w:color="auto" w:fill="FFD966"/>
            <w:noWrap/>
            <w:vAlign w:val="center"/>
            <w:hideMark/>
          </w:tcPr>
          <w:p w14:paraId="4EADA80B" w14:textId="77777777" w:rsidR="00B64178" w:rsidRPr="002F6C3E" w:rsidRDefault="00B64178" w:rsidP="002F6C3E">
            <w:pPr>
              <w:jc w:val="center"/>
              <w:rPr>
                <w:rFonts w:eastAsia="Times New Roman"/>
                <w:b/>
                <w:color w:val="000000"/>
                <w:lang w:eastAsia="en-AU"/>
              </w:rPr>
            </w:pPr>
            <w:r w:rsidRPr="002F6C3E">
              <w:rPr>
                <w:rFonts w:eastAsia="Times New Roman"/>
                <w:b/>
                <w:color w:val="000000"/>
                <w:lang w:eastAsia="en-AU"/>
              </w:rPr>
              <w:t>High Performance / Pathways</w:t>
            </w:r>
          </w:p>
        </w:tc>
        <w:tc>
          <w:tcPr>
            <w:tcW w:w="7796" w:type="dxa"/>
            <w:shd w:val="clear" w:color="auto" w:fill="auto"/>
            <w:noWrap/>
            <w:vAlign w:val="center"/>
          </w:tcPr>
          <w:p w14:paraId="7714983E" w14:textId="3FB5FFE3" w:rsidR="00B64178" w:rsidRPr="002F6C3E" w:rsidRDefault="00B64178" w:rsidP="002F6C3E">
            <w:pPr>
              <w:jc w:val="left"/>
              <w:rPr>
                <w:rFonts w:eastAsia="Times New Roman"/>
                <w:i/>
                <w:iCs/>
                <w:color w:val="000000"/>
                <w:lang w:eastAsia="en-AU"/>
              </w:rPr>
            </w:pPr>
            <w:r w:rsidRPr="002F6C3E">
              <w:rPr>
                <w:rFonts w:eastAsia="Times New Roman"/>
                <w:color w:val="000000"/>
                <w:lang w:eastAsia="en-AU"/>
              </w:rPr>
              <w:t>National Championships participation – open OR junior</w:t>
            </w:r>
          </w:p>
        </w:tc>
      </w:tr>
      <w:tr w:rsidR="002F6C3E" w:rsidRPr="002F6C3E" w14:paraId="2AFA6466" w14:textId="77777777" w:rsidTr="002F6C3E">
        <w:trPr>
          <w:trHeight w:val="313"/>
        </w:trPr>
        <w:tc>
          <w:tcPr>
            <w:tcW w:w="1838" w:type="dxa"/>
            <w:vMerge/>
            <w:shd w:val="clear" w:color="auto" w:fill="FFD966"/>
            <w:noWrap/>
            <w:vAlign w:val="center"/>
            <w:hideMark/>
          </w:tcPr>
          <w:p w14:paraId="39A0D4BA" w14:textId="77777777" w:rsidR="002F6C3E" w:rsidRPr="002F6C3E" w:rsidRDefault="002F6C3E" w:rsidP="002F6C3E">
            <w:pPr>
              <w:jc w:val="center"/>
              <w:rPr>
                <w:rFonts w:eastAsia="Times New Roman"/>
                <w:b/>
                <w:color w:val="000000"/>
                <w:lang w:eastAsia="en-AU"/>
              </w:rPr>
            </w:pPr>
          </w:p>
        </w:tc>
        <w:tc>
          <w:tcPr>
            <w:tcW w:w="7796" w:type="dxa"/>
            <w:noWrap/>
            <w:vAlign w:val="center"/>
            <w:hideMark/>
          </w:tcPr>
          <w:p w14:paraId="6A0DB58A"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Junior and/or Senior base</w:t>
            </w:r>
          </w:p>
        </w:tc>
      </w:tr>
      <w:tr w:rsidR="002F6C3E" w:rsidRPr="002F6C3E" w14:paraId="3E68DAAD" w14:textId="77777777" w:rsidTr="002F6C3E">
        <w:trPr>
          <w:trHeight w:val="300"/>
        </w:trPr>
        <w:tc>
          <w:tcPr>
            <w:tcW w:w="1838" w:type="dxa"/>
            <w:shd w:val="clear" w:color="auto" w:fill="FFD966"/>
            <w:noWrap/>
            <w:vAlign w:val="center"/>
          </w:tcPr>
          <w:p w14:paraId="62EA5ACB"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Regional Delivery</w:t>
            </w:r>
          </w:p>
        </w:tc>
        <w:tc>
          <w:tcPr>
            <w:tcW w:w="7796" w:type="dxa"/>
            <w:shd w:val="clear" w:color="auto" w:fill="FFFFFF"/>
            <w:noWrap/>
            <w:vAlign w:val="center"/>
          </w:tcPr>
          <w:p w14:paraId="53AA115C" w14:textId="797C589E" w:rsidR="002F6C3E" w:rsidRPr="002F6C3E" w:rsidRDefault="007B3DDB" w:rsidP="00525D6D">
            <w:pPr>
              <w:jc w:val="center"/>
              <w:rPr>
                <w:rFonts w:eastAsia="Times New Roman"/>
                <w:i/>
                <w:iCs/>
                <w:color w:val="000000"/>
                <w:lang w:eastAsia="en-AU"/>
              </w:rPr>
            </w:pPr>
            <w:bookmarkStart w:id="52" w:name="_GoBack"/>
            <w:bookmarkEnd w:id="52"/>
            <w:r w:rsidRPr="007B3DDB">
              <w:rPr>
                <w:rFonts w:eastAsia="Times New Roman"/>
                <w:color w:val="000000"/>
                <w:lang w:eastAsia="en-AU"/>
              </w:rPr>
              <w:t>Affiliated regional representation in 1 region</w:t>
            </w:r>
          </w:p>
        </w:tc>
      </w:tr>
      <w:tr w:rsidR="00B64178" w:rsidRPr="002F6C3E" w14:paraId="06963119" w14:textId="77777777" w:rsidTr="00B64178">
        <w:trPr>
          <w:trHeight w:val="294"/>
        </w:trPr>
        <w:tc>
          <w:tcPr>
            <w:tcW w:w="1838" w:type="dxa"/>
            <w:vMerge w:val="restart"/>
            <w:shd w:val="clear" w:color="auto" w:fill="FFD966"/>
            <w:noWrap/>
            <w:vAlign w:val="center"/>
            <w:hideMark/>
          </w:tcPr>
          <w:p w14:paraId="5799FA09" w14:textId="77777777" w:rsidR="00B64178" w:rsidRPr="002F6C3E" w:rsidRDefault="00B64178" w:rsidP="002F6C3E">
            <w:pPr>
              <w:jc w:val="center"/>
              <w:rPr>
                <w:rFonts w:eastAsia="Times New Roman"/>
                <w:b/>
                <w:color w:val="000000"/>
                <w:lang w:eastAsia="en-AU"/>
              </w:rPr>
            </w:pPr>
            <w:r w:rsidRPr="002F6C3E">
              <w:rPr>
                <w:rFonts w:eastAsia="Times New Roman"/>
                <w:b/>
                <w:color w:val="000000"/>
                <w:lang w:eastAsia="en-AU"/>
              </w:rPr>
              <w:t>Community Reach / Programming</w:t>
            </w:r>
          </w:p>
        </w:tc>
        <w:tc>
          <w:tcPr>
            <w:tcW w:w="7796" w:type="dxa"/>
            <w:shd w:val="clear" w:color="auto" w:fill="auto"/>
            <w:noWrap/>
            <w:vAlign w:val="center"/>
            <w:hideMark/>
          </w:tcPr>
          <w:p w14:paraId="491A0748" w14:textId="58AD9772" w:rsidR="00B64178" w:rsidRPr="002F6C3E" w:rsidRDefault="00B64178" w:rsidP="002F6C3E">
            <w:pPr>
              <w:jc w:val="left"/>
              <w:rPr>
                <w:rFonts w:eastAsia="Times New Roman"/>
                <w:i/>
                <w:iCs/>
                <w:color w:val="000000"/>
                <w:lang w:eastAsia="en-AU"/>
              </w:rPr>
            </w:pPr>
            <w:r w:rsidRPr="002F6C3E">
              <w:rPr>
                <w:rFonts w:eastAsia="Times New Roman"/>
                <w:color w:val="000000"/>
                <w:lang w:eastAsia="en-AU"/>
              </w:rPr>
              <w:t>Singular access point to the activity or</w:t>
            </w:r>
          </w:p>
        </w:tc>
      </w:tr>
      <w:tr w:rsidR="002F6C3E" w:rsidRPr="002F6C3E" w14:paraId="6B6CD39F" w14:textId="77777777" w:rsidTr="002F6C3E">
        <w:trPr>
          <w:trHeight w:val="300"/>
        </w:trPr>
        <w:tc>
          <w:tcPr>
            <w:tcW w:w="1838" w:type="dxa"/>
            <w:vMerge/>
            <w:shd w:val="clear" w:color="auto" w:fill="FFD966"/>
            <w:noWrap/>
            <w:vAlign w:val="center"/>
            <w:hideMark/>
          </w:tcPr>
          <w:p w14:paraId="6ED0D436" w14:textId="77777777" w:rsidR="002F6C3E" w:rsidRPr="002F6C3E" w:rsidRDefault="002F6C3E" w:rsidP="002F6C3E">
            <w:pPr>
              <w:jc w:val="center"/>
              <w:rPr>
                <w:rFonts w:eastAsia="Times New Roman"/>
                <w:b/>
                <w:color w:val="000000"/>
                <w:lang w:eastAsia="en-AU"/>
              </w:rPr>
            </w:pPr>
          </w:p>
        </w:tc>
        <w:tc>
          <w:tcPr>
            <w:tcW w:w="7796" w:type="dxa"/>
            <w:noWrap/>
            <w:vAlign w:val="center"/>
            <w:hideMark/>
          </w:tcPr>
          <w:p w14:paraId="5C6A0C75"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Recreational/social access only or</w:t>
            </w:r>
          </w:p>
        </w:tc>
      </w:tr>
      <w:tr w:rsidR="002F6C3E" w:rsidRPr="002F6C3E" w14:paraId="0F386CA6" w14:textId="77777777" w:rsidTr="002F6C3E">
        <w:trPr>
          <w:trHeight w:val="361"/>
        </w:trPr>
        <w:tc>
          <w:tcPr>
            <w:tcW w:w="1838" w:type="dxa"/>
            <w:vMerge/>
            <w:shd w:val="clear" w:color="auto" w:fill="FFD966"/>
            <w:noWrap/>
            <w:vAlign w:val="center"/>
            <w:hideMark/>
          </w:tcPr>
          <w:p w14:paraId="48FF62E9" w14:textId="77777777" w:rsidR="002F6C3E" w:rsidRPr="002F6C3E" w:rsidRDefault="002F6C3E" w:rsidP="002F6C3E">
            <w:pPr>
              <w:jc w:val="center"/>
              <w:rPr>
                <w:rFonts w:eastAsia="Times New Roman"/>
                <w:b/>
                <w:color w:val="000000"/>
                <w:lang w:eastAsia="en-AU"/>
              </w:rPr>
            </w:pPr>
          </w:p>
        </w:tc>
        <w:tc>
          <w:tcPr>
            <w:tcW w:w="7796" w:type="dxa"/>
            <w:noWrap/>
            <w:vAlign w:val="center"/>
            <w:hideMark/>
          </w:tcPr>
          <w:p w14:paraId="08827112"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Competitive access only</w:t>
            </w:r>
          </w:p>
        </w:tc>
      </w:tr>
      <w:tr w:rsidR="002F6C3E" w:rsidRPr="002F6C3E" w14:paraId="2017F973" w14:textId="77777777" w:rsidTr="002F6C3E">
        <w:trPr>
          <w:trHeight w:val="300"/>
        </w:trPr>
        <w:tc>
          <w:tcPr>
            <w:tcW w:w="1838" w:type="dxa"/>
            <w:shd w:val="clear" w:color="auto" w:fill="FFD966"/>
            <w:noWrap/>
            <w:vAlign w:val="center"/>
            <w:hideMark/>
          </w:tcPr>
          <w:p w14:paraId="02ACDD1F"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Finance</w:t>
            </w:r>
          </w:p>
        </w:tc>
        <w:tc>
          <w:tcPr>
            <w:tcW w:w="7796" w:type="dxa"/>
            <w:noWrap/>
            <w:vAlign w:val="center"/>
            <w:hideMark/>
          </w:tcPr>
          <w:p w14:paraId="3CABA64F"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Low annual total revenue &lt;$50,000</w:t>
            </w:r>
          </w:p>
        </w:tc>
      </w:tr>
      <w:tr w:rsidR="002F6C3E" w:rsidRPr="002F6C3E" w14:paraId="576AB2F1" w14:textId="77777777" w:rsidTr="002F6C3E">
        <w:trPr>
          <w:trHeight w:val="300"/>
        </w:trPr>
        <w:tc>
          <w:tcPr>
            <w:tcW w:w="1838" w:type="dxa"/>
            <w:vMerge w:val="restart"/>
            <w:shd w:val="clear" w:color="auto" w:fill="FFD966"/>
            <w:noWrap/>
            <w:vAlign w:val="center"/>
            <w:hideMark/>
          </w:tcPr>
          <w:p w14:paraId="52C9659A"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Governance</w:t>
            </w:r>
          </w:p>
        </w:tc>
        <w:tc>
          <w:tcPr>
            <w:tcW w:w="7796" w:type="dxa"/>
            <w:shd w:val="clear" w:color="auto" w:fill="E7E6E6"/>
            <w:noWrap/>
            <w:vAlign w:val="center"/>
            <w:hideMark/>
          </w:tcPr>
          <w:p w14:paraId="134BA0F6"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Low-basic governance structures:</w:t>
            </w:r>
          </w:p>
        </w:tc>
      </w:tr>
      <w:tr w:rsidR="002F6C3E" w:rsidRPr="002F6C3E" w14:paraId="23CC3580" w14:textId="77777777" w:rsidTr="002F6C3E">
        <w:trPr>
          <w:trHeight w:val="300"/>
        </w:trPr>
        <w:tc>
          <w:tcPr>
            <w:tcW w:w="1838" w:type="dxa"/>
            <w:vMerge/>
            <w:shd w:val="clear" w:color="auto" w:fill="FFD966"/>
            <w:noWrap/>
            <w:vAlign w:val="center"/>
            <w:hideMark/>
          </w:tcPr>
          <w:p w14:paraId="335F9C85" w14:textId="77777777" w:rsidR="002F6C3E" w:rsidRPr="002F6C3E" w:rsidRDefault="002F6C3E" w:rsidP="002F6C3E">
            <w:pPr>
              <w:jc w:val="center"/>
              <w:rPr>
                <w:rFonts w:eastAsia="Times New Roman"/>
                <w:b/>
                <w:color w:val="000000"/>
                <w:lang w:eastAsia="en-AU"/>
              </w:rPr>
            </w:pPr>
          </w:p>
        </w:tc>
        <w:tc>
          <w:tcPr>
            <w:tcW w:w="7796" w:type="dxa"/>
            <w:noWrap/>
            <w:vAlign w:val="center"/>
            <w:hideMark/>
          </w:tcPr>
          <w:p w14:paraId="76047367"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 xml:space="preserve">&gt;85 rating against governance checklist </w:t>
            </w:r>
          </w:p>
        </w:tc>
      </w:tr>
      <w:tr w:rsidR="002F6C3E" w:rsidRPr="002F6C3E" w14:paraId="5B6AD1D0" w14:textId="77777777" w:rsidTr="002F6C3E">
        <w:trPr>
          <w:trHeight w:val="300"/>
        </w:trPr>
        <w:tc>
          <w:tcPr>
            <w:tcW w:w="1838" w:type="dxa"/>
            <w:vMerge/>
            <w:shd w:val="clear" w:color="auto" w:fill="FFD966"/>
            <w:noWrap/>
            <w:vAlign w:val="center"/>
          </w:tcPr>
          <w:p w14:paraId="6C2D255F" w14:textId="77777777" w:rsidR="002F6C3E" w:rsidRPr="002F6C3E" w:rsidRDefault="002F6C3E" w:rsidP="002F6C3E">
            <w:pPr>
              <w:jc w:val="center"/>
              <w:rPr>
                <w:rFonts w:eastAsia="Times New Roman"/>
                <w:b/>
                <w:color w:val="000000"/>
                <w:lang w:eastAsia="en-AU"/>
              </w:rPr>
            </w:pPr>
          </w:p>
        </w:tc>
        <w:tc>
          <w:tcPr>
            <w:tcW w:w="7796" w:type="dxa"/>
            <w:shd w:val="clear" w:color="auto" w:fill="E7E6E6"/>
            <w:noWrap/>
            <w:vAlign w:val="center"/>
          </w:tcPr>
          <w:p w14:paraId="1AFF9E5B" w14:textId="77777777" w:rsidR="002F6C3E" w:rsidRPr="002F6C3E" w:rsidRDefault="002F6C3E" w:rsidP="002F6C3E">
            <w:pPr>
              <w:jc w:val="left"/>
              <w:rPr>
                <w:rFonts w:eastAsia="Times New Roman"/>
                <w:color w:val="000000"/>
                <w:lang w:eastAsia="en-AU"/>
              </w:rPr>
            </w:pPr>
            <w:r w:rsidRPr="002F6C3E">
              <w:rPr>
                <w:rFonts w:eastAsia="Calibri"/>
                <w:i/>
                <w:iCs/>
              </w:rPr>
              <w:t>Policy:</w:t>
            </w:r>
          </w:p>
        </w:tc>
      </w:tr>
      <w:tr w:rsidR="002F6C3E" w:rsidRPr="002F6C3E" w14:paraId="7C21EBDC" w14:textId="77777777" w:rsidTr="002F6C3E">
        <w:trPr>
          <w:trHeight w:val="300"/>
        </w:trPr>
        <w:tc>
          <w:tcPr>
            <w:tcW w:w="1838" w:type="dxa"/>
            <w:vMerge/>
            <w:shd w:val="clear" w:color="auto" w:fill="FFD966"/>
            <w:noWrap/>
            <w:vAlign w:val="center"/>
          </w:tcPr>
          <w:p w14:paraId="2C0000B7" w14:textId="77777777" w:rsidR="002F6C3E" w:rsidRPr="002F6C3E" w:rsidRDefault="002F6C3E" w:rsidP="002F6C3E">
            <w:pPr>
              <w:jc w:val="center"/>
              <w:rPr>
                <w:rFonts w:eastAsia="Times New Roman"/>
                <w:b/>
                <w:color w:val="000000"/>
                <w:lang w:eastAsia="en-AU"/>
              </w:rPr>
            </w:pPr>
          </w:p>
        </w:tc>
        <w:tc>
          <w:tcPr>
            <w:tcW w:w="7796" w:type="dxa"/>
            <w:noWrap/>
            <w:vAlign w:val="center"/>
          </w:tcPr>
          <w:p w14:paraId="17283264" w14:textId="77777777" w:rsidR="002F6C3E" w:rsidRPr="002F6C3E" w:rsidRDefault="002F6C3E" w:rsidP="002F6C3E">
            <w:pPr>
              <w:jc w:val="left"/>
              <w:rPr>
                <w:rFonts w:eastAsia="Times New Roman"/>
                <w:color w:val="000000"/>
                <w:lang w:eastAsia="en-AU"/>
              </w:rPr>
            </w:pPr>
            <w:r w:rsidRPr="002F6C3E">
              <w:rPr>
                <w:rFonts w:eastAsia="Calibri"/>
                <w:iCs/>
              </w:rPr>
              <w:t xml:space="preserve">Member Protection Policy, Alcohol, Drugs in sport developed and implemented– (others as applicable </w:t>
            </w:r>
            <w:proofErr w:type="gramStart"/>
            <w:r w:rsidRPr="002F6C3E">
              <w:rPr>
                <w:rFonts w:eastAsia="Calibri"/>
                <w:iCs/>
              </w:rPr>
              <w:t>-  Sports</w:t>
            </w:r>
            <w:proofErr w:type="gramEnd"/>
            <w:r w:rsidRPr="002F6C3E">
              <w:rPr>
                <w:rFonts w:eastAsia="Calibri"/>
                <w:iCs/>
              </w:rPr>
              <w:t xml:space="preserve"> Betting, Match Fixing, Privacy, Inclusion)</w:t>
            </w:r>
          </w:p>
        </w:tc>
      </w:tr>
      <w:tr w:rsidR="002F6C3E" w:rsidRPr="002F6C3E" w14:paraId="7CA3CD5C" w14:textId="77777777" w:rsidTr="002F6C3E">
        <w:trPr>
          <w:trHeight w:val="300"/>
        </w:trPr>
        <w:tc>
          <w:tcPr>
            <w:tcW w:w="1838" w:type="dxa"/>
            <w:vMerge/>
            <w:shd w:val="clear" w:color="auto" w:fill="FFD966"/>
            <w:noWrap/>
            <w:vAlign w:val="center"/>
          </w:tcPr>
          <w:p w14:paraId="3C624657" w14:textId="77777777" w:rsidR="002F6C3E" w:rsidRPr="002F6C3E" w:rsidRDefault="002F6C3E" w:rsidP="002F6C3E">
            <w:pPr>
              <w:jc w:val="center"/>
              <w:rPr>
                <w:rFonts w:eastAsia="Times New Roman"/>
                <w:b/>
                <w:color w:val="000000"/>
                <w:lang w:eastAsia="en-AU"/>
              </w:rPr>
            </w:pPr>
          </w:p>
        </w:tc>
        <w:tc>
          <w:tcPr>
            <w:tcW w:w="7796" w:type="dxa"/>
            <w:shd w:val="clear" w:color="auto" w:fill="E7E6E6"/>
            <w:noWrap/>
            <w:vAlign w:val="center"/>
          </w:tcPr>
          <w:p w14:paraId="21315558" w14:textId="77777777" w:rsidR="002F6C3E" w:rsidRPr="002F6C3E" w:rsidRDefault="002F6C3E" w:rsidP="002F6C3E">
            <w:pPr>
              <w:jc w:val="left"/>
              <w:rPr>
                <w:rFonts w:eastAsia="Times New Roman"/>
                <w:color w:val="000000"/>
                <w:lang w:eastAsia="en-AU"/>
              </w:rPr>
            </w:pPr>
            <w:r w:rsidRPr="002F6C3E">
              <w:rPr>
                <w:rFonts w:eastAsia="Calibri"/>
                <w:i/>
                <w:iCs/>
              </w:rPr>
              <w:t xml:space="preserve">Gender Targets are met: Commercial to E = </w:t>
            </w:r>
            <w:proofErr w:type="gramStart"/>
            <w:r w:rsidRPr="002F6C3E">
              <w:rPr>
                <w:rFonts w:eastAsia="Calibri"/>
                <w:i/>
                <w:iCs/>
              </w:rPr>
              <w:t>2 year</w:t>
            </w:r>
            <w:proofErr w:type="gramEnd"/>
            <w:r w:rsidRPr="002F6C3E">
              <w:rPr>
                <w:rFonts w:eastAsia="Calibri"/>
                <w:i/>
                <w:iCs/>
              </w:rPr>
              <w:t xml:space="preserve"> implementation, F to P= 3 year</w:t>
            </w:r>
          </w:p>
        </w:tc>
      </w:tr>
      <w:tr w:rsidR="002F6C3E" w:rsidRPr="002F6C3E" w14:paraId="014B49D5" w14:textId="77777777" w:rsidTr="002F6C3E">
        <w:trPr>
          <w:trHeight w:val="300"/>
        </w:trPr>
        <w:tc>
          <w:tcPr>
            <w:tcW w:w="1838" w:type="dxa"/>
            <w:vMerge/>
            <w:shd w:val="clear" w:color="auto" w:fill="FFD966"/>
            <w:noWrap/>
            <w:vAlign w:val="center"/>
          </w:tcPr>
          <w:p w14:paraId="330A2BB2" w14:textId="77777777" w:rsidR="002F6C3E" w:rsidRPr="002F6C3E" w:rsidRDefault="002F6C3E" w:rsidP="002F6C3E">
            <w:pPr>
              <w:jc w:val="center"/>
              <w:rPr>
                <w:rFonts w:eastAsia="Times New Roman"/>
                <w:b/>
                <w:color w:val="000000"/>
                <w:lang w:eastAsia="en-AU"/>
              </w:rPr>
            </w:pPr>
          </w:p>
        </w:tc>
        <w:tc>
          <w:tcPr>
            <w:tcW w:w="7796" w:type="dxa"/>
            <w:noWrap/>
            <w:vAlign w:val="center"/>
          </w:tcPr>
          <w:p w14:paraId="283B2D72" w14:textId="77777777" w:rsidR="002F6C3E" w:rsidRPr="002F6C3E" w:rsidRDefault="002F6C3E" w:rsidP="002F6C3E">
            <w:pPr>
              <w:jc w:val="left"/>
              <w:rPr>
                <w:rFonts w:eastAsia="Times New Roman"/>
                <w:color w:val="000000"/>
                <w:lang w:eastAsia="en-AU"/>
              </w:rPr>
            </w:pPr>
            <w:r w:rsidRPr="002F6C3E">
              <w:rPr>
                <w:rFonts w:eastAsia="Calibri"/>
              </w:rPr>
              <w:t>Meets board gender target &gt;= 50% female</w:t>
            </w:r>
          </w:p>
        </w:tc>
      </w:tr>
      <w:tr w:rsidR="002F6C3E" w:rsidRPr="002F6C3E" w14:paraId="0BEE0C98" w14:textId="77777777" w:rsidTr="002F6C3E">
        <w:trPr>
          <w:trHeight w:val="300"/>
        </w:trPr>
        <w:tc>
          <w:tcPr>
            <w:tcW w:w="1838" w:type="dxa"/>
            <w:vMerge/>
            <w:shd w:val="clear" w:color="auto" w:fill="FFD966"/>
            <w:noWrap/>
            <w:vAlign w:val="center"/>
          </w:tcPr>
          <w:p w14:paraId="405C1492" w14:textId="77777777" w:rsidR="002F6C3E" w:rsidRPr="002F6C3E" w:rsidRDefault="002F6C3E" w:rsidP="002F6C3E">
            <w:pPr>
              <w:jc w:val="center"/>
              <w:rPr>
                <w:rFonts w:eastAsia="Times New Roman"/>
                <w:b/>
                <w:color w:val="000000"/>
                <w:lang w:eastAsia="en-AU"/>
              </w:rPr>
            </w:pPr>
          </w:p>
        </w:tc>
        <w:tc>
          <w:tcPr>
            <w:tcW w:w="7796" w:type="dxa"/>
            <w:noWrap/>
            <w:vAlign w:val="center"/>
          </w:tcPr>
          <w:p w14:paraId="278DF49E" w14:textId="77777777" w:rsidR="002F6C3E" w:rsidRPr="002F6C3E" w:rsidRDefault="002F6C3E" w:rsidP="002F6C3E">
            <w:pPr>
              <w:jc w:val="left"/>
              <w:rPr>
                <w:rFonts w:eastAsia="Times New Roman"/>
                <w:color w:val="000000"/>
                <w:lang w:eastAsia="en-AU"/>
              </w:rPr>
            </w:pPr>
            <w:r w:rsidRPr="002F6C3E">
              <w:rPr>
                <w:rFonts w:eastAsia="Calibri"/>
              </w:rPr>
              <w:t>Below board gender target &lt; 50% female</w:t>
            </w:r>
          </w:p>
        </w:tc>
      </w:tr>
      <w:tr w:rsidR="002F6C3E" w:rsidRPr="002F6C3E" w14:paraId="5DF698DC" w14:textId="77777777" w:rsidTr="002F6C3E">
        <w:trPr>
          <w:trHeight w:val="300"/>
        </w:trPr>
        <w:tc>
          <w:tcPr>
            <w:tcW w:w="1838" w:type="dxa"/>
            <w:vMerge/>
            <w:shd w:val="clear" w:color="auto" w:fill="FFD966"/>
            <w:noWrap/>
            <w:vAlign w:val="center"/>
          </w:tcPr>
          <w:p w14:paraId="4665E9BA" w14:textId="77777777" w:rsidR="002F6C3E" w:rsidRPr="002F6C3E" w:rsidRDefault="002F6C3E" w:rsidP="002F6C3E">
            <w:pPr>
              <w:jc w:val="center"/>
              <w:rPr>
                <w:rFonts w:eastAsia="Times New Roman"/>
                <w:b/>
                <w:color w:val="000000"/>
                <w:lang w:eastAsia="en-AU"/>
              </w:rPr>
            </w:pPr>
          </w:p>
        </w:tc>
        <w:tc>
          <w:tcPr>
            <w:tcW w:w="7796" w:type="dxa"/>
            <w:noWrap/>
            <w:vAlign w:val="center"/>
          </w:tcPr>
          <w:p w14:paraId="4EC45B7D" w14:textId="77777777" w:rsidR="002F6C3E" w:rsidRPr="002F6C3E" w:rsidRDefault="002F6C3E" w:rsidP="002F6C3E">
            <w:pPr>
              <w:jc w:val="left"/>
              <w:rPr>
                <w:rFonts w:eastAsia="Times New Roman"/>
                <w:color w:val="000000"/>
                <w:lang w:eastAsia="en-AU"/>
              </w:rPr>
            </w:pPr>
            <w:r w:rsidRPr="002F6C3E">
              <w:rPr>
                <w:rFonts w:eastAsia="Calibri"/>
              </w:rPr>
              <w:t xml:space="preserve">No gender diversity on board </w:t>
            </w:r>
          </w:p>
        </w:tc>
      </w:tr>
      <w:tr w:rsidR="002F6C3E" w:rsidRPr="002F6C3E" w14:paraId="47C0D208" w14:textId="77777777" w:rsidTr="002F6C3E">
        <w:trPr>
          <w:trHeight w:val="300"/>
        </w:trPr>
        <w:tc>
          <w:tcPr>
            <w:tcW w:w="1838" w:type="dxa"/>
            <w:vMerge w:val="restart"/>
            <w:shd w:val="clear" w:color="auto" w:fill="FFD966"/>
            <w:noWrap/>
            <w:vAlign w:val="center"/>
            <w:hideMark/>
          </w:tcPr>
          <w:p w14:paraId="58531094" w14:textId="77777777" w:rsidR="002F6C3E" w:rsidRPr="002F6C3E" w:rsidRDefault="002F6C3E" w:rsidP="002F6C3E">
            <w:pPr>
              <w:jc w:val="center"/>
              <w:rPr>
                <w:rFonts w:eastAsia="Times New Roman"/>
                <w:b/>
                <w:color w:val="000000"/>
                <w:lang w:eastAsia="en-AU"/>
              </w:rPr>
            </w:pPr>
            <w:r w:rsidRPr="002F6C3E">
              <w:rPr>
                <w:rFonts w:eastAsia="Times New Roman"/>
                <w:b/>
                <w:color w:val="000000"/>
                <w:lang w:eastAsia="en-AU"/>
              </w:rPr>
              <w:t>Planning</w:t>
            </w:r>
          </w:p>
        </w:tc>
        <w:tc>
          <w:tcPr>
            <w:tcW w:w="7796" w:type="dxa"/>
            <w:shd w:val="clear" w:color="auto" w:fill="E7E6E6"/>
            <w:noWrap/>
            <w:vAlign w:val="center"/>
            <w:hideMark/>
          </w:tcPr>
          <w:p w14:paraId="05AFE3BF" w14:textId="77777777" w:rsidR="002F6C3E" w:rsidRPr="002F6C3E" w:rsidRDefault="002F6C3E" w:rsidP="002F6C3E">
            <w:pPr>
              <w:jc w:val="left"/>
              <w:rPr>
                <w:rFonts w:eastAsia="Times New Roman"/>
                <w:i/>
                <w:iCs/>
                <w:color w:val="000000"/>
                <w:lang w:eastAsia="en-AU"/>
              </w:rPr>
            </w:pPr>
            <w:r w:rsidRPr="002F6C3E">
              <w:rPr>
                <w:rFonts w:eastAsia="Times New Roman"/>
                <w:i/>
                <w:iCs/>
                <w:color w:val="000000"/>
                <w:lang w:eastAsia="en-AU"/>
              </w:rPr>
              <w:t>Low-basic planning culture:</w:t>
            </w:r>
          </w:p>
        </w:tc>
      </w:tr>
      <w:tr w:rsidR="002F6C3E" w:rsidRPr="002F6C3E" w14:paraId="7F4AFB04" w14:textId="77777777" w:rsidTr="002F6C3E">
        <w:trPr>
          <w:trHeight w:val="300"/>
        </w:trPr>
        <w:tc>
          <w:tcPr>
            <w:tcW w:w="1838" w:type="dxa"/>
            <w:vMerge/>
            <w:shd w:val="clear" w:color="auto" w:fill="FFD966"/>
            <w:noWrap/>
            <w:hideMark/>
          </w:tcPr>
          <w:p w14:paraId="4B4646DC" w14:textId="77777777" w:rsidR="002F6C3E" w:rsidRPr="002F6C3E" w:rsidRDefault="002F6C3E" w:rsidP="002F6C3E">
            <w:pPr>
              <w:jc w:val="left"/>
              <w:rPr>
                <w:rFonts w:eastAsia="Times New Roman"/>
                <w:color w:val="000000"/>
                <w:lang w:eastAsia="en-AU"/>
              </w:rPr>
            </w:pPr>
          </w:p>
        </w:tc>
        <w:tc>
          <w:tcPr>
            <w:tcW w:w="7796" w:type="dxa"/>
            <w:noWrap/>
            <w:vAlign w:val="center"/>
            <w:hideMark/>
          </w:tcPr>
          <w:p w14:paraId="62194A7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calendar of events</w:t>
            </w:r>
          </w:p>
        </w:tc>
      </w:tr>
      <w:tr w:rsidR="002F6C3E" w:rsidRPr="002F6C3E" w14:paraId="35511FBD" w14:textId="77777777" w:rsidTr="002F6C3E">
        <w:trPr>
          <w:trHeight w:val="300"/>
        </w:trPr>
        <w:tc>
          <w:tcPr>
            <w:tcW w:w="1838" w:type="dxa"/>
            <w:vMerge/>
            <w:shd w:val="clear" w:color="auto" w:fill="FFD966"/>
            <w:noWrap/>
            <w:hideMark/>
          </w:tcPr>
          <w:p w14:paraId="7A8CBA57" w14:textId="77777777" w:rsidR="002F6C3E" w:rsidRPr="002F6C3E" w:rsidRDefault="002F6C3E" w:rsidP="002F6C3E">
            <w:pPr>
              <w:jc w:val="left"/>
              <w:rPr>
                <w:rFonts w:eastAsia="Times New Roman"/>
                <w:color w:val="000000"/>
                <w:lang w:eastAsia="en-AU"/>
              </w:rPr>
            </w:pPr>
          </w:p>
        </w:tc>
        <w:tc>
          <w:tcPr>
            <w:tcW w:w="7796" w:type="dxa"/>
            <w:noWrap/>
            <w:vAlign w:val="center"/>
            <w:hideMark/>
          </w:tcPr>
          <w:p w14:paraId="03D59F69"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Annual operational plan</w:t>
            </w:r>
          </w:p>
        </w:tc>
      </w:tr>
      <w:tr w:rsidR="002F6C3E" w:rsidRPr="002F6C3E" w14:paraId="3E3D7D9C" w14:textId="77777777" w:rsidTr="002F6C3E">
        <w:trPr>
          <w:trHeight w:val="300"/>
        </w:trPr>
        <w:tc>
          <w:tcPr>
            <w:tcW w:w="1838" w:type="dxa"/>
            <w:vMerge/>
            <w:shd w:val="clear" w:color="auto" w:fill="FFD966"/>
            <w:noWrap/>
          </w:tcPr>
          <w:p w14:paraId="043B7007" w14:textId="77777777" w:rsidR="002F6C3E" w:rsidRPr="002F6C3E" w:rsidRDefault="002F6C3E" w:rsidP="002F6C3E">
            <w:pPr>
              <w:jc w:val="left"/>
              <w:rPr>
                <w:rFonts w:eastAsia="Times New Roman"/>
                <w:color w:val="000000"/>
                <w:lang w:eastAsia="en-AU"/>
              </w:rPr>
            </w:pPr>
          </w:p>
        </w:tc>
        <w:tc>
          <w:tcPr>
            <w:tcW w:w="7796" w:type="dxa"/>
            <w:noWrap/>
            <w:vAlign w:val="center"/>
          </w:tcPr>
          <w:p w14:paraId="77457243" w14:textId="77777777" w:rsidR="002F6C3E" w:rsidRPr="002F6C3E" w:rsidRDefault="002F6C3E" w:rsidP="002F6C3E">
            <w:pPr>
              <w:jc w:val="left"/>
              <w:rPr>
                <w:rFonts w:eastAsia="Times New Roman"/>
                <w:color w:val="000000"/>
                <w:lang w:eastAsia="en-AU"/>
              </w:rPr>
            </w:pPr>
            <w:r w:rsidRPr="002F6C3E">
              <w:rPr>
                <w:rFonts w:eastAsia="Calibri"/>
              </w:rPr>
              <w:t>Event / Programs Risk Register</w:t>
            </w:r>
          </w:p>
        </w:tc>
      </w:tr>
      <w:tr w:rsidR="002F6C3E" w:rsidRPr="002F6C3E" w14:paraId="321002DA" w14:textId="77777777" w:rsidTr="002F6C3E">
        <w:trPr>
          <w:trHeight w:val="300"/>
        </w:trPr>
        <w:tc>
          <w:tcPr>
            <w:tcW w:w="1838" w:type="dxa"/>
            <w:vMerge/>
            <w:shd w:val="clear" w:color="auto" w:fill="FFD966"/>
            <w:noWrap/>
            <w:hideMark/>
          </w:tcPr>
          <w:p w14:paraId="58089A85" w14:textId="77777777" w:rsidR="002F6C3E" w:rsidRPr="002F6C3E" w:rsidRDefault="002F6C3E" w:rsidP="002F6C3E">
            <w:pPr>
              <w:jc w:val="left"/>
              <w:rPr>
                <w:rFonts w:eastAsia="Times New Roman"/>
                <w:color w:val="000000"/>
                <w:lang w:eastAsia="en-AU"/>
              </w:rPr>
            </w:pPr>
          </w:p>
        </w:tc>
        <w:tc>
          <w:tcPr>
            <w:tcW w:w="7796" w:type="dxa"/>
            <w:noWrap/>
            <w:vAlign w:val="center"/>
            <w:hideMark/>
          </w:tcPr>
          <w:p w14:paraId="5D1CB9C8" w14:textId="77777777" w:rsidR="002F6C3E" w:rsidRPr="002F6C3E" w:rsidRDefault="002F6C3E" w:rsidP="002F6C3E">
            <w:pPr>
              <w:jc w:val="left"/>
              <w:rPr>
                <w:rFonts w:eastAsia="Times New Roman"/>
                <w:color w:val="000000"/>
                <w:lang w:eastAsia="en-AU"/>
              </w:rPr>
            </w:pPr>
            <w:r w:rsidRPr="002F6C3E">
              <w:rPr>
                <w:rFonts w:eastAsia="Times New Roman"/>
                <w:color w:val="000000"/>
                <w:lang w:eastAsia="en-AU"/>
              </w:rPr>
              <w:t>Newsletter</w:t>
            </w:r>
          </w:p>
        </w:tc>
      </w:tr>
    </w:tbl>
    <w:p w14:paraId="2B4A2CD4" w14:textId="77777777" w:rsidR="002F6C3E" w:rsidRPr="002F6C3E" w:rsidRDefault="002F6C3E" w:rsidP="002F6C3E">
      <w:pPr>
        <w:spacing w:after="160" w:line="259" w:lineRule="auto"/>
        <w:jc w:val="left"/>
        <w:rPr>
          <w:rFonts w:eastAsia="Calibri"/>
        </w:rPr>
      </w:pPr>
    </w:p>
    <w:p w14:paraId="57A68D5E" w14:textId="77777777" w:rsidR="002F6C3E" w:rsidRPr="002F6C3E" w:rsidRDefault="002F6C3E" w:rsidP="002F6C3E">
      <w:pPr>
        <w:spacing w:after="160" w:line="259" w:lineRule="auto"/>
        <w:jc w:val="left"/>
        <w:rPr>
          <w:rFonts w:eastAsia="Calibri"/>
        </w:rPr>
      </w:pPr>
    </w:p>
    <w:p w14:paraId="2B8A2C83" w14:textId="77777777" w:rsidR="002F6C3E" w:rsidRPr="002F6C3E" w:rsidRDefault="002F6C3E" w:rsidP="002F6C3E">
      <w:pPr>
        <w:spacing w:after="160" w:line="259" w:lineRule="auto"/>
        <w:jc w:val="left"/>
        <w:rPr>
          <w:rFonts w:eastAsia="Calibri"/>
        </w:rPr>
      </w:pPr>
    </w:p>
    <w:p w14:paraId="6EDA5D80" w14:textId="77777777" w:rsidR="002F6C3E" w:rsidRPr="002F6C3E" w:rsidRDefault="002F6C3E" w:rsidP="002F6C3E">
      <w:pPr>
        <w:spacing w:after="160" w:line="259" w:lineRule="auto"/>
        <w:jc w:val="left"/>
        <w:rPr>
          <w:rFonts w:eastAsia="Calibri"/>
        </w:rPr>
      </w:pPr>
      <w:r w:rsidRPr="002F6C3E">
        <w:rPr>
          <w:rFonts w:eastAsia="Calibri"/>
        </w:rPr>
        <w:br w:type="page"/>
      </w:r>
    </w:p>
    <w:p w14:paraId="5F6F6A12" w14:textId="13F8035C" w:rsidR="002F6C3E" w:rsidRPr="00DB5BE8" w:rsidRDefault="002F6C3E" w:rsidP="007B2A90">
      <w:pPr>
        <w:pStyle w:val="Heading2"/>
      </w:pPr>
      <w:bookmarkStart w:id="53" w:name="_Toc1571700"/>
      <w:r w:rsidRPr="00DB5BE8">
        <w:lastRenderedPageBreak/>
        <w:t xml:space="preserve">Category </w:t>
      </w:r>
      <w:r w:rsidR="00071F40">
        <w:t>d</w:t>
      </w:r>
      <w:r w:rsidRPr="00DB5BE8">
        <w:t>escriptors</w:t>
      </w:r>
      <w:bookmarkEnd w:id="53"/>
      <w:r w:rsidRPr="00DB5BE8">
        <w:t xml:space="preserve"> </w:t>
      </w:r>
    </w:p>
    <w:p w14:paraId="50451A97" w14:textId="77777777" w:rsidR="002F6C3E" w:rsidRPr="002F6C3E" w:rsidRDefault="002F6C3E" w:rsidP="002F6C3E">
      <w:pPr>
        <w:spacing w:after="160" w:line="259" w:lineRule="auto"/>
        <w:jc w:val="left"/>
        <w:rPr>
          <w:rFonts w:eastAsia="Calibri"/>
        </w:rPr>
      </w:pPr>
    </w:p>
    <w:tbl>
      <w:tblPr>
        <w:tblStyle w:val="TableGrid1"/>
        <w:tblW w:w="10916" w:type="dxa"/>
        <w:tblInd w:w="-856" w:type="dxa"/>
        <w:tblLook w:val="04A0" w:firstRow="1" w:lastRow="0" w:firstColumn="1" w:lastColumn="0" w:noHBand="0" w:noVBand="1"/>
      </w:tblPr>
      <w:tblGrid>
        <w:gridCol w:w="10916"/>
      </w:tblGrid>
      <w:tr w:rsidR="002F6C3E" w:rsidRPr="002F6C3E" w14:paraId="2DDEE037" w14:textId="77777777" w:rsidTr="002F6C3E">
        <w:tc>
          <w:tcPr>
            <w:tcW w:w="10916" w:type="dxa"/>
            <w:shd w:val="clear" w:color="auto" w:fill="FFF2CC"/>
          </w:tcPr>
          <w:p w14:paraId="0619FBD5" w14:textId="77777777" w:rsidR="002F6C3E" w:rsidRPr="002F6C3E" w:rsidRDefault="002F6C3E" w:rsidP="002F6C3E">
            <w:pPr>
              <w:jc w:val="left"/>
              <w:rPr>
                <w:rFonts w:eastAsia="Calibri"/>
                <w:b/>
                <w:sz w:val="24"/>
                <w:szCs w:val="24"/>
              </w:rPr>
            </w:pPr>
            <w:r w:rsidRPr="002F6C3E">
              <w:rPr>
                <w:rFonts w:eastAsia="Calibri"/>
                <w:b/>
                <w:sz w:val="24"/>
                <w:szCs w:val="24"/>
              </w:rPr>
              <w:t>Participation / Membership</w:t>
            </w:r>
          </w:p>
        </w:tc>
      </w:tr>
      <w:tr w:rsidR="002F6C3E" w:rsidRPr="002F6C3E" w14:paraId="3E873409" w14:textId="77777777" w:rsidTr="002F6C3E">
        <w:tc>
          <w:tcPr>
            <w:tcW w:w="10916" w:type="dxa"/>
            <w:shd w:val="clear" w:color="auto" w:fill="E7E6E6"/>
          </w:tcPr>
          <w:p w14:paraId="5A4C5C8B" w14:textId="77777777" w:rsidR="002F6C3E" w:rsidRPr="002F6C3E" w:rsidRDefault="002F6C3E" w:rsidP="002F6C3E">
            <w:pPr>
              <w:jc w:val="left"/>
              <w:rPr>
                <w:rFonts w:eastAsia="Calibri"/>
                <w:b/>
                <w:i/>
                <w:sz w:val="20"/>
                <w:szCs w:val="20"/>
              </w:rPr>
            </w:pPr>
            <w:r w:rsidRPr="002F6C3E">
              <w:rPr>
                <w:rFonts w:eastAsia="Calibri"/>
                <w:b/>
                <w:i/>
                <w:sz w:val="20"/>
                <w:szCs w:val="20"/>
              </w:rPr>
              <w:t>Participation Base:</w:t>
            </w:r>
          </w:p>
        </w:tc>
      </w:tr>
      <w:tr w:rsidR="002F6C3E" w:rsidRPr="002F6C3E" w14:paraId="438564D4" w14:textId="77777777" w:rsidTr="00D81436">
        <w:tc>
          <w:tcPr>
            <w:tcW w:w="10916" w:type="dxa"/>
          </w:tcPr>
          <w:p w14:paraId="63E41A8E" w14:textId="77777777" w:rsidR="002F6C3E" w:rsidRPr="002F6C3E" w:rsidRDefault="002F6C3E" w:rsidP="002F6C3E">
            <w:pPr>
              <w:rPr>
                <w:rFonts w:eastAsia="Calibri"/>
                <w:b/>
                <w:i/>
                <w:sz w:val="20"/>
                <w:szCs w:val="20"/>
              </w:rPr>
            </w:pPr>
            <w:r w:rsidRPr="002F6C3E">
              <w:rPr>
                <w:rFonts w:eastAsia="Calibri"/>
                <w:b/>
                <w:i/>
                <w:sz w:val="20"/>
                <w:szCs w:val="20"/>
              </w:rPr>
              <w:t>Program Based</w:t>
            </w:r>
          </w:p>
          <w:p w14:paraId="40DB98E5" w14:textId="77777777" w:rsidR="002F6C3E" w:rsidRPr="002F6C3E" w:rsidRDefault="002F6C3E" w:rsidP="002F6C3E">
            <w:pPr>
              <w:rPr>
                <w:rFonts w:eastAsia="Calibri"/>
                <w:sz w:val="20"/>
                <w:szCs w:val="20"/>
              </w:rPr>
            </w:pPr>
            <w:r w:rsidRPr="002F6C3E">
              <w:rPr>
                <w:rFonts w:eastAsia="Calibri"/>
                <w:sz w:val="20"/>
                <w:szCs w:val="20"/>
              </w:rPr>
              <w:t>Participants who have access to a limited range of programs and services offered by the organisation or their affiliated club or association as a participant. This type of participant typically pays a lesser registration fee and participates in programs and services rather than regular competitions.  For example, Rec Footy, AFL 9s, Cardio Tennis, Barefoot bowls</w:t>
            </w:r>
          </w:p>
        </w:tc>
      </w:tr>
      <w:tr w:rsidR="002F6C3E" w:rsidRPr="002F6C3E" w14:paraId="2BE5EFB3" w14:textId="77777777" w:rsidTr="00D81436">
        <w:tc>
          <w:tcPr>
            <w:tcW w:w="10916" w:type="dxa"/>
          </w:tcPr>
          <w:p w14:paraId="6F79F879" w14:textId="77777777" w:rsidR="002F6C3E" w:rsidRPr="002F6C3E" w:rsidRDefault="002F6C3E" w:rsidP="002F6C3E">
            <w:pPr>
              <w:rPr>
                <w:rFonts w:eastAsia="Calibri"/>
                <w:b/>
                <w:i/>
                <w:sz w:val="20"/>
                <w:szCs w:val="20"/>
              </w:rPr>
            </w:pPr>
            <w:r w:rsidRPr="002F6C3E">
              <w:rPr>
                <w:rFonts w:eastAsia="Calibri"/>
                <w:b/>
                <w:i/>
                <w:sz w:val="20"/>
                <w:szCs w:val="20"/>
              </w:rPr>
              <w:t>Events</w:t>
            </w:r>
          </w:p>
          <w:p w14:paraId="353E2388" w14:textId="77777777" w:rsidR="002F6C3E" w:rsidRPr="002F6C3E" w:rsidRDefault="002F6C3E" w:rsidP="002F6C3E">
            <w:pPr>
              <w:rPr>
                <w:rFonts w:eastAsia="Calibri"/>
                <w:sz w:val="20"/>
                <w:szCs w:val="20"/>
              </w:rPr>
            </w:pPr>
            <w:r w:rsidRPr="002F6C3E">
              <w:rPr>
                <w:rFonts w:eastAsia="Calibri"/>
                <w:sz w:val="20"/>
                <w:szCs w:val="20"/>
              </w:rPr>
              <w:t xml:space="preserve">Participants who pay a fee per event to participate in the activity and receive </w:t>
            </w:r>
            <w:proofErr w:type="spellStart"/>
            <w:r w:rsidRPr="002F6C3E">
              <w:rPr>
                <w:rFonts w:eastAsia="Calibri"/>
                <w:sz w:val="20"/>
                <w:szCs w:val="20"/>
              </w:rPr>
              <w:t>Iimited</w:t>
            </w:r>
            <w:proofErr w:type="spellEnd"/>
            <w:r w:rsidRPr="002F6C3E">
              <w:rPr>
                <w:rFonts w:eastAsia="Calibri"/>
                <w:sz w:val="20"/>
                <w:szCs w:val="20"/>
              </w:rPr>
              <w:t xml:space="preserve"> other services (e.g. newsletter) from the organisation. For example: come and try events, lightning carnivals, representative teams, university programs This type of participant pays no formal membership fee and may not have access to programs and service of state organisation.  </w:t>
            </w:r>
          </w:p>
        </w:tc>
      </w:tr>
      <w:tr w:rsidR="002F6C3E" w:rsidRPr="002F6C3E" w14:paraId="00145B27" w14:textId="77777777" w:rsidTr="00D81436">
        <w:tc>
          <w:tcPr>
            <w:tcW w:w="10916" w:type="dxa"/>
          </w:tcPr>
          <w:p w14:paraId="2F2970F5" w14:textId="77777777" w:rsidR="002F6C3E" w:rsidRPr="002F6C3E" w:rsidRDefault="002F6C3E" w:rsidP="002F6C3E">
            <w:pPr>
              <w:rPr>
                <w:rFonts w:eastAsia="Calibri"/>
                <w:b/>
                <w:i/>
                <w:sz w:val="20"/>
                <w:szCs w:val="20"/>
              </w:rPr>
            </w:pPr>
            <w:r w:rsidRPr="002F6C3E">
              <w:rPr>
                <w:rFonts w:eastAsia="Calibri"/>
                <w:b/>
                <w:i/>
                <w:sz w:val="20"/>
                <w:szCs w:val="20"/>
              </w:rPr>
              <w:t>School participants</w:t>
            </w:r>
          </w:p>
          <w:p w14:paraId="63DF330E" w14:textId="77777777" w:rsidR="002F6C3E" w:rsidRPr="002F6C3E" w:rsidRDefault="002F6C3E" w:rsidP="002F6C3E">
            <w:pPr>
              <w:rPr>
                <w:rFonts w:eastAsia="Calibri"/>
                <w:sz w:val="20"/>
                <w:szCs w:val="20"/>
              </w:rPr>
            </w:pPr>
            <w:r w:rsidRPr="002F6C3E">
              <w:rPr>
                <w:rFonts w:eastAsia="Calibri"/>
                <w:sz w:val="20"/>
                <w:szCs w:val="20"/>
              </w:rPr>
              <w:t>Participants involved in events, competitions or programs organised primarily by schools which are not directly affiliated with state organisations.</w:t>
            </w:r>
          </w:p>
          <w:p w14:paraId="04B687F1" w14:textId="77777777" w:rsidR="002F6C3E" w:rsidRPr="002F6C3E" w:rsidRDefault="002F6C3E" w:rsidP="002F6C3E">
            <w:pPr>
              <w:rPr>
                <w:rFonts w:eastAsia="Calibri"/>
                <w:sz w:val="20"/>
                <w:szCs w:val="20"/>
              </w:rPr>
            </w:pPr>
            <w:r w:rsidRPr="002F6C3E">
              <w:rPr>
                <w:rFonts w:eastAsia="Calibri"/>
                <w:sz w:val="20"/>
                <w:szCs w:val="20"/>
              </w:rPr>
              <w:t>For example, Associated Catholic Colleges of WA, School Sport WA</w:t>
            </w:r>
          </w:p>
          <w:p w14:paraId="6989D295" w14:textId="77777777" w:rsidR="002F6C3E" w:rsidRPr="002F6C3E" w:rsidRDefault="002F6C3E" w:rsidP="002F6C3E">
            <w:pPr>
              <w:rPr>
                <w:rFonts w:eastAsia="Calibri"/>
                <w:i/>
                <w:sz w:val="20"/>
                <w:szCs w:val="20"/>
              </w:rPr>
            </w:pPr>
            <w:r w:rsidRPr="002F6C3E">
              <w:rPr>
                <w:rFonts w:eastAsia="Calibri"/>
                <w:i/>
                <w:sz w:val="20"/>
                <w:szCs w:val="20"/>
              </w:rPr>
              <w:t>OR</w:t>
            </w:r>
          </w:p>
          <w:p w14:paraId="67609A82" w14:textId="77777777" w:rsidR="002F6C3E" w:rsidRPr="002F6C3E" w:rsidRDefault="002F6C3E" w:rsidP="002F6C3E">
            <w:pPr>
              <w:rPr>
                <w:rFonts w:eastAsia="Calibri"/>
                <w:sz w:val="20"/>
                <w:szCs w:val="20"/>
              </w:rPr>
            </w:pPr>
            <w:r w:rsidRPr="002F6C3E">
              <w:rPr>
                <w:rFonts w:eastAsia="Calibri"/>
                <w:sz w:val="20"/>
                <w:szCs w:val="20"/>
              </w:rPr>
              <w:t>Participants involved in events, competitions or programs organised primarily by state organisations which may be at school facilities. For example, Eagles Cup</w:t>
            </w:r>
          </w:p>
        </w:tc>
      </w:tr>
      <w:tr w:rsidR="002F6C3E" w:rsidRPr="002F6C3E" w14:paraId="2A9DC0EC" w14:textId="77777777" w:rsidTr="002F6C3E">
        <w:tc>
          <w:tcPr>
            <w:tcW w:w="10916" w:type="dxa"/>
            <w:shd w:val="clear" w:color="auto" w:fill="E7E6E6"/>
          </w:tcPr>
          <w:p w14:paraId="27F98631" w14:textId="77777777" w:rsidR="002F6C3E" w:rsidRPr="002F6C3E" w:rsidRDefault="002F6C3E" w:rsidP="002F6C3E">
            <w:pPr>
              <w:rPr>
                <w:rFonts w:eastAsia="Calibri"/>
                <w:b/>
                <w:i/>
                <w:sz w:val="20"/>
                <w:szCs w:val="20"/>
              </w:rPr>
            </w:pPr>
            <w:r w:rsidRPr="002F6C3E">
              <w:rPr>
                <w:rFonts w:eastAsia="Calibri"/>
                <w:b/>
                <w:i/>
                <w:sz w:val="20"/>
                <w:szCs w:val="20"/>
              </w:rPr>
              <w:t>Membership:</w:t>
            </w:r>
          </w:p>
        </w:tc>
      </w:tr>
      <w:tr w:rsidR="002F6C3E" w:rsidRPr="002F6C3E" w14:paraId="4E86C9EE" w14:textId="77777777" w:rsidTr="00D81436">
        <w:tc>
          <w:tcPr>
            <w:tcW w:w="10916" w:type="dxa"/>
          </w:tcPr>
          <w:p w14:paraId="00FEEAEA" w14:textId="77777777" w:rsidR="002F6C3E" w:rsidRPr="002F6C3E" w:rsidRDefault="002F6C3E" w:rsidP="002F6C3E">
            <w:pPr>
              <w:rPr>
                <w:rFonts w:eastAsia="Calibri"/>
                <w:sz w:val="20"/>
                <w:szCs w:val="20"/>
              </w:rPr>
            </w:pPr>
            <w:r w:rsidRPr="002F6C3E">
              <w:rPr>
                <w:rFonts w:eastAsia="Calibri"/>
                <w:sz w:val="20"/>
                <w:szCs w:val="20"/>
              </w:rPr>
              <w:t>Full Active Members - Members who have access to the full range of programs and services offered by the organisation or their affiliated club or association, as a participant, coach or official. This type of member typically pays full registration fees and participates actively in programs and services. This is further broken down into entry-</w:t>
            </w:r>
            <w:proofErr w:type="spellStart"/>
            <w:r w:rsidRPr="002F6C3E">
              <w:rPr>
                <w:rFonts w:eastAsia="Calibri"/>
                <w:sz w:val="20"/>
                <w:szCs w:val="20"/>
              </w:rPr>
              <w:t>Ievel</w:t>
            </w:r>
            <w:proofErr w:type="spellEnd"/>
            <w:r w:rsidRPr="002F6C3E">
              <w:rPr>
                <w:rFonts w:eastAsia="Calibri"/>
                <w:sz w:val="20"/>
                <w:szCs w:val="20"/>
              </w:rPr>
              <w:t xml:space="preserve"> products, junior and/or youth competition, senior competitions, </w:t>
            </w:r>
            <w:proofErr w:type="gramStart"/>
            <w:r w:rsidRPr="002F6C3E">
              <w:rPr>
                <w:rFonts w:eastAsia="Calibri"/>
                <w:sz w:val="20"/>
                <w:szCs w:val="20"/>
              </w:rPr>
              <w:t>masters</w:t>
            </w:r>
            <w:proofErr w:type="gramEnd"/>
            <w:r w:rsidRPr="002F6C3E">
              <w:rPr>
                <w:rFonts w:eastAsia="Calibri"/>
                <w:sz w:val="20"/>
                <w:szCs w:val="20"/>
              </w:rPr>
              <w:t xml:space="preserve"> competitions, coaches and officials.</w:t>
            </w:r>
          </w:p>
        </w:tc>
      </w:tr>
    </w:tbl>
    <w:p w14:paraId="23FD8EC6" w14:textId="77777777" w:rsidR="002F6C3E" w:rsidRPr="002F6C3E" w:rsidRDefault="002F6C3E" w:rsidP="002F6C3E">
      <w:pPr>
        <w:spacing w:after="160" w:line="259" w:lineRule="auto"/>
        <w:jc w:val="left"/>
        <w:rPr>
          <w:rFonts w:eastAsia="Calibri"/>
        </w:rPr>
      </w:pPr>
    </w:p>
    <w:tbl>
      <w:tblPr>
        <w:tblStyle w:val="TableGrid1"/>
        <w:tblW w:w="10774" w:type="dxa"/>
        <w:tblInd w:w="-856" w:type="dxa"/>
        <w:tblLook w:val="04A0" w:firstRow="1" w:lastRow="0" w:firstColumn="1" w:lastColumn="0" w:noHBand="0" w:noVBand="1"/>
      </w:tblPr>
      <w:tblGrid>
        <w:gridCol w:w="10774"/>
      </w:tblGrid>
      <w:tr w:rsidR="002F6C3E" w:rsidRPr="002F6C3E" w14:paraId="2B823190" w14:textId="77777777" w:rsidTr="002F6C3E">
        <w:tc>
          <w:tcPr>
            <w:tcW w:w="10774" w:type="dxa"/>
            <w:shd w:val="clear" w:color="auto" w:fill="FFF2CC"/>
          </w:tcPr>
          <w:p w14:paraId="515B02AB" w14:textId="77777777" w:rsidR="002F6C3E" w:rsidRPr="002F6C3E" w:rsidRDefault="002F6C3E" w:rsidP="002F6C3E">
            <w:pPr>
              <w:jc w:val="left"/>
              <w:rPr>
                <w:rFonts w:eastAsia="Calibri"/>
                <w:b/>
                <w:sz w:val="24"/>
                <w:szCs w:val="24"/>
              </w:rPr>
            </w:pPr>
            <w:r w:rsidRPr="002F6C3E">
              <w:rPr>
                <w:rFonts w:eastAsia="Calibri"/>
                <w:b/>
                <w:sz w:val="24"/>
                <w:szCs w:val="24"/>
              </w:rPr>
              <w:t>High Performance / Pathways</w:t>
            </w:r>
          </w:p>
        </w:tc>
      </w:tr>
      <w:tr w:rsidR="002F6C3E" w:rsidRPr="002F6C3E" w14:paraId="6928BA85" w14:textId="77777777" w:rsidTr="002F6C3E">
        <w:tc>
          <w:tcPr>
            <w:tcW w:w="10774" w:type="dxa"/>
            <w:shd w:val="clear" w:color="auto" w:fill="E7E6E6"/>
          </w:tcPr>
          <w:p w14:paraId="3CB43A2E" w14:textId="77777777" w:rsidR="002F6C3E" w:rsidRPr="002F6C3E" w:rsidRDefault="002F6C3E" w:rsidP="002F6C3E">
            <w:pPr>
              <w:jc w:val="left"/>
              <w:rPr>
                <w:rFonts w:eastAsia="Calibri"/>
                <w:b/>
                <w:i/>
                <w:sz w:val="20"/>
                <w:szCs w:val="20"/>
              </w:rPr>
            </w:pPr>
            <w:r w:rsidRPr="002F6C3E">
              <w:rPr>
                <w:rFonts w:eastAsia="Calibri"/>
                <w:b/>
                <w:i/>
                <w:sz w:val="20"/>
                <w:szCs w:val="20"/>
              </w:rPr>
              <w:t>WAIS/Winning Edge:</w:t>
            </w:r>
          </w:p>
        </w:tc>
      </w:tr>
      <w:tr w:rsidR="002F6C3E" w:rsidRPr="002F6C3E" w14:paraId="3E2DC8BA" w14:textId="77777777" w:rsidTr="00D81436">
        <w:tc>
          <w:tcPr>
            <w:tcW w:w="10774" w:type="dxa"/>
          </w:tcPr>
          <w:p w14:paraId="5A8868EA" w14:textId="77777777" w:rsidR="002F6C3E" w:rsidRPr="002F6C3E" w:rsidRDefault="002F6C3E" w:rsidP="002F6C3E">
            <w:pPr>
              <w:rPr>
                <w:rFonts w:eastAsia="Calibri"/>
                <w:sz w:val="20"/>
                <w:szCs w:val="20"/>
              </w:rPr>
            </w:pPr>
            <w:r w:rsidRPr="002F6C3E">
              <w:rPr>
                <w:rFonts w:eastAsia="Calibri"/>
                <w:sz w:val="20"/>
                <w:szCs w:val="20"/>
              </w:rPr>
              <w:t xml:space="preserve">Sport is </w:t>
            </w:r>
            <w:proofErr w:type="gramStart"/>
            <w:r w:rsidRPr="002F6C3E">
              <w:rPr>
                <w:rFonts w:eastAsia="Calibri"/>
                <w:sz w:val="20"/>
                <w:szCs w:val="20"/>
              </w:rPr>
              <w:t>has</w:t>
            </w:r>
            <w:proofErr w:type="gramEnd"/>
            <w:r w:rsidRPr="002F6C3E">
              <w:rPr>
                <w:rFonts w:eastAsia="Calibri"/>
                <w:sz w:val="20"/>
                <w:szCs w:val="20"/>
              </w:rPr>
              <w:t xml:space="preserve"> a WAIS program or WAIS provides individual scholarships or services and/or the National Sporting Organisation receives HP funding from Sport Australia.</w:t>
            </w:r>
          </w:p>
        </w:tc>
      </w:tr>
      <w:tr w:rsidR="002F6C3E" w:rsidRPr="002F6C3E" w14:paraId="59F7F653" w14:textId="77777777" w:rsidTr="002F6C3E">
        <w:tc>
          <w:tcPr>
            <w:tcW w:w="10774" w:type="dxa"/>
            <w:shd w:val="clear" w:color="auto" w:fill="E7E6E6"/>
          </w:tcPr>
          <w:p w14:paraId="7D7A5ABD" w14:textId="77777777" w:rsidR="002F6C3E" w:rsidRPr="002F6C3E" w:rsidRDefault="002F6C3E" w:rsidP="002F6C3E">
            <w:pPr>
              <w:rPr>
                <w:rFonts w:eastAsia="Calibri"/>
                <w:sz w:val="20"/>
                <w:szCs w:val="20"/>
              </w:rPr>
            </w:pPr>
            <w:r w:rsidRPr="002F6C3E">
              <w:rPr>
                <w:rFonts w:eastAsia="Calibri"/>
                <w:b/>
                <w:i/>
                <w:sz w:val="20"/>
                <w:szCs w:val="20"/>
              </w:rPr>
              <w:t>Olympic/Paralympic/CTH:</w:t>
            </w:r>
          </w:p>
        </w:tc>
      </w:tr>
      <w:tr w:rsidR="002F6C3E" w:rsidRPr="002F6C3E" w14:paraId="75B12879" w14:textId="77777777" w:rsidTr="00D81436">
        <w:tc>
          <w:tcPr>
            <w:tcW w:w="10774" w:type="dxa"/>
          </w:tcPr>
          <w:p w14:paraId="18B1BD20" w14:textId="77777777" w:rsidR="002F6C3E" w:rsidRPr="002F6C3E" w:rsidRDefault="002F6C3E" w:rsidP="002F6C3E">
            <w:pPr>
              <w:rPr>
                <w:rFonts w:eastAsia="Calibri"/>
                <w:sz w:val="20"/>
                <w:szCs w:val="20"/>
              </w:rPr>
            </w:pPr>
            <w:r w:rsidRPr="002F6C3E">
              <w:rPr>
                <w:rFonts w:eastAsia="Calibri"/>
                <w:sz w:val="20"/>
                <w:szCs w:val="20"/>
              </w:rPr>
              <w:t>Sport competes at one or all these events.  Develop and implement a High-Performance Plan with clear systems, pathways and programs for athletes, coaches and officials who have the potential to achieve sporting excellence.</w:t>
            </w:r>
          </w:p>
        </w:tc>
      </w:tr>
      <w:tr w:rsidR="002F6C3E" w:rsidRPr="002F6C3E" w14:paraId="1D4E4CD2" w14:textId="77777777" w:rsidTr="002F6C3E">
        <w:tc>
          <w:tcPr>
            <w:tcW w:w="10774" w:type="dxa"/>
            <w:shd w:val="clear" w:color="auto" w:fill="E7E6E6"/>
          </w:tcPr>
          <w:p w14:paraId="286A9E79" w14:textId="77777777" w:rsidR="002F6C3E" w:rsidRPr="002F6C3E" w:rsidRDefault="002F6C3E" w:rsidP="002F6C3E">
            <w:pPr>
              <w:rPr>
                <w:rFonts w:eastAsia="Calibri"/>
                <w:b/>
                <w:i/>
                <w:sz w:val="20"/>
                <w:szCs w:val="20"/>
              </w:rPr>
            </w:pPr>
            <w:r w:rsidRPr="002F6C3E">
              <w:rPr>
                <w:rFonts w:eastAsia="Calibri"/>
                <w:b/>
                <w:i/>
                <w:sz w:val="20"/>
                <w:szCs w:val="20"/>
              </w:rPr>
              <w:t>World Championship/Cup:</w:t>
            </w:r>
          </w:p>
        </w:tc>
      </w:tr>
      <w:tr w:rsidR="002F6C3E" w:rsidRPr="002F6C3E" w14:paraId="0CC320AA" w14:textId="77777777" w:rsidTr="002F6C3E">
        <w:tc>
          <w:tcPr>
            <w:tcW w:w="10774" w:type="dxa"/>
            <w:shd w:val="clear" w:color="auto" w:fill="FFFFFF"/>
          </w:tcPr>
          <w:p w14:paraId="5FE5C4FE" w14:textId="77777777" w:rsidR="002F6C3E" w:rsidRPr="002F6C3E" w:rsidRDefault="002F6C3E" w:rsidP="002F6C3E">
            <w:pPr>
              <w:rPr>
                <w:rFonts w:eastAsia="Calibri"/>
                <w:sz w:val="20"/>
                <w:szCs w:val="20"/>
              </w:rPr>
            </w:pPr>
            <w:r w:rsidRPr="002F6C3E">
              <w:rPr>
                <w:rFonts w:eastAsia="Calibri"/>
                <w:sz w:val="20"/>
                <w:szCs w:val="20"/>
              </w:rPr>
              <w:t>Sport competes at a World Championship/Cup</w:t>
            </w:r>
          </w:p>
        </w:tc>
      </w:tr>
      <w:tr w:rsidR="002F6C3E" w:rsidRPr="002F6C3E" w14:paraId="163FAAEE" w14:textId="77777777" w:rsidTr="002F6C3E">
        <w:tc>
          <w:tcPr>
            <w:tcW w:w="10774" w:type="dxa"/>
            <w:shd w:val="clear" w:color="auto" w:fill="E7E6E6"/>
          </w:tcPr>
          <w:p w14:paraId="34C8CBD0" w14:textId="77777777" w:rsidR="002F6C3E" w:rsidRPr="002F6C3E" w:rsidRDefault="002F6C3E" w:rsidP="002F6C3E">
            <w:pPr>
              <w:rPr>
                <w:rFonts w:eastAsia="Calibri"/>
                <w:b/>
                <w:i/>
                <w:sz w:val="20"/>
                <w:szCs w:val="20"/>
              </w:rPr>
            </w:pPr>
            <w:r w:rsidRPr="002F6C3E">
              <w:rPr>
                <w:rFonts w:eastAsia="Calibri"/>
                <w:b/>
                <w:i/>
                <w:sz w:val="20"/>
                <w:szCs w:val="20"/>
              </w:rPr>
              <w:t>International Major Event Hosting:</w:t>
            </w:r>
          </w:p>
        </w:tc>
      </w:tr>
      <w:tr w:rsidR="002F6C3E" w:rsidRPr="002F6C3E" w14:paraId="783A29EB" w14:textId="77777777" w:rsidTr="00D81436">
        <w:tc>
          <w:tcPr>
            <w:tcW w:w="10774" w:type="dxa"/>
          </w:tcPr>
          <w:p w14:paraId="238D2110" w14:textId="77777777" w:rsidR="002F6C3E" w:rsidRPr="002F6C3E" w:rsidRDefault="002F6C3E" w:rsidP="002F6C3E">
            <w:pPr>
              <w:rPr>
                <w:rFonts w:eastAsia="Calibri"/>
                <w:sz w:val="20"/>
                <w:szCs w:val="20"/>
              </w:rPr>
            </w:pPr>
            <w:r w:rsidRPr="002F6C3E">
              <w:rPr>
                <w:rFonts w:eastAsia="Calibri"/>
                <w:sz w:val="20"/>
                <w:szCs w:val="20"/>
              </w:rPr>
              <w:t>Sport hosts International Major Event annually/bi-annually</w:t>
            </w:r>
          </w:p>
        </w:tc>
      </w:tr>
      <w:tr w:rsidR="002F6C3E" w:rsidRPr="002F6C3E" w14:paraId="0D2B0E55" w14:textId="77777777" w:rsidTr="002F6C3E">
        <w:tc>
          <w:tcPr>
            <w:tcW w:w="10774" w:type="dxa"/>
            <w:shd w:val="clear" w:color="auto" w:fill="E7E6E6"/>
          </w:tcPr>
          <w:p w14:paraId="6A6704AB" w14:textId="77777777" w:rsidR="002F6C3E" w:rsidRPr="002F6C3E" w:rsidRDefault="002F6C3E" w:rsidP="002F6C3E">
            <w:pPr>
              <w:rPr>
                <w:rFonts w:eastAsia="Calibri"/>
                <w:sz w:val="20"/>
                <w:szCs w:val="20"/>
              </w:rPr>
            </w:pPr>
            <w:r w:rsidRPr="002F6C3E">
              <w:rPr>
                <w:rFonts w:eastAsia="Calibri"/>
                <w:b/>
                <w:i/>
                <w:sz w:val="20"/>
                <w:szCs w:val="20"/>
              </w:rPr>
              <w:t>National Championship Participation:</w:t>
            </w:r>
          </w:p>
        </w:tc>
      </w:tr>
      <w:tr w:rsidR="002F6C3E" w:rsidRPr="002F6C3E" w14:paraId="4D94B1CA" w14:textId="77777777" w:rsidTr="00D81436">
        <w:tc>
          <w:tcPr>
            <w:tcW w:w="10774" w:type="dxa"/>
          </w:tcPr>
          <w:p w14:paraId="47D1902C" w14:textId="77777777" w:rsidR="002F6C3E" w:rsidRPr="002F6C3E" w:rsidRDefault="002F6C3E" w:rsidP="002F6C3E">
            <w:pPr>
              <w:rPr>
                <w:rFonts w:eastAsia="Calibri"/>
                <w:sz w:val="20"/>
                <w:szCs w:val="20"/>
              </w:rPr>
            </w:pPr>
            <w:r w:rsidRPr="002F6C3E">
              <w:rPr>
                <w:rFonts w:eastAsia="Calibri"/>
                <w:sz w:val="20"/>
                <w:szCs w:val="20"/>
              </w:rPr>
              <w:t>Sport participates at all levels of National Championship events and provides pathways for athletes.</w:t>
            </w:r>
          </w:p>
        </w:tc>
      </w:tr>
      <w:tr w:rsidR="002F6C3E" w:rsidRPr="002F6C3E" w14:paraId="1F49FDF1" w14:textId="77777777" w:rsidTr="002F6C3E">
        <w:tc>
          <w:tcPr>
            <w:tcW w:w="10774" w:type="dxa"/>
            <w:shd w:val="clear" w:color="auto" w:fill="E7E6E6"/>
          </w:tcPr>
          <w:p w14:paraId="5C756900" w14:textId="77777777" w:rsidR="002F6C3E" w:rsidRPr="002F6C3E" w:rsidRDefault="002F6C3E" w:rsidP="002F6C3E">
            <w:pPr>
              <w:rPr>
                <w:rFonts w:eastAsia="Calibri"/>
                <w:sz w:val="20"/>
                <w:szCs w:val="20"/>
              </w:rPr>
            </w:pPr>
            <w:r w:rsidRPr="002F6C3E">
              <w:rPr>
                <w:rFonts w:eastAsia="Calibri"/>
                <w:b/>
                <w:i/>
                <w:sz w:val="20"/>
                <w:szCs w:val="20"/>
              </w:rPr>
              <w:t>National Event Hosting (open and juniors):</w:t>
            </w:r>
          </w:p>
        </w:tc>
      </w:tr>
      <w:tr w:rsidR="002F6C3E" w:rsidRPr="002F6C3E" w14:paraId="322E67FF" w14:textId="77777777" w:rsidTr="00D81436">
        <w:tc>
          <w:tcPr>
            <w:tcW w:w="10774" w:type="dxa"/>
          </w:tcPr>
          <w:p w14:paraId="749FD154" w14:textId="77777777" w:rsidR="002F6C3E" w:rsidRPr="002F6C3E" w:rsidRDefault="002F6C3E" w:rsidP="002F6C3E">
            <w:pPr>
              <w:rPr>
                <w:rFonts w:eastAsia="Calibri"/>
                <w:sz w:val="20"/>
                <w:szCs w:val="20"/>
              </w:rPr>
            </w:pPr>
            <w:r w:rsidRPr="002F6C3E">
              <w:rPr>
                <w:rFonts w:eastAsia="Calibri"/>
                <w:sz w:val="20"/>
                <w:szCs w:val="20"/>
              </w:rPr>
              <w:t>Sport has capacity and hosts both/either open or junior National Events</w:t>
            </w:r>
          </w:p>
        </w:tc>
      </w:tr>
      <w:tr w:rsidR="002F6C3E" w:rsidRPr="002F6C3E" w14:paraId="101EA4AC" w14:textId="77777777" w:rsidTr="002F6C3E">
        <w:tc>
          <w:tcPr>
            <w:tcW w:w="10774" w:type="dxa"/>
            <w:shd w:val="clear" w:color="auto" w:fill="E7E6E6"/>
          </w:tcPr>
          <w:p w14:paraId="39586B71" w14:textId="77777777" w:rsidR="002F6C3E" w:rsidRPr="002F6C3E" w:rsidRDefault="002F6C3E" w:rsidP="002F6C3E">
            <w:pPr>
              <w:rPr>
                <w:rFonts w:eastAsia="Calibri"/>
                <w:b/>
                <w:i/>
                <w:sz w:val="20"/>
                <w:szCs w:val="20"/>
              </w:rPr>
            </w:pPr>
            <w:r w:rsidRPr="002F6C3E">
              <w:rPr>
                <w:rFonts w:eastAsia="Calibri"/>
                <w:b/>
                <w:i/>
                <w:sz w:val="20"/>
                <w:szCs w:val="20"/>
              </w:rPr>
              <w:t>Junior and Senior Base:</w:t>
            </w:r>
          </w:p>
        </w:tc>
      </w:tr>
      <w:tr w:rsidR="002F6C3E" w:rsidRPr="002F6C3E" w14:paraId="5121E997" w14:textId="77777777" w:rsidTr="00D81436">
        <w:tc>
          <w:tcPr>
            <w:tcW w:w="10774" w:type="dxa"/>
          </w:tcPr>
          <w:p w14:paraId="02A00D11" w14:textId="77777777" w:rsidR="002F6C3E" w:rsidRPr="002F6C3E" w:rsidRDefault="002F6C3E" w:rsidP="002F6C3E">
            <w:pPr>
              <w:rPr>
                <w:rFonts w:eastAsia="Calibri"/>
                <w:sz w:val="20"/>
                <w:szCs w:val="20"/>
              </w:rPr>
            </w:pPr>
            <w:r w:rsidRPr="002F6C3E">
              <w:rPr>
                <w:rFonts w:eastAsia="Calibri"/>
                <w:sz w:val="20"/>
                <w:szCs w:val="20"/>
              </w:rPr>
              <w:t>Sport provides pathways for both junior and senior participants that align with National Sporting Organisation.</w:t>
            </w:r>
          </w:p>
        </w:tc>
      </w:tr>
      <w:tr w:rsidR="002F6C3E" w:rsidRPr="002F6C3E" w14:paraId="506405F9" w14:textId="77777777" w:rsidTr="002F6C3E">
        <w:tc>
          <w:tcPr>
            <w:tcW w:w="10774" w:type="dxa"/>
            <w:shd w:val="clear" w:color="auto" w:fill="E7E6E6"/>
          </w:tcPr>
          <w:p w14:paraId="1D0B2A57" w14:textId="77777777" w:rsidR="002F6C3E" w:rsidRPr="002F6C3E" w:rsidRDefault="002F6C3E" w:rsidP="002F6C3E">
            <w:pPr>
              <w:rPr>
                <w:rFonts w:eastAsia="Calibri"/>
                <w:b/>
                <w:i/>
                <w:sz w:val="20"/>
                <w:szCs w:val="20"/>
              </w:rPr>
            </w:pPr>
            <w:r w:rsidRPr="002F6C3E">
              <w:rPr>
                <w:rFonts w:eastAsia="Calibri"/>
                <w:b/>
                <w:i/>
                <w:sz w:val="20"/>
                <w:szCs w:val="20"/>
              </w:rPr>
              <w:t>Coach/Official</w:t>
            </w:r>
          </w:p>
        </w:tc>
      </w:tr>
      <w:tr w:rsidR="002F6C3E" w:rsidRPr="002F6C3E" w14:paraId="22A3634E" w14:textId="77777777" w:rsidTr="00D81436">
        <w:tc>
          <w:tcPr>
            <w:tcW w:w="10774" w:type="dxa"/>
          </w:tcPr>
          <w:p w14:paraId="28460E68" w14:textId="77777777" w:rsidR="002F6C3E" w:rsidRPr="002F6C3E" w:rsidRDefault="002F6C3E" w:rsidP="002F6C3E">
            <w:pPr>
              <w:rPr>
                <w:rFonts w:eastAsia="Calibri"/>
                <w:sz w:val="20"/>
                <w:szCs w:val="20"/>
              </w:rPr>
            </w:pPr>
            <w:r w:rsidRPr="002F6C3E">
              <w:rPr>
                <w:rFonts w:eastAsia="Calibri"/>
                <w:sz w:val="20"/>
                <w:szCs w:val="20"/>
              </w:rPr>
              <w:t>Sport provides pathways for coaches and officials that align with National Sporting Organisation</w:t>
            </w:r>
          </w:p>
        </w:tc>
      </w:tr>
    </w:tbl>
    <w:p w14:paraId="712571AA" w14:textId="77777777" w:rsidR="002F6C3E" w:rsidRPr="002F6C3E" w:rsidRDefault="002F6C3E" w:rsidP="002F6C3E">
      <w:pPr>
        <w:spacing w:after="160" w:line="259" w:lineRule="auto"/>
        <w:jc w:val="left"/>
        <w:rPr>
          <w:rFonts w:eastAsia="Calibri"/>
        </w:rPr>
      </w:pPr>
    </w:p>
    <w:tbl>
      <w:tblPr>
        <w:tblStyle w:val="TableGrid1"/>
        <w:tblW w:w="10916" w:type="dxa"/>
        <w:tblInd w:w="-856" w:type="dxa"/>
        <w:tblLook w:val="04A0" w:firstRow="1" w:lastRow="0" w:firstColumn="1" w:lastColumn="0" w:noHBand="0" w:noVBand="1"/>
      </w:tblPr>
      <w:tblGrid>
        <w:gridCol w:w="10916"/>
      </w:tblGrid>
      <w:tr w:rsidR="002F6C3E" w:rsidRPr="002F6C3E" w14:paraId="734892E9" w14:textId="77777777" w:rsidTr="002F6C3E">
        <w:tc>
          <w:tcPr>
            <w:tcW w:w="10916" w:type="dxa"/>
            <w:shd w:val="clear" w:color="auto" w:fill="FFF2CC"/>
          </w:tcPr>
          <w:p w14:paraId="448667CA" w14:textId="77777777" w:rsidR="002F6C3E" w:rsidRPr="002F6C3E" w:rsidRDefault="002F6C3E" w:rsidP="002F6C3E">
            <w:pPr>
              <w:jc w:val="left"/>
              <w:rPr>
                <w:rFonts w:eastAsia="Calibri"/>
                <w:b/>
                <w:sz w:val="24"/>
                <w:szCs w:val="24"/>
              </w:rPr>
            </w:pPr>
            <w:r w:rsidRPr="002F6C3E">
              <w:rPr>
                <w:rFonts w:eastAsia="Calibri"/>
                <w:b/>
                <w:sz w:val="24"/>
                <w:szCs w:val="24"/>
              </w:rPr>
              <w:t>Regional Delivery</w:t>
            </w:r>
          </w:p>
        </w:tc>
      </w:tr>
      <w:tr w:rsidR="002F6C3E" w:rsidRPr="002F6C3E" w14:paraId="1D442419" w14:textId="77777777" w:rsidTr="002F6C3E">
        <w:tc>
          <w:tcPr>
            <w:tcW w:w="10916" w:type="dxa"/>
            <w:shd w:val="clear" w:color="auto" w:fill="E7E6E6"/>
          </w:tcPr>
          <w:p w14:paraId="4238EF61" w14:textId="77777777" w:rsidR="002F6C3E" w:rsidRPr="002F6C3E" w:rsidRDefault="002F6C3E" w:rsidP="002F6C3E">
            <w:pPr>
              <w:rPr>
                <w:rFonts w:eastAsia="Calibri"/>
                <w:b/>
                <w:i/>
                <w:sz w:val="20"/>
                <w:szCs w:val="20"/>
              </w:rPr>
            </w:pPr>
            <w:r w:rsidRPr="002F6C3E">
              <w:rPr>
                <w:rFonts w:eastAsia="Calibri"/>
                <w:b/>
                <w:i/>
                <w:sz w:val="20"/>
                <w:szCs w:val="20"/>
              </w:rPr>
              <w:t>Regional Services:</w:t>
            </w:r>
          </w:p>
        </w:tc>
      </w:tr>
      <w:tr w:rsidR="002F6C3E" w:rsidRPr="002F6C3E" w14:paraId="1DB2B954" w14:textId="77777777" w:rsidTr="00D81436">
        <w:tc>
          <w:tcPr>
            <w:tcW w:w="10916" w:type="dxa"/>
          </w:tcPr>
          <w:p w14:paraId="5A298DF9" w14:textId="77777777" w:rsidR="002F6C3E" w:rsidRPr="002F6C3E" w:rsidRDefault="002F6C3E" w:rsidP="002F6C3E">
            <w:pPr>
              <w:rPr>
                <w:rFonts w:eastAsia="Calibri"/>
                <w:sz w:val="20"/>
                <w:szCs w:val="20"/>
              </w:rPr>
            </w:pPr>
            <w:r w:rsidRPr="002F6C3E">
              <w:rPr>
                <w:rFonts w:eastAsia="Calibri"/>
                <w:sz w:val="20"/>
                <w:szCs w:val="20"/>
              </w:rPr>
              <w:t>Organisation has regional representation through affiliated clubs (refer to Category Matrix).</w:t>
            </w:r>
          </w:p>
          <w:p w14:paraId="073880D2" w14:textId="77777777" w:rsidR="002F6C3E" w:rsidRPr="002F6C3E" w:rsidRDefault="002F6C3E" w:rsidP="002F6C3E">
            <w:pPr>
              <w:rPr>
                <w:rFonts w:eastAsia="Calibri"/>
                <w:sz w:val="20"/>
                <w:szCs w:val="20"/>
              </w:rPr>
            </w:pPr>
            <w:r w:rsidRPr="002F6C3E">
              <w:rPr>
                <w:rFonts w:eastAsia="Calibri"/>
                <w:sz w:val="20"/>
                <w:szCs w:val="20"/>
              </w:rPr>
              <w:t xml:space="preserve">A Regional Development Plan and/or Regional Servicing Plan has been developed/implemented that is aligned to state and national direction and meets local needs.  </w:t>
            </w:r>
          </w:p>
        </w:tc>
      </w:tr>
    </w:tbl>
    <w:p w14:paraId="6C7C9877" w14:textId="77777777" w:rsidR="002F6C3E" w:rsidRPr="002F6C3E" w:rsidRDefault="002F6C3E" w:rsidP="002F6C3E">
      <w:pPr>
        <w:spacing w:after="160" w:line="259" w:lineRule="auto"/>
        <w:jc w:val="left"/>
        <w:rPr>
          <w:rFonts w:eastAsia="Calibri"/>
        </w:rPr>
      </w:pPr>
    </w:p>
    <w:p w14:paraId="21FB224F" w14:textId="10912E36" w:rsidR="002F6C3E" w:rsidRDefault="002F6C3E" w:rsidP="002F6C3E">
      <w:pPr>
        <w:spacing w:after="160" w:line="259" w:lineRule="auto"/>
        <w:jc w:val="left"/>
        <w:rPr>
          <w:rFonts w:eastAsia="Calibri"/>
        </w:rPr>
      </w:pPr>
    </w:p>
    <w:p w14:paraId="2CA67A47" w14:textId="77777777" w:rsidR="00BD6EB2" w:rsidRPr="002F6C3E" w:rsidRDefault="00BD6EB2" w:rsidP="002F6C3E">
      <w:pPr>
        <w:spacing w:after="160" w:line="259" w:lineRule="auto"/>
        <w:jc w:val="left"/>
        <w:rPr>
          <w:rFonts w:eastAsia="Calibri"/>
        </w:rPr>
      </w:pPr>
    </w:p>
    <w:tbl>
      <w:tblPr>
        <w:tblStyle w:val="TableGrid1"/>
        <w:tblW w:w="10774" w:type="dxa"/>
        <w:tblInd w:w="-856" w:type="dxa"/>
        <w:tblLook w:val="04A0" w:firstRow="1" w:lastRow="0" w:firstColumn="1" w:lastColumn="0" w:noHBand="0" w:noVBand="1"/>
      </w:tblPr>
      <w:tblGrid>
        <w:gridCol w:w="10774"/>
      </w:tblGrid>
      <w:tr w:rsidR="002F6C3E" w:rsidRPr="002F6C3E" w14:paraId="1061AEBE" w14:textId="77777777" w:rsidTr="002F6C3E">
        <w:tc>
          <w:tcPr>
            <w:tcW w:w="10774" w:type="dxa"/>
            <w:shd w:val="clear" w:color="auto" w:fill="FFF2CC"/>
          </w:tcPr>
          <w:p w14:paraId="3A60030C" w14:textId="77777777" w:rsidR="002F6C3E" w:rsidRPr="002F6C3E" w:rsidRDefault="002F6C3E" w:rsidP="002F6C3E">
            <w:pPr>
              <w:jc w:val="left"/>
              <w:rPr>
                <w:rFonts w:eastAsia="Calibri"/>
                <w:b/>
                <w:sz w:val="24"/>
                <w:szCs w:val="24"/>
              </w:rPr>
            </w:pPr>
            <w:r w:rsidRPr="002F6C3E">
              <w:rPr>
                <w:rFonts w:eastAsia="Calibri"/>
                <w:b/>
                <w:sz w:val="24"/>
                <w:szCs w:val="24"/>
              </w:rPr>
              <w:lastRenderedPageBreak/>
              <w:t>Community Reach / Programming</w:t>
            </w:r>
          </w:p>
        </w:tc>
      </w:tr>
      <w:tr w:rsidR="002F6C3E" w:rsidRPr="002F6C3E" w14:paraId="6037EC04" w14:textId="77777777" w:rsidTr="002F6C3E">
        <w:tc>
          <w:tcPr>
            <w:tcW w:w="10774" w:type="dxa"/>
            <w:shd w:val="clear" w:color="auto" w:fill="E7E6E6"/>
          </w:tcPr>
          <w:p w14:paraId="0E79582A" w14:textId="77777777" w:rsidR="002F6C3E" w:rsidRPr="002F6C3E" w:rsidRDefault="002F6C3E" w:rsidP="002F6C3E">
            <w:pPr>
              <w:rPr>
                <w:rFonts w:eastAsia="Calibri"/>
                <w:sz w:val="20"/>
                <w:szCs w:val="20"/>
              </w:rPr>
            </w:pPr>
            <w:r w:rsidRPr="002F6C3E">
              <w:rPr>
                <w:rFonts w:eastAsia="Calibri"/>
                <w:b/>
                <w:i/>
                <w:sz w:val="20"/>
                <w:szCs w:val="20"/>
              </w:rPr>
              <w:t>National Product delivered in schools:</w:t>
            </w:r>
          </w:p>
        </w:tc>
      </w:tr>
      <w:tr w:rsidR="002F6C3E" w:rsidRPr="002F6C3E" w14:paraId="455B2047" w14:textId="77777777" w:rsidTr="00D81436">
        <w:tc>
          <w:tcPr>
            <w:tcW w:w="10774" w:type="dxa"/>
          </w:tcPr>
          <w:p w14:paraId="5C664E76" w14:textId="77777777" w:rsidR="002F6C3E" w:rsidRPr="002F6C3E" w:rsidRDefault="002F6C3E" w:rsidP="002F6C3E">
            <w:pPr>
              <w:rPr>
                <w:rFonts w:eastAsia="Calibri"/>
                <w:sz w:val="20"/>
                <w:szCs w:val="20"/>
              </w:rPr>
            </w:pPr>
            <w:r w:rsidRPr="002F6C3E">
              <w:rPr>
                <w:rFonts w:eastAsia="Calibri"/>
                <w:sz w:val="20"/>
                <w:szCs w:val="20"/>
              </w:rPr>
              <w:t>The NSO has a national program/commercialised product that is delivered through SSA’s, across the country</w:t>
            </w:r>
          </w:p>
          <w:p w14:paraId="5BDCEC1E" w14:textId="77777777" w:rsidR="002F6C3E" w:rsidRPr="002F6C3E" w:rsidRDefault="002F6C3E" w:rsidP="002F6C3E">
            <w:pPr>
              <w:rPr>
                <w:rFonts w:eastAsia="Calibri"/>
                <w:sz w:val="20"/>
                <w:szCs w:val="20"/>
              </w:rPr>
            </w:pPr>
            <w:r w:rsidRPr="002F6C3E">
              <w:rPr>
                <w:rFonts w:eastAsia="Calibri"/>
                <w:sz w:val="20"/>
                <w:szCs w:val="20"/>
              </w:rPr>
              <w:t xml:space="preserve"> </w:t>
            </w:r>
            <w:proofErr w:type="spellStart"/>
            <w:r w:rsidRPr="002F6C3E">
              <w:rPr>
                <w:rFonts w:eastAsia="Calibri"/>
                <w:sz w:val="20"/>
                <w:szCs w:val="20"/>
              </w:rPr>
              <w:t>ie</w:t>
            </w:r>
            <w:proofErr w:type="spellEnd"/>
            <w:r w:rsidRPr="002F6C3E">
              <w:rPr>
                <w:rFonts w:eastAsia="Calibri"/>
                <w:sz w:val="20"/>
                <w:szCs w:val="20"/>
              </w:rPr>
              <w:t xml:space="preserve">; </w:t>
            </w:r>
            <w:proofErr w:type="spellStart"/>
            <w:r w:rsidRPr="002F6C3E">
              <w:rPr>
                <w:rFonts w:eastAsia="Calibri"/>
                <w:sz w:val="20"/>
                <w:szCs w:val="20"/>
              </w:rPr>
              <w:t>Auskick</w:t>
            </w:r>
            <w:proofErr w:type="spellEnd"/>
            <w:r w:rsidRPr="002F6C3E">
              <w:rPr>
                <w:rFonts w:eastAsia="Calibri"/>
                <w:sz w:val="20"/>
                <w:szCs w:val="20"/>
              </w:rPr>
              <w:t xml:space="preserve">, Net Set Go, Cricket Blast, ALDI </w:t>
            </w:r>
            <w:proofErr w:type="spellStart"/>
            <w:r w:rsidRPr="002F6C3E">
              <w:rPr>
                <w:rFonts w:eastAsia="Calibri"/>
                <w:sz w:val="20"/>
                <w:szCs w:val="20"/>
              </w:rPr>
              <w:t>Miniroos</w:t>
            </w:r>
            <w:proofErr w:type="spellEnd"/>
          </w:p>
        </w:tc>
      </w:tr>
      <w:tr w:rsidR="002F6C3E" w:rsidRPr="002F6C3E" w14:paraId="0906116F" w14:textId="77777777" w:rsidTr="002F6C3E">
        <w:tc>
          <w:tcPr>
            <w:tcW w:w="10774" w:type="dxa"/>
            <w:shd w:val="clear" w:color="auto" w:fill="E7E6E6"/>
          </w:tcPr>
          <w:p w14:paraId="53F2146A" w14:textId="77777777" w:rsidR="002F6C3E" w:rsidRPr="002F6C3E" w:rsidRDefault="002F6C3E" w:rsidP="002F6C3E">
            <w:pPr>
              <w:rPr>
                <w:rFonts w:eastAsia="Calibri"/>
                <w:b/>
                <w:i/>
                <w:sz w:val="20"/>
                <w:szCs w:val="20"/>
              </w:rPr>
            </w:pPr>
            <w:r w:rsidRPr="002F6C3E">
              <w:rPr>
                <w:rFonts w:eastAsia="Calibri"/>
                <w:b/>
                <w:i/>
                <w:sz w:val="20"/>
                <w:szCs w:val="20"/>
              </w:rPr>
              <w:t>Focus/Reach:</w:t>
            </w:r>
          </w:p>
        </w:tc>
      </w:tr>
      <w:tr w:rsidR="002F6C3E" w:rsidRPr="002F6C3E" w14:paraId="0FE9D6D4" w14:textId="77777777" w:rsidTr="00D81436">
        <w:tc>
          <w:tcPr>
            <w:tcW w:w="10774" w:type="dxa"/>
          </w:tcPr>
          <w:p w14:paraId="48D78A84" w14:textId="77777777" w:rsidR="002F6C3E" w:rsidRPr="002F6C3E" w:rsidRDefault="002F6C3E" w:rsidP="002F6C3E">
            <w:pPr>
              <w:rPr>
                <w:rFonts w:eastAsia="Calibri"/>
                <w:sz w:val="20"/>
                <w:szCs w:val="20"/>
              </w:rPr>
            </w:pPr>
            <w:r w:rsidRPr="002F6C3E">
              <w:rPr>
                <w:rFonts w:eastAsia="Calibri"/>
                <w:sz w:val="20"/>
                <w:szCs w:val="20"/>
              </w:rPr>
              <w:t>Organisation has ‘access points’ for the sport and capacity to deliver competitive, recreational, organised sport and social participation initiatives (refer to Category Matrix).</w:t>
            </w:r>
          </w:p>
        </w:tc>
      </w:tr>
      <w:tr w:rsidR="002F6C3E" w:rsidRPr="002F6C3E" w14:paraId="5F3E367D" w14:textId="77777777" w:rsidTr="002F6C3E">
        <w:tc>
          <w:tcPr>
            <w:tcW w:w="10774" w:type="dxa"/>
            <w:shd w:val="clear" w:color="auto" w:fill="E7E6E6"/>
          </w:tcPr>
          <w:p w14:paraId="18E33392" w14:textId="77777777" w:rsidR="002F6C3E" w:rsidRPr="002F6C3E" w:rsidRDefault="002F6C3E" w:rsidP="002F6C3E">
            <w:pPr>
              <w:rPr>
                <w:rFonts w:eastAsia="Calibri"/>
                <w:sz w:val="20"/>
                <w:szCs w:val="20"/>
              </w:rPr>
            </w:pPr>
            <w:r w:rsidRPr="002F6C3E">
              <w:rPr>
                <w:rFonts w:eastAsia="Calibri"/>
                <w:b/>
                <w:i/>
                <w:sz w:val="20"/>
                <w:szCs w:val="20"/>
              </w:rPr>
              <w:t>Participation Events:</w:t>
            </w:r>
          </w:p>
        </w:tc>
      </w:tr>
      <w:tr w:rsidR="002F6C3E" w:rsidRPr="002F6C3E" w14:paraId="26698428" w14:textId="77777777" w:rsidTr="00D81436">
        <w:tc>
          <w:tcPr>
            <w:tcW w:w="10774" w:type="dxa"/>
          </w:tcPr>
          <w:p w14:paraId="70BD3A11" w14:textId="77777777" w:rsidR="002F6C3E" w:rsidRPr="002F6C3E" w:rsidRDefault="002F6C3E" w:rsidP="002F6C3E">
            <w:pPr>
              <w:rPr>
                <w:rFonts w:eastAsia="Calibri"/>
                <w:sz w:val="20"/>
                <w:szCs w:val="20"/>
              </w:rPr>
            </w:pPr>
            <w:r w:rsidRPr="002F6C3E">
              <w:rPr>
                <w:rFonts w:eastAsia="Calibri"/>
                <w:sz w:val="20"/>
                <w:szCs w:val="20"/>
              </w:rPr>
              <w:t xml:space="preserve">Organisation delivers ‘participation events’ to increase membership and/or participation in the sport, and the initiatives provide inclusive and physical activity outcomes. </w:t>
            </w:r>
            <w:proofErr w:type="spellStart"/>
            <w:r w:rsidRPr="002F6C3E">
              <w:rPr>
                <w:rFonts w:eastAsia="Calibri"/>
                <w:sz w:val="20"/>
                <w:szCs w:val="20"/>
              </w:rPr>
              <w:t>Ie</w:t>
            </w:r>
            <w:proofErr w:type="spellEnd"/>
            <w:r w:rsidRPr="002F6C3E">
              <w:rPr>
                <w:rFonts w:eastAsia="Calibri"/>
                <w:sz w:val="20"/>
                <w:szCs w:val="20"/>
              </w:rPr>
              <w:t>; Come and Try Days, Open Water Swims, Community Triathlons</w:t>
            </w:r>
          </w:p>
        </w:tc>
      </w:tr>
      <w:tr w:rsidR="002F6C3E" w:rsidRPr="002F6C3E" w14:paraId="43CC9E2C" w14:textId="77777777" w:rsidTr="002F6C3E">
        <w:tc>
          <w:tcPr>
            <w:tcW w:w="10774" w:type="dxa"/>
            <w:shd w:val="clear" w:color="auto" w:fill="E7E6E6"/>
          </w:tcPr>
          <w:p w14:paraId="38FFAE40" w14:textId="77777777" w:rsidR="002F6C3E" w:rsidRPr="002F6C3E" w:rsidRDefault="002F6C3E" w:rsidP="002F6C3E">
            <w:pPr>
              <w:rPr>
                <w:rFonts w:eastAsia="Calibri"/>
                <w:sz w:val="20"/>
                <w:szCs w:val="20"/>
              </w:rPr>
            </w:pPr>
            <w:r w:rsidRPr="002F6C3E">
              <w:rPr>
                <w:rFonts w:eastAsia="Calibri"/>
                <w:b/>
                <w:i/>
                <w:sz w:val="20"/>
                <w:szCs w:val="20"/>
              </w:rPr>
              <w:t xml:space="preserve">Club Development:  </w:t>
            </w:r>
          </w:p>
        </w:tc>
      </w:tr>
      <w:tr w:rsidR="002F6C3E" w:rsidRPr="002F6C3E" w14:paraId="034D7FF3" w14:textId="77777777" w:rsidTr="002F6C3E">
        <w:tc>
          <w:tcPr>
            <w:tcW w:w="10774" w:type="dxa"/>
            <w:shd w:val="clear" w:color="auto" w:fill="FFFFFF"/>
          </w:tcPr>
          <w:p w14:paraId="1BDCDE6B" w14:textId="77777777" w:rsidR="002F6C3E" w:rsidRPr="002F6C3E" w:rsidRDefault="002F6C3E" w:rsidP="002F6C3E">
            <w:pPr>
              <w:rPr>
                <w:rFonts w:eastAsia="Calibri"/>
                <w:sz w:val="20"/>
                <w:szCs w:val="20"/>
              </w:rPr>
            </w:pPr>
            <w:r w:rsidRPr="002F6C3E">
              <w:rPr>
                <w:rFonts w:eastAsia="Calibri"/>
                <w:sz w:val="20"/>
                <w:szCs w:val="20"/>
              </w:rPr>
              <w:t>A club development plan is developed and implemented which aims to build the capacity and capability of the governance, management, planning, marketing and membership services of the organisations club network.</w:t>
            </w:r>
          </w:p>
        </w:tc>
      </w:tr>
      <w:tr w:rsidR="002F6C3E" w:rsidRPr="002F6C3E" w14:paraId="533EDC91" w14:textId="77777777" w:rsidTr="002F6C3E">
        <w:tc>
          <w:tcPr>
            <w:tcW w:w="10774" w:type="dxa"/>
            <w:shd w:val="clear" w:color="auto" w:fill="E7E6E6"/>
          </w:tcPr>
          <w:p w14:paraId="4F322EEB" w14:textId="77777777" w:rsidR="002F6C3E" w:rsidRPr="002F6C3E" w:rsidRDefault="002F6C3E" w:rsidP="002F6C3E">
            <w:pPr>
              <w:rPr>
                <w:rFonts w:eastAsia="Calibri"/>
                <w:b/>
                <w:i/>
                <w:sz w:val="20"/>
                <w:szCs w:val="20"/>
              </w:rPr>
            </w:pPr>
            <w:r w:rsidRPr="002F6C3E">
              <w:rPr>
                <w:rFonts w:eastAsia="Calibri"/>
                <w:b/>
                <w:i/>
                <w:sz w:val="20"/>
                <w:szCs w:val="20"/>
              </w:rPr>
              <w:t>Service of Inclusive Sport Principles (female, youth, Aboriginal, CaLD, disabled and aged)</w:t>
            </w:r>
          </w:p>
        </w:tc>
      </w:tr>
      <w:tr w:rsidR="002F6C3E" w:rsidRPr="002F6C3E" w14:paraId="02522F6A" w14:textId="77777777" w:rsidTr="00D81436">
        <w:tc>
          <w:tcPr>
            <w:tcW w:w="10774" w:type="dxa"/>
          </w:tcPr>
          <w:p w14:paraId="2DA08670" w14:textId="77777777" w:rsidR="002F6C3E" w:rsidRPr="002F6C3E" w:rsidRDefault="002F6C3E" w:rsidP="002F6C3E">
            <w:pPr>
              <w:rPr>
                <w:rFonts w:eastAsia="Times New Roman"/>
                <w:color w:val="000000"/>
                <w:sz w:val="20"/>
                <w:szCs w:val="20"/>
                <w:lang w:eastAsia="en-AU"/>
              </w:rPr>
            </w:pPr>
            <w:r w:rsidRPr="002F6C3E">
              <w:rPr>
                <w:rFonts w:eastAsia="Times New Roman"/>
                <w:color w:val="000000"/>
                <w:sz w:val="20"/>
                <w:szCs w:val="20"/>
                <w:lang w:eastAsia="en-AU"/>
              </w:rPr>
              <w:t>Organisation meets the required Inclusive Sports Principles (refer to Category Matrix) and delivers programs and initiatives to the identified cohorts.</w:t>
            </w:r>
          </w:p>
        </w:tc>
      </w:tr>
    </w:tbl>
    <w:p w14:paraId="25F195E1" w14:textId="77777777" w:rsidR="002F6C3E" w:rsidRPr="002F6C3E" w:rsidRDefault="002F6C3E" w:rsidP="002F6C3E">
      <w:pPr>
        <w:spacing w:after="160" w:line="259" w:lineRule="auto"/>
        <w:jc w:val="left"/>
        <w:rPr>
          <w:rFonts w:eastAsia="Calibri"/>
        </w:rPr>
      </w:pPr>
    </w:p>
    <w:p w14:paraId="400F9E33" w14:textId="77777777" w:rsidR="002F6C3E" w:rsidRPr="002F6C3E" w:rsidRDefault="002F6C3E" w:rsidP="002F6C3E">
      <w:pPr>
        <w:spacing w:after="160" w:line="259" w:lineRule="auto"/>
        <w:jc w:val="left"/>
        <w:rPr>
          <w:rFonts w:eastAsia="Calibri"/>
        </w:rPr>
      </w:pPr>
    </w:p>
    <w:tbl>
      <w:tblPr>
        <w:tblStyle w:val="TableGrid1"/>
        <w:tblW w:w="10774" w:type="dxa"/>
        <w:tblInd w:w="-856" w:type="dxa"/>
        <w:tblLook w:val="04A0" w:firstRow="1" w:lastRow="0" w:firstColumn="1" w:lastColumn="0" w:noHBand="0" w:noVBand="1"/>
      </w:tblPr>
      <w:tblGrid>
        <w:gridCol w:w="10774"/>
      </w:tblGrid>
      <w:tr w:rsidR="002F6C3E" w:rsidRPr="002F6C3E" w14:paraId="320CFD1D" w14:textId="77777777" w:rsidTr="002F6C3E">
        <w:tc>
          <w:tcPr>
            <w:tcW w:w="10774" w:type="dxa"/>
            <w:shd w:val="clear" w:color="auto" w:fill="FFF2CC"/>
          </w:tcPr>
          <w:p w14:paraId="3234E39E" w14:textId="77777777" w:rsidR="002F6C3E" w:rsidRPr="002F6C3E" w:rsidRDefault="002F6C3E" w:rsidP="002F6C3E">
            <w:pPr>
              <w:rPr>
                <w:rFonts w:eastAsia="Calibri"/>
                <w:b/>
                <w:sz w:val="24"/>
                <w:szCs w:val="24"/>
              </w:rPr>
            </w:pPr>
            <w:r w:rsidRPr="002F6C3E">
              <w:rPr>
                <w:rFonts w:eastAsia="Calibri"/>
                <w:b/>
                <w:sz w:val="24"/>
                <w:szCs w:val="24"/>
              </w:rPr>
              <w:t>Governance and Finance</w:t>
            </w:r>
          </w:p>
        </w:tc>
      </w:tr>
      <w:tr w:rsidR="002F6C3E" w:rsidRPr="002F6C3E" w14:paraId="241DFF69" w14:textId="77777777" w:rsidTr="002F6C3E">
        <w:tc>
          <w:tcPr>
            <w:tcW w:w="10774" w:type="dxa"/>
            <w:shd w:val="clear" w:color="auto" w:fill="E7E6E6"/>
          </w:tcPr>
          <w:p w14:paraId="37571DC6" w14:textId="77777777" w:rsidR="002F6C3E" w:rsidRPr="002F6C3E" w:rsidRDefault="002F6C3E" w:rsidP="002F6C3E">
            <w:pPr>
              <w:rPr>
                <w:rFonts w:eastAsia="Calibri"/>
                <w:b/>
                <w:i/>
                <w:sz w:val="20"/>
                <w:szCs w:val="20"/>
              </w:rPr>
            </w:pPr>
            <w:r w:rsidRPr="002F6C3E">
              <w:rPr>
                <w:rFonts w:eastAsia="Calibri"/>
                <w:b/>
                <w:i/>
                <w:sz w:val="20"/>
                <w:szCs w:val="20"/>
              </w:rPr>
              <w:t>Governance:</w:t>
            </w:r>
          </w:p>
        </w:tc>
      </w:tr>
      <w:tr w:rsidR="002F6C3E" w:rsidRPr="002F6C3E" w14:paraId="71EDCAF6" w14:textId="77777777" w:rsidTr="00D81436">
        <w:tc>
          <w:tcPr>
            <w:tcW w:w="10774" w:type="dxa"/>
          </w:tcPr>
          <w:p w14:paraId="2DDC27C0" w14:textId="77777777" w:rsidR="002F6C3E" w:rsidRPr="002F6C3E" w:rsidRDefault="002F6C3E" w:rsidP="002F6C3E">
            <w:pPr>
              <w:rPr>
                <w:rFonts w:eastAsia="Calibri"/>
                <w:sz w:val="20"/>
                <w:szCs w:val="20"/>
              </w:rPr>
            </w:pPr>
            <w:r w:rsidRPr="002F6C3E">
              <w:rPr>
                <w:rFonts w:eastAsia="Calibri"/>
                <w:sz w:val="20"/>
                <w:szCs w:val="20"/>
              </w:rPr>
              <w:t>Organisation meets criteria based on Governance Checklist (refer Category Matrix) and demonstrates principles of good governance systems and practices.  Board Evaluation (Sport Australia or other) is completed every two to three years and an action plan is developed and implemented by the Board/Committee.</w:t>
            </w:r>
          </w:p>
        </w:tc>
      </w:tr>
      <w:tr w:rsidR="002F6C3E" w:rsidRPr="002F6C3E" w14:paraId="192329F7" w14:textId="77777777" w:rsidTr="002F6C3E">
        <w:tc>
          <w:tcPr>
            <w:tcW w:w="10774" w:type="dxa"/>
            <w:shd w:val="clear" w:color="auto" w:fill="E7E6E6"/>
          </w:tcPr>
          <w:p w14:paraId="4A9033E1" w14:textId="77777777" w:rsidR="002F6C3E" w:rsidRPr="002F6C3E" w:rsidRDefault="002F6C3E" w:rsidP="002F6C3E">
            <w:pPr>
              <w:rPr>
                <w:rFonts w:eastAsia="Calibri"/>
                <w:b/>
                <w:i/>
                <w:sz w:val="20"/>
                <w:szCs w:val="20"/>
              </w:rPr>
            </w:pPr>
            <w:r w:rsidRPr="002F6C3E">
              <w:rPr>
                <w:rFonts w:eastAsia="Calibri"/>
                <w:b/>
                <w:i/>
                <w:sz w:val="20"/>
                <w:szCs w:val="20"/>
              </w:rPr>
              <w:t>Policy Framework:</w:t>
            </w:r>
          </w:p>
        </w:tc>
      </w:tr>
      <w:tr w:rsidR="002F6C3E" w:rsidRPr="002F6C3E" w14:paraId="25C413B6" w14:textId="77777777" w:rsidTr="002F6C3E">
        <w:tc>
          <w:tcPr>
            <w:tcW w:w="10774" w:type="dxa"/>
            <w:shd w:val="clear" w:color="auto" w:fill="FFFFFF"/>
          </w:tcPr>
          <w:p w14:paraId="750D996E" w14:textId="77777777" w:rsidR="002F6C3E" w:rsidRPr="002F6C3E" w:rsidRDefault="002F6C3E" w:rsidP="002F6C3E">
            <w:pPr>
              <w:rPr>
                <w:rFonts w:eastAsia="Calibri"/>
                <w:sz w:val="20"/>
                <w:szCs w:val="20"/>
              </w:rPr>
            </w:pPr>
            <w:r w:rsidRPr="002F6C3E">
              <w:rPr>
                <w:rFonts w:eastAsia="Calibri"/>
                <w:sz w:val="20"/>
                <w:szCs w:val="20"/>
              </w:rPr>
              <w:t>Policy framework that sets out the procedures to guide a more detailed set of policies / policies required to meet legislative requirements / needs of the organisation to inform development and implementation of those policies</w:t>
            </w:r>
          </w:p>
        </w:tc>
      </w:tr>
      <w:tr w:rsidR="002F6C3E" w:rsidRPr="002F6C3E" w14:paraId="0324F902" w14:textId="77777777" w:rsidTr="002F6C3E">
        <w:tc>
          <w:tcPr>
            <w:tcW w:w="10774" w:type="dxa"/>
            <w:shd w:val="clear" w:color="auto" w:fill="E7E6E6"/>
          </w:tcPr>
          <w:p w14:paraId="6E35059B" w14:textId="77777777" w:rsidR="002F6C3E" w:rsidRPr="002F6C3E" w:rsidRDefault="002F6C3E" w:rsidP="002F6C3E">
            <w:pPr>
              <w:rPr>
                <w:rFonts w:eastAsia="Calibri"/>
                <w:b/>
                <w:i/>
                <w:sz w:val="20"/>
                <w:szCs w:val="20"/>
              </w:rPr>
            </w:pPr>
            <w:r w:rsidRPr="002F6C3E">
              <w:rPr>
                <w:rFonts w:eastAsia="Calibri"/>
                <w:b/>
                <w:i/>
                <w:sz w:val="20"/>
                <w:szCs w:val="20"/>
              </w:rPr>
              <w:t>Gender Targets:</w:t>
            </w:r>
          </w:p>
        </w:tc>
      </w:tr>
      <w:tr w:rsidR="002F6C3E" w:rsidRPr="002F6C3E" w14:paraId="493C8214" w14:textId="77777777" w:rsidTr="00D81436">
        <w:tc>
          <w:tcPr>
            <w:tcW w:w="10774" w:type="dxa"/>
          </w:tcPr>
          <w:p w14:paraId="3C717235" w14:textId="77777777" w:rsidR="002F6C3E" w:rsidRPr="002F6C3E" w:rsidRDefault="002F6C3E" w:rsidP="002F6C3E">
            <w:pPr>
              <w:rPr>
                <w:rFonts w:eastAsia="Calibri"/>
                <w:sz w:val="20"/>
                <w:szCs w:val="20"/>
              </w:rPr>
            </w:pPr>
            <w:r w:rsidRPr="002F6C3E">
              <w:rPr>
                <w:rFonts w:eastAsia="Calibri"/>
                <w:sz w:val="20"/>
                <w:szCs w:val="20"/>
              </w:rPr>
              <w:t xml:space="preserve">Organisations understand the benefits of a diverse organisation, particularly at Board level. </w:t>
            </w:r>
            <w:proofErr w:type="spellStart"/>
            <w:r w:rsidRPr="002F6C3E">
              <w:rPr>
                <w:rFonts w:eastAsia="Calibri"/>
                <w:sz w:val="20"/>
                <w:szCs w:val="20"/>
              </w:rPr>
              <w:t>Ie</w:t>
            </w:r>
            <w:proofErr w:type="spellEnd"/>
            <w:r w:rsidRPr="002F6C3E">
              <w:rPr>
                <w:rFonts w:eastAsia="Calibri"/>
                <w:sz w:val="20"/>
                <w:szCs w:val="20"/>
              </w:rPr>
              <w:t>; enhanced organisational and financial performance, improved decision making and governance and higher levels of innovation and creativity and growth.</w:t>
            </w:r>
          </w:p>
          <w:p w14:paraId="673722BC" w14:textId="77777777" w:rsidR="002F6C3E" w:rsidRPr="002F6C3E" w:rsidRDefault="002F6C3E" w:rsidP="002F6C3E">
            <w:pPr>
              <w:rPr>
                <w:rFonts w:eastAsia="Calibri"/>
                <w:sz w:val="20"/>
                <w:szCs w:val="20"/>
              </w:rPr>
            </w:pPr>
            <w:r w:rsidRPr="002F6C3E">
              <w:rPr>
                <w:rFonts w:eastAsia="Calibri"/>
                <w:sz w:val="20"/>
                <w:szCs w:val="20"/>
              </w:rPr>
              <w:t>Meets Gender Diversity Targets (refer Category Matrix)</w:t>
            </w:r>
          </w:p>
        </w:tc>
      </w:tr>
      <w:tr w:rsidR="002F6C3E" w:rsidRPr="002F6C3E" w14:paraId="74EC3FD2" w14:textId="77777777" w:rsidTr="002F6C3E">
        <w:tc>
          <w:tcPr>
            <w:tcW w:w="10774" w:type="dxa"/>
            <w:shd w:val="clear" w:color="auto" w:fill="E7E6E6"/>
          </w:tcPr>
          <w:p w14:paraId="315715CE" w14:textId="77777777" w:rsidR="002F6C3E" w:rsidRPr="002F6C3E" w:rsidRDefault="002F6C3E" w:rsidP="002F6C3E">
            <w:pPr>
              <w:rPr>
                <w:rFonts w:eastAsia="Calibri"/>
                <w:b/>
                <w:i/>
                <w:sz w:val="20"/>
                <w:szCs w:val="20"/>
              </w:rPr>
            </w:pPr>
            <w:r w:rsidRPr="002F6C3E">
              <w:rPr>
                <w:rFonts w:eastAsia="Calibri"/>
                <w:b/>
                <w:i/>
                <w:sz w:val="20"/>
                <w:szCs w:val="20"/>
              </w:rPr>
              <w:t>Annual Revenue:</w:t>
            </w:r>
          </w:p>
        </w:tc>
      </w:tr>
      <w:tr w:rsidR="002F6C3E" w:rsidRPr="002F6C3E" w14:paraId="589BEDE5" w14:textId="77777777" w:rsidTr="00D81436">
        <w:tc>
          <w:tcPr>
            <w:tcW w:w="10774" w:type="dxa"/>
          </w:tcPr>
          <w:p w14:paraId="26596024" w14:textId="77777777" w:rsidR="002F6C3E" w:rsidRPr="002F6C3E" w:rsidRDefault="002F6C3E" w:rsidP="002F6C3E">
            <w:pPr>
              <w:rPr>
                <w:rFonts w:eastAsia="Calibri"/>
                <w:sz w:val="20"/>
                <w:szCs w:val="20"/>
              </w:rPr>
            </w:pPr>
            <w:r w:rsidRPr="002F6C3E">
              <w:rPr>
                <w:rFonts w:eastAsia="Calibri"/>
                <w:sz w:val="20"/>
                <w:szCs w:val="20"/>
              </w:rPr>
              <w:t>The income an organisation generates from operations before deductions are taken for expenses.</w:t>
            </w:r>
          </w:p>
          <w:p w14:paraId="4DC9FA80" w14:textId="77777777" w:rsidR="002F6C3E" w:rsidRPr="002F6C3E" w:rsidRDefault="002F6C3E" w:rsidP="002F6C3E">
            <w:pPr>
              <w:rPr>
                <w:rFonts w:eastAsia="Calibri"/>
                <w:sz w:val="20"/>
                <w:szCs w:val="20"/>
              </w:rPr>
            </w:pPr>
            <w:r w:rsidRPr="002F6C3E">
              <w:rPr>
                <w:rFonts w:eastAsia="Calibri"/>
                <w:sz w:val="20"/>
                <w:szCs w:val="20"/>
              </w:rPr>
              <w:t>Annual revenue meets requirements for category (refer Category Matrix)</w:t>
            </w:r>
          </w:p>
        </w:tc>
      </w:tr>
    </w:tbl>
    <w:p w14:paraId="71024B85" w14:textId="77777777" w:rsidR="002F6C3E" w:rsidRPr="002F6C3E" w:rsidRDefault="002F6C3E" w:rsidP="002F6C3E">
      <w:pPr>
        <w:spacing w:after="160" w:line="259" w:lineRule="auto"/>
        <w:jc w:val="left"/>
        <w:rPr>
          <w:rFonts w:eastAsia="Calibri"/>
        </w:rPr>
      </w:pPr>
    </w:p>
    <w:p w14:paraId="00182BA6" w14:textId="77777777" w:rsidR="002F6C3E" w:rsidRPr="002F6C3E" w:rsidRDefault="002F6C3E" w:rsidP="002F6C3E">
      <w:pPr>
        <w:spacing w:after="160" w:line="259" w:lineRule="auto"/>
        <w:jc w:val="left"/>
        <w:rPr>
          <w:rFonts w:eastAsia="Calibri"/>
        </w:rPr>
      </w:pPr>
    </w:p>
    <w:p w14:paraId="3A4F3C5F" w14:textId="77777777" w:rsidR="002F6C3E" w:rsidRPr="002F6C3E" w:rsidRDefault="002F6C3E" w:rsidP="002F6C3E">
      <w:pPr>
        <w:spacing w:after="160" w:line="259" w:lineRule="auto"/>
        <w:jc w:val="left"/>
        <w:rPr>
          <w:rFonts w:eastAsia="Calibri"/>
        </w:rPr>
      </w:pPr>
    </w:p>
    <w:p w14:paraId="0CCBE3C7" w14:textId="77777777" w:rsidR="002F6C3E" w:rsidRPr="002F6C3E" w:rsidRDefault="002F6C3E" w:rsidP="002F6C3E">
      <w:pPr>
        <w:spacing w:after="160" w:line="259" w:lineRule="auto"/>
        <w:jc w:val="left"/>
        <w:rPr>
          <w:rFonts w:eastAsia="Calibri"/>
        </w:rPr>
      </w:pPr>
    </w:p>
    <w:p w14:paraId="04EE138D" w14:textId="77777777" w:rsidR="002F6C3E" w:rsidRPr="002F6C3E" w:rsidRDefault="002F6C3E" w:rsidP="002F6C3E">
      <w:pPr>
        <w:spacing w:after="160" w:line="259" w:lineRule="auto"/>
        <w:jc w:val="left"/>
        <w:rPr>
          <w:rFonts w:eastAsia="Calibri"/>
        </w:rPr>
      </w:pPr>
    </w:p>
    <w:p w14:paraId="3C70BBEC" w14:textId="77777777" w:rsidR="002F6C3E" w:rsidRPr="002F6C3E" w:rsidRDefault="002F6C3E" w:rsidP="002F6C3E">
      <w:pPr>
        <w:spacing w:after="160" w:line="259" w:lineRule="auto"/>
        <w:jc w:val="left"/>
        <w:rPr>
          <w:rFonts w:eastAsia="Calibri"/>
        </w:rPr>
      </w:pPr>
    </w:p>
    <w:p w14:paraId="4BE63350" w14:textId="77777777" w:rsidR="002F6C3E" w:rsidRPr="002F6C3E" w:rsidRDefault="002F6C3E" w:rsidP="002F6C3E">
      <w:pPr>
        <w:spacing w:after="160" w:line="259" w:lineRule="auto"/>
        <w:jc w:val="left"/>
        <w:rPr>
          <w:rFonts w:eastAsia="Calibri"/>
        </w:rPr>
      </w:pPr>
    </w:p>
    <w:p w14:paraId="594B5116" w14:textId="77777777" w:rsidR="002F6C3E" w:rsidRPr="002F6C3E" w:rsidRDefault="002F6C3E" w:rsidP="002F6C3E">
      <w:pPr>
        <w:spacing w:after="160" w:line="259" w:lineRule="auto"/>
        <w:jc w:val="left"/>
        <w:rPr>
          <w:rFonts w:eastAsia="Calibri"/>
        </w:rPr>
      </w:pPr>
    </w:p>
    <w:p w14:paraId="3972AEB5" w14:textId="77777777" w:rsidR="002F6C3E" w:rsidRPr="002F6C3E" w:rsidRDefault="002F6C3E" w:rsidP="002F6C3E">
      <w:pPr>
        <w:spacing w:after="160" w:line="259" w:lineRule="auto"/>
        <w:jc w:val="left"/>
        <w:rPr>
          <w:rFonts w:eastAsia="Calibri"/>
        </w:rPr>
      </w:pPr>
    </w:p>
    <w:p w14:paraId="7FA516F0" w14:textId="77777777" w:rsidR="002F6C3E" w:rsidRPr="002F6C3E" w:rsidRDefault="002F6C3E" w:rsidP="002F6C3E">
      <w:pPr>
        <w:spacing w:after="160" w:line="259" w:lineRule="auto"/>
        <w:jc w:val="left"/>
        <w:rPr>
          <w:rFonts w:eastAsia="Calibri"/>
        </w:rPr>
      </w:pPr>
    </w:p>
    <w:p w14:paraId="7B6DF66F" w14:textId="77777777" w:rsidR="002F6C3E" w:rsidRPr="002F6C3E" w:rsidRDefault="002F6C3E" w:rsidP="002F6C3E">
      <w:pPr>
        <w:spacing w:after="160" w:line="259" w:lineRule="auto"/>
        <w:jc w:val="left"/>
        <w:rPr>
          <w:rFonts w:eastAsia="Calibri"/>
        </w:rPr>
      </w:pPr>
    </w:p>
    <w:p w14:paraId="0FDA62D9" w14:textId="3667FABC" w:rsidR="002F6C3E" w:rsidRDefault="002F6C3E" w:rsidP="002F6C3E">
      <w:pPr>
        <w:spacing w:after="160" w:line="259" w:lineRule="auto"/>
        <w:jc w:val="left"/>
        <w:rPr>
          <w:rFonts w:eastAsia="Calibri"/>
        </w:rPr>
      </w:pPr>
    </w:p>
    <w:p w14:paraId="4E0AD4C3" w14:textId="77777777" w:rsidR="00BD6EB2" w:rsidRPr="002F6C3E" w:rsidRDefault="00BD6EB2" w:rsidP="002F6C3E">
      <w:pPr>
        <w:spacing w:after="160" w:line="259" w:lineRule="auto"/>
        <w:jc w:val="left"/>
        <w:rPr>
          <w:rFonts w:eastAsia="Calibri"/>
        </w:rPr>
      </w:pPr>
    </w:p>
    <w:tbl>
      <w:tblPr>
        <w:tblStyle w:val="TableGrid1"/>
        <w:tblW w:w="10774" w:type="dxa"/>
        <w:tblInd w:w="-856" w:type="dxa"/>
        <w:tblLook w:val="04A0" w:firstRow="1" w:lastRow="0" w:firstColumn="1" w:lastColumn="0" w:noHBand="0" w:noVBand="1"/>
      </w:tblPr>
      <w:tblGrid>
        <w:gridCol w:w="10774"/>
      </w:tblGrid>
      <w:tr w:rsidR="002F6C3E" w:rsidRPr="002F6C3E" w14:paraId="7D05A297" w14:textId="77777777" w:rsidTr="002F6C3E">
        <w:tc>
          <w:tcPr>
            <w:tcW w:w="10774" w:type="dxa"/>
            <w:shd w:val="clear" w:color="auto" w:fill="FFF2CC"/>
          </w:tcPr>
          <w:p w14:paraId="480EDB73" w14:textId="77777777" w:rsidR="002F6C3E" w:rsidRPr="002F6C3E" w:rsidRDefault="002F6C3E" w:rsidP="002F6C3E">
            <w:pPr>
              <w:rPr>
                <w:rFonts w:eastAsia="Calibri"/>
                <w:b/>
                <w:sz w:val="24"/>
                <w:szCs w:val="24"/>
              </w:rPr>
            </w:pPr>
            <w:r w:rsidRPr="002F6C3E">
              <w:rPr>
                <w:rFonts w:eastAsia="Calibri"/>
                <w:b/>
                <w:sz w:val="24"/>
                <w:szCs w:val="24"/>
              </w:rPr>
              <w:t xml:space="preserve">Planning </w:t>
            </w:r>
          </w:p>
        </w:tc>
      </w:tr>
      <w:tr w:rsidR="002F6C3E" w:rsidRPr="002F6C3E" w14:paraId="704047F4" w14:textId="77777777" w:rsidTr="002F6C3E">
        <w:tc>
          <w:tcPr>
            <w:tcW w:w="10774" w:type="dxa"/>
            <w:shd w:val="clear" w:color="auto" w:fill="E7E6E6"/>
          </w:tcPr>
          <w:p w14:paraId="5C3B7690" w14:textId="77777777" w:rsidR="002F6C3E" w:rsidRPr="002F6C3E" w:rsidRDefault="002F6C3E" w:rsidP="002F6C3E">
            <w:pPr>
              <w:rPr>
                <w:rFonts w:eastAsia="Calibri"/>
                <w:b/>
                <w:i/>
                <w:sz w:val="20"/>
                <w:szCs w:val="20"/>
              </w:rPr>
            </w:pPr>
            <w:r w:rsidRPr="002F6C3E">
              <w:rPr>
                <w:rFonts w:eastAsia="Calibri"/>
                <w:b/>
                <w:i/>
                <w:sz w:val="20"/>
                <w:szCs w:val="20"/>
              </w:rPr>
              <w:t>Strategic Plan:</w:t>
            </w:r>
          </w:p>
        </w:tc>
      </w:tr>
      <w:tr w:rsidR="002F6C3E" w:rsidRPr="002F6C3E" w14:paraId="653AF8C4" w14:textId="77777777" w:rsidTr="00D81436">
        <w:tc>
          <w:tcPr>
            <w:tcW w:w="10774" w:type="dxa"/>
          </w:tcPr>
          <w:p w14:paraId="6D154D14" w14:textId="77777777" w:rsidR="002F6C3E" w:rsidRPr="002F6C3E" w:rsidRDefault="002F6C3E" w:rsidP="002F6C3E">
            <w:pPr>
              <w:rPr>
                <w:rFonts w:eastAsia="Calibri"/>
                <w:sz w:val="20"/>
                <w:szCs w:val="20"/>
              </w:rPr>
            </w:pPr>
            <w:r w:rsidRPr="002F6C3E">
              <w:rPr>
                <w:rFonts w:eastAsia="Calibri"/>
                <w:sz w:val="20"/>
                <w:szCs w:val="20"/>
              </w:rPr>
              <w:t xml:space="preserve">Development of/and implementation of a minimum 3-year Strategic Plan for the organisation, review of the plan, stakeholder engagement and communication (refer Category Matrix).  </w:t>
            </w:r>
          </w:p>
        </w:tc>
      </w:tr>
      <w:tr w:rsidR="002F6C3E" w:rsidRPr="002F6C3E" w14:paraId="4D36C287" w14:textId="77777777" w:rsidTr="002F6C3E">
        <w:tc>
          <w:tcPr>
            <w:tcW w:w="10774" w:type="dxa"/>
            <w:shd w:val="clear" w:color="auto" w:fill="E7E6E6"/>
          </w:tcPr>
          <w:p w14:paraId="226664D3" w14:textId="77777777" w:rsidR="002F6C3E" w:rsidRPr="002F6C3E" w:rsidRDefault="002F6C3E" w:rsidP="002F6C3E">
            <w:pPr>
              <w:rPr>
                <w:rFonts w:eastAsia="Calibri"/>
                <w:b/>
                <w:i/>
                <w:sz w:val="20"/>
                <w:szCs w:val="20"/>
              </w:rPr>
            </w:pPr>
            <w:r w:rsidRPr="002F6C3E">
              <w:rPr>
                <w:rFonts w:eastAsia="Calibri"/>
                <w:b/>
                <w:i/>
                <w:sz w:val="20"/>
                <w:szCs w:val="20"/>
              </w:rPr>
              <w:t>Annual Operation Plan:</w:t>
            </w:r>
          </w:p>
        </w:tc>
      </w:tr>
      <w:tr w:rsidR="002F6C3E" w:rsidRPr="002F6C3E" w14:paraId="28411E59" w14:textId="77777777" w:rsidTr="00D81436">
        <w:tc>
          <w:tcPr>
            <w:tcW w:w="10774" w:type="dxa"/>
          </w:tcPr>
          <w:p w14:paraId="48D180A5" w14:textId="77777777" w:rsidR="002F6C3E" w:rsidRPr="002F6C3E" w:rsidRDefault="002F6C3E" w:rsidP="002F6C3E">
            <w:pPr>
              <w:rPr>
                <w:rFonts w:eastAsia="Calibri"/>
                <w:sz w:val="20"/>
                <w:szCs w:val="20"/>
              </w:rPr>
            </w:pPr>
            <w:r w:rsidRPr="002F6C3E">
              <w:rPr>
                <w:rFonts w:eastAsia="Calibri"/>
                <w:sz w:val="20"/>
                <w:szCs w:val="20"/>
              </w:rPr>
              <w:t>Development of/and implementation of annual business or operational plan linked to strategic plan and budget.  All organisations will have an annual operational plan.</w:t>
            </w:r>
          </w:p>
        </w:tc>
      </w:tr>
      <w:tr w:rsidR="002F6C3E" w:rsidRPr="002F6C3E" w14:paraId="63880F7D" w14:textId="77777777" w:rsidTr="002F6C3E">
        <w:tc>
          <w:tcPr>
            <w:tcW w:w="10774" w:type="dxa"/>
            <w:shd w:val="clear" w:color="auto" w:fill="E7E6E6"/>
          </w:tcPr>
          <w:p w14:paraId="6535FF17" w14:textId="77777777" w:rsidR="002F6C3E" w:rsidRPr="002F6C3E" w:rsidRDefault="002F6C3E" w:rsidP="002F6C3E">
            <w:pPr>
              <w:rPr>
                <w:rFonts w:eastAsia="Calibri"/>
                <w:b/>
                <w:i/>
                <w:sz w:val="20"/>
                <w:szCs w:val="20"/>
              </w:rPr>
            </w:pPr>
            <w:r w:rsidRPr="002F6C3E">
              <w:rPr>
                <w:rFonts w:eastAsia="Calibri"/>
                <w:b/>
                <w:i/>
                <w:sz w:val="20"/>
                <w:szCs w:val="20"/>
              </w:rPr>
              <w:t>Annual Budget:</w:t>
            </w:r>
          </w:p>
        </w:tc>
      </w:tr>
      <w:tr w:rsidR="002F6C3E" w:rsidRPr="002F6C3E" w14:paraId="70018C01" w14:textId="77777777" w:rsidTr="00D81436">
        <w:tc>
          <w:tcPr>
            <w:tcW w:w="10774" w:type="dxa"/>
          </w:tcPr>
          <w:p w14:paraId="75C70B18" w14:textId="77777777" w:rsidR="002F6C3E" w:rsidRPr="002F6C3E" w:rsidRDefault="002F6C3E" w:rsidP="002F6C3E">
            <w:pPr>
              <w:rPr>
                <w:rFonts w:eastAsia="Calibri"/>
                <w:sz w:val="20"/>
                <w:szCs w:val="20"/>
              </w:rPr>
            </w:pPr>
            <w:r w:rsidRPr="002F6C3E">
              <w:rPr>
                <w:rFonts w:eastAsia="Calibri"/>
                <w:sz w:val="20"/>
                <w:szCs w:val="20"/>
              </w:rPr>
              <w:t>An annual budget is prepared with consideration to financial management policy and operational planning (refer Category Matrix). Consider current practice around development, regularity and depth of monitoring of annual operational budgets.</w:t>
            </w:r>
          </w:p>
        </w:tc>
      </w:tr>
      <w:tr w:rsidR="002F6C3E" w:rsidRPr="002F6C3E" w14:paraId="6B964CA1" w14:textId="77777777" w:rsidTr="002F6C3E">
        <w:tc>
          <w:tcPr>
            <w:tcW w:w="10774" w:type="dxa"/>
            <w:shd w:val="clear" w:color="auto" w:fill="E7E6E6"/>
          </w:tcPr>
          <w:p w14:paraId="0664FEF9" w14:textId="77777777" w:rsidR="002F6C3E" w:rsidRPr="002F6C3E" w:rsidRDefault="002F6C3E" w:rsidP="002F6C3E">
            <w:pPr>
              <w:rPr>
                <w:rFonts w:eastAsia="Calibri"/>
                <w:b/>
                <w:i/>
                <w:sz w:val="20"/>
                <w:szCs w:val="20"/>
              </w:rPr>
            </w:pPr>
            <w:r w:rsidRPr="002F6C3E">
              <w:rPr>
                <w:rFonts w:eastAsia="Calibri"/>
                <w:b/>
                <w:i/>
                <w:sz w:val="20"/>
                <w:szCs w:val="20"/>
              </w:rPr>
              <w:t>Risk Management:</w:t>
            </w:r>
          </w:p>
        </w:tc>
      </w:tr>
      <w:tr w:rsidR="002F6C3E" w:rsidRPr="002F6C3E" w14:paraId="19A1F0BE" w14:textId="77777777" w:rsidTr="00D81436">
        <w:tc>
          <w:tcPr>
            <w:tcW w:w="10774" w:type="dxa"/>
          </w:tcPr>
          <w:p w14:paraId="0006A2D8" w14:textId="77777777" w:rsidR="002F6C3E" w:rsidRPr="002F6C3E" w:rsidRDefault="002F6C3E" w:rsidP="002F6C3E">
            <w:pPr>
              <w:rPr>
                <w:rFonts w:eastAsia="Calibri"/>
                <w:sz w:val="20"/>
                <w:szCs w:val="20"/>
              </w:rPr>
            </w:pPr>
            <w:r w:rsidRPr="002F6C3E">
              <w:rPr>
                <w:rFonts w:eastAsia="Calibri"/>
                <w:sz w:val="20"/>
                <w:szCs w:val="20"/>
              </w:rPr>
              <w:t>Comprehensive risk management assessment process completed for the organisation.  A Risk Management Plan and Framework or Risk Management Plan or a Risk Register is developed, and annual review process developed (refer Category Matrix).</w:t>
            </w:r>
          </w:p>
        </w:tc>
      </w:tr>
      <w:tr w:rsidR="002F6C3E" w:rsidRPr="002F6C3E" w14:paraId="5650FE8A" w14:textId="77777777" w:rsidTr="002F6C3E">
        <w:tc>
          <w:tcPr>
            <w:tcW w:w="10774" w:type="dxa"/>
            <w:shd w:val="clear" w:color="auto" w:fill="E7E6E6"/>
          </w:tcPr>
          <w:p w14:paraId="749D6C4F" w14:textId="77777777" w:rsidR="002F6C3E" w:rsidRPr="002F6C3E" w:rsidRDefault="002F6C3E" w:rsidP="002F6C3E">
            <w:pPr>
              <w:rPr>
                <w:rFonts w:eastAsia="Calibri"/>
                <w:b/>
                <w:i/>
                <w:sz w:val="20"/>
                <w:szCs w:val="20"/>
              </w:rPr>
            </w:pPr>
            <w:r w:rsidRPr="002F6C3E">
              <w:rPr>
                <w:rFonts w:eastAsia="Calibri"/>
                <w:b/>
                <w:i/>
                <w:sz w:val="20"/>
                <w:szCs w:val="20"/>
              </w:rPr>
              <w:t>Asset Management Plan:</w:t>
            </w:r>
          </w:p>
        </w:tc>
      </w:tr>
      <w:tr w:rsidR="002F6C3E" w:rsidRPr="002F6C3E" w14:paraId="04900F3C" w14:textId="77777777" w:rsidTr="00D81436">
        <w:tc>
          <w:tcPr>
            <w:tcW w:w="10774" w:type="dxa"/>
          </w:tcPr>
          <w:p w14:paraId="7C41D4DD" w14:textId="77777777" w:rsidR="002F6C3E" w:rsidRPr="002F6C3E" w:rsidRDefault="002F6C3E" w:rsidP="002F6C3E">
            <w:pPr>
              <w:rPr>
                <w:rFonts w:eastAsia="Calibri"/>
                <w:sz w:val="20"/>
                <w:szCs w:val="20"/>
              </w:rPr>
            </w:pPr>
            <w:r w:rsidRPr="002F6C3E">
              <w:rPr>
                <w:rFonts w:eastAsia="Calibri"/>
                <w:sz w:val="20"/>
                <w:szCs w:val="20"/>
              </w:rPr>
              <w:t>An Asset Management Plan must provide the information required for future asset planning and anticipate potential eventualities including economic, social and environmental factors OR an Asset Register including what the asset is, where the asset is located, who is responsible for the asset, what the asset cost, and what the expected resale value is.  The asset register will also show each assets depreciation since its purchase date, clearly stating its current value. The assets current worth will also help for tax and insurance purposes (refer Category Matrix).</w:t>
            </w:r>
          </w:p>
        </w:tc>
      </w:tr>
      <w:tr w:rsidR="002F6C3E" w:rsidRPr="002F6C3E" w14:paraId="4C0E5BDC" w14:textId="77777777" w:rsidTr="002F6C3E">
        <w:tc>
          <w:tcPr>
            <w:tcW w:w="10774" w:type="dxa"/>
            <w:shd w:val="clear" w:color="auto" w:fill="E7E6E6"/>
          </w:tcPr>
          <w:p w14:paraId="25A52878" w14:textId="77777777" w:rsidR="002F6C3E" w:rsidRPr="002F6C3E" w:rsidRDefault="002F6C3E" w:rsidP="002F6C3E">
            <w:pPr>
              <w:rPr>
                <w:rFonts w:eastAsia="Calibri"/>
                <w:b/>
                <w:i/>
                <w:sz w:val="20"/>
                <w:szCs w:val="20"/>
              </w:rPr>
            </w:pPr>
            <w:r w:rsidRPr="002F6C3E">
              <w:rPr>
                <w:rFonts w:eastAsia="Calibri"/>
                <w:b/>
                <w:i/>
                <w:sz w:val="20"/>
                <w:szCs w:val="20"/>
              </w:rPr>
              <w:t>Workforce Development Plan:</w:t>
            </w:r>
          </w:p>
        </w:tc>
      </w:tr>
      <w:tr w:rsidR="002F6C3E" w:rsidRPr="002F6C3E" w14:paraId="7D212C52" w14:textId="77777777" w:rsidTr="00D81436">
        <w:tc>
          <w:tcPr>
            <w:tcW w:w="10774" w:type="dxa"/>
          </w:tcPr>
          <w:p w14:paraId="5DE6DFB6" w14:textId="77777777" w:rsidR="002F6C3E" w:rsidRPr="002F6C3E" w:rsidRDefault="002F6C3E" w:rsidP="002F6C3E">
            <w:pPr>
              <w:rPr>
                <w:rFonts w:eastAsia="Calibri"/>
                <w:sz w:val="20"/>
                <w:szCs w:val="20"/>
              </w:rPr>
            </w:pPr>
            <w:r w:rsidRPr="002F6C3E">
              <w:rPr>
                <w:rFonts w:eastAsia="Calibri"/>
                <w:sz w:val="20"/>
                <w:szCs w:val="20"/>
              </w:rPr>
              <w:t>Development of/and implementation of an organisation workforce plan linked to operational plan and budget, review of plan and continual implementation.  Plan will include both paid and unpaid (volunteer) workforces where appropriate (refer Category Matrix). Should be integrated into strategic plan.</w:t>
            </w:r>
          </w:p>
        </w:tc>
      </w:tr>
      <w:tr w:rsidR="002F6C3E" w:rsidRPr="002F6C3E" w14:paraId="41D494A5" w14:textId="77777777" w:rsidTr="002F6C3E">
        <w:tc>
          <w:tcPr>
            <w:tcW w:w="10774" w:type="dxa"/>
            <w:shd w:val="clear" w:color="auto" w:fill="E7E6E6"/>
          </w:tcPr>
          <w:p w14:paraId="7CAE3282" w14:textId="77777777" w:rsidR="002F6C3E" w:rsidRPr="002F6C3E" w:rsidRDefault="002F6C3E" w:rsidP="002F6C3E">
            <w:pPr>
              <w:rPr>
                <w:rFonts w:eastAsia="Calibri"/>
                <w:b/>
                <w:i/>
                <w:sz w:val="20"/>
                <w:szCs w:val="20"/>
              </w:rPr>
            </w:pPr>
            <w:r w:rsidRPr="002F6C3E">
              <w:rPr>
                <w:rFonts w:eastAsia="Calibri"/>
                <w:b/>
                <w:i/>
                <w:sz w:val="20"/>
                <w:szCs w:val="20"/>
              </w:rPr>
              <w:t>Volunteer Management Plan:</w:t>
            </w:r>
          </w:p>
        </w:tc>
      </w:tr>
      <w:tr w:rsidR="002F6C3E" w:rsidRPr="002F6C3E" w14:paraId="1964DE9B" w14:textId="77777777" w:rsidTr="00D81436">
        <w:tc>
          <w:tcPr>
            <w:tcW w:w="10774" w:type="dxa"/>
          </w:tcPr>
          <w:p w14:paraId="13575BAE" w14:textId="77777777" w:rsidR="002F6C3E" w:rsidRPr="002F6C3E" w:rsidRDefault="002F6C3E" w:rsidP="002F6C3E">
            <w:pPr>
              <w:rPr>
                <w:rFonts w:eastAsia="Calibri"/>
                <w:sz w:val="20"/>
                <w:szCs w:val="20"/>
              </w:rPr>
            </w:pPr>
            <w:r w:rsidRPr="002F6C3E">
              <w:rPr>
                <w:rFonts w:eastAsia="Calibri"/>
                <w:sz w:val="20"/>
                <w:szCs w:val="20"/>
              </w:rPr>
              <w:t>A volunteer development plan provides the organisation with clear objectives and strategies to support volunteer recruitment and retention efforts (refer Category Matrix).</w:t>
            </w:r>
          </w:p>
        </w:tc>
      </w:tr>
      <w:tr w:rsidR="002F6C3E" w:rsidRPr="002F6C3E" w14:paraId="58CE7D0D" w14:textId="77777777" w:rsidTr="002F6C3E">
        <w:tc>
          <w:tcPr>
            <w:tcW w:w="10774" w:type="dxa"/>
            <w:shd w:val="clear" w:color="auto" w:fill="E7E6E6"/>
          </w:tcPr>
          <w:p w14:paraId="4DBCA338" w14:textId="77777777" w:rsidR="002F6C3E" w:rsidRPr="002F6C3E" w:rsidRDefault="002F6C3E" w:rsidP="002F6C3E">
            <w:pPr>
              <w:rPr>
                <w:rFonts w:eastAsia="Calibri"/>
                <w:b/>
                <w:i/>
                <w:sz w:val="20"/>
                <w:szCs w:val="20"/>
              </w:rPr>
            </w:pPr>
            <w:r w:rsidRPr="002F6C3E">
              <w:rPr>
                <w:rFonts w:eastAsia="Calibri"/>
                <w:b/>
                <w:i/>
                <w:sz w:val="20"/>
                <w:szCs w:val="20"/>
              </w:rPr>
              <w:t>Marketing and Communications Plan:</w:t>
            </w:r>
          </w:p>
        </w:tc>
      </w:tr>
      <w:tr w:rsidR="002F6C3E" w:rsidRPr="002F6C3E" w14:paraId="1064B04D" w14:textId="77777777" w:rsidTr="00D81436">
        <w:tc>
          <w:tcPr>
            <w:tcW w:w="10774" w:type="dxa"/>
          </w:tcPr>
          <w:p w14:paraId="04A0302C" w14:textId="77777777" w:rsidR="002F6C3E" w:rsidRPr="002F6C3E" w:rsidRDefault="002F6C3E" w:rsidP="002F6C3E">
            <w:pPr>
              <w:rPr>
                <w:rFonts w:eastAsia="Calibri"/>
                <w:sz w:val="20"/>
                <w:szCs w:val="20"/>
              </w:rPr>
            </w:pPr>
            <w:r w:rsidRPr="002F6C3E">
              <w:rPr>
                <w:rFonts w:eastAsia="Calibri"/>
                <w:sz w:val="20"/>
                <w:szCs w:val="20"/>
              </w:rPr>
              <w:t>Organisation has an effective marketing and communication plan/strategy to communicate with members, sponsors and volunteers or has developed communication initiatives.</w:t>
            </w:r>
          </w:p>
        </w:tc>
      </w:tr>
      <w:tr w:rsidR="002F6C3E" w:rsidRPr="002F6C3E" w14:paraId="0F6038D1" w14:textId="77777777" w:rsidTr="002F6C3E">
        <w:tc>
          <w:tcPr>
            <w:tcW w:w="10774" w:type="dxa"/>
            <w:shd w:val="clear" w:color="auto" w:fill="E7E6E6"/>
          </w:tcPr>
          <w:p w14:paraId="01CC22D0" w14:textId="77777777" w:rsidR="002F6C3E" w:rsidRPr="002F6C3E" w:rsidRDefault="002F6C3E" w:rsidP="002F6C3E">
            <w:pPr>
              <w:rPr>
                <w:rFonts w:eastAsia="Calibri"/>
                <w:b/>
                <w:i/>
                <w:sz w:val="20"/>
                <w:szCs w:val="20"/>
              </w:rPr>
            </w:pPr>
            <w:r w:rsidRPr="002F6C3E">
              <w:rPr>
                <w:rFonts w:eastAsia="Calibri"/>
                <w:b/>
                <w:i/>
                <w:sz w:val="20"/>
                <w:szCs w:val="20"/>
              </w:rPr>
              <w:t>ICT Strategy and Plan:</w:t>
            </w:r>
          </w:p>
        </w:tc>
      </w:tr>
      <w:tr w:rsidR="002F6C3E" w:rsidRPr="002F6C3E" w14:paraId="6820910E" w14:textId="77777777" w:rsidTr="00D81436">
        <w:tc>
          <w:tcPr>
            <w:tcW w:w="10774" w:type="dxa"/>
          </w:tcPr>
          <w:p w14:paraId="797066B1" w14:textId="77777777" w:rsidR="002F6C3E" w:rsidRPr="002F6C3E" w:rsidRDefault="002F6C3E" w:rsidP="002F6C3E">
            <w:pPr>
              <w:rPr>
                <w:rFonts w:eastAsia="Calibri"/>
                <w:sz w:val="20"/>
                <w:szCs w:val="20"/>
              </w:rPr>
            </w:pPr>
            <w:r w:rsidRPr="002F6C3E">
              <w:rPr>
                <w:rFonts w:eastAsia="Calibri"/>
                <w:sz w:val="20"/>
                <w:szCs w:val="20"/>
              </w:rPr>
              <w:t>Organisation invests into information technology to deliver sport business and resource objectives through digital services and supporting policies (refer Category Matrix).</w:t>
            </w:r>
          </w:p>
        </w:tc>
      </w:tr>
    </w:tbl>
    <w:p w14:paraId="4469B08F" w14:textId="77777777" w:rsidR="002F6C3E" w:rsidRPr="002F6C3E" w:rsidRDefault="002F6C3E" w:rsidP="002F6C3E">
      <w:pPr>
        <w:spacing w:after="160" w:line="259" w:lineRule="auto"/>
        <w:jc w:val="left"/>
        <w:rPr>
          <w:rFonts w:eastAsia="Calibri"/>
        </w:rPr>
      </w:pPr>
    </w:p>
    <w:p w14:paraId="1F610374" w14:textId="77777777" w:rsidR="000B0D01" w:rsidRPr="000B0D01" w:rsidRDefault="000B0D01" w:rsidP="000B0D01"/>
    <w:sectPr w:rsidR="000B0D01" w:rsidRPr="000B0D01" w:rsidSect="00172CF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35B2" w14:textId="77777777" w:rsidR="00D9044B" w:rsidRDefault="00D9044B" w:rsidP="00F721FD">
      <w:r>
        <w:separator/>
      </w:r>
    </w:p>
  </w:endnote>
  <w:endnote w:type="continuationSeparator" w:id="0">
    <w:p w14:paraId="34F8B5D2" w14:textId="77777777" w:rsidR="00D9044B" w:rsidRDefault="00D9044B" w:rsidP="00F7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22603"/>
      <w:docPartObj>
        <w:docPartGallery w:val="Page Numbers (Bottom of Page)"/>
        <w:docPartUnique/>
      </w:docPartObj>
    </w:sdtPr>
    <w:sdtEndPr>
      <w:rPr>
        <w:noProof/>
      </w:rPr>
    </w:sdtEndPr>
    <w:sdtContent>
      <w:p w14:paraId="31987027" w14:textId="4389AE0D" w:rsidR="00EE0101" w:rsidRDefault="00EE0101" w:rsidP="00F721F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C6DC14B" w14:textId="77777777" w:rsidR="00EE0101" w:rsidRDefault="00EE0101" w:rsidP="00F7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2CEA" w14:textId="77777777" w:rsidR="00D9044B" w:rsidRDefault="00D9044B" w:rsidP="00F721FD">
      <w:r>
        <w:separator/>
      </w:r>
    </w:p>
  </w:footnote>
  <w:footnote w:type="continuationSeparator" w:id="0">
    <w:p w14:paraId="220745FC" w14:textId="77777777" w:rsidR="00D9044B" w:rsidRDefault="00D9044B" w:rsidP="00F721FD">
      <w:r>
        <w:continuationSeparator/>
      </w:r>
    </w:p>
  </w:footnote>
  <w:footnote w:id="1">
    <w:p w14:paraId="662A8EFD" w14:textId="01B31B2C" w:rsidR="00EE0101" w:rsidRPr="003E02EA" w:rsidRDefault="00EE0101">
      <w:pPr>
        <w:pStyle w:val="FootnoteText"/>
        <w:rPr>
          <w:lang w:val="en-US"/>
        </w:rPr>
      </w:pPr>
      <w:r w:rsidRPr="00BA6237">
        <w:rPr>
          <w:rStyle w:val="FootnoteReference"/>
        </w:rPr>
        <w:footnoteRef/>
      </w:r>
      <w:r w:rsidRPr="00BA6237">
        <w:t xml:space="preserve"> Appendix</w:t>
      </w:r>
      <w:r w:rsidRPr="00BA6237">
        <w:rPr>
          <w:lang w:val="en-US"/>
        </w:rPr>
        <w:t xml:space="preserve"> </w:t>
      </w:r>
      <w:r w:rsidR="00BA6237" w:rsidRPr="00BA6237">
        <w:rPr>
          <w:lang w:val="en-US"/>
        </w:rPr>
        <w:t>A</w:t>
      </w:r>
      <w:r w:rsidRPr="00BA6237">
        <w:rPr>
          <w:lang w:val="en-US"/>
        </w:rPr>
        <w:t xml:space="preserve"> (all recommendations and findings)</w:t>
      </w:r>
    </w:p>
  </w:footnote>
  <w:footnote w:id="2">
    <w:p w14:paraId="7E7A3E12" w14:textId="28B7B3F8" w:rsidR="00EE0101" w:rsidRDefault="00EE0101">
      <w:pPr>
        <w:pStyle w:val="FootnoteText"/>
      </w:pPr>
      <w:r>
        <w:rPr>
          <w:rStyle w:val="FootnoteReference"/>
        </w:rPr>
        <w:footnoteRef/>
      </w:r>
      <w:r>
        <w:t xml:space="preserve"> </w:t>
      </w:r>
      <w:hyperlink r:id="rId1" w:history="1">
        <w:r w:rsidRPr="00C22584">
          <w:rPr>
            <w:rStyle w:val="Hyperlink"/>
            <w:lang w:val="en-US"/>
          </w:rPr>
          <w:t>Minister’s Sport and Recreation Briefing</w:t>
        </w:r>
      </w:hyperlink>
      <w:r>
        <w:rPr>
          <w:lang w:val="en-US"/>
        </w:rPr>
        <w:t xml:space="preserve">, (March 2018) available at Department of Local Government, Sport and Cultural Industries website </w:t>
      </w:r>
    </w:p>
  </w:footnote>
  <w:footnote w:id="3">
    <w:p w14:paraId="58556DDB" w14:textId="3701CDE5" w:rsidR="00EE0101" w:rsidRPr="00F22B08" w:rsidRDefault="00EE0101">
      <w:pPr>
        <w:pStyle w:val="FootnoteText"/>
        <w:rPr>
          <w:lang w:val="en-US"/>
        </w:rPr>
      </w:pPr>
      <w:r>
        <w:rPr>
          <w:rStyle w:val="FootnoteReference"/>
        </w:rPr>
        <w:footnoteRef/>
      </w:r>
      <w:r>
        <w:t xml:space="preserve"> </w:t>
      </w:r>
      <w:r>
        <w:rPr>
          <w:lang w:val="en-US"/>
        </w:rPr>
        <w:t xml:space="preserve">Since this time, the Point of Consumption tax has been introduced, which will provide an annual allocation of $3.7 million for the purpose of sport and recreation. This however does not reduce the challenge to focus financial resources into areas that provide the greatest value back to community. </w:t>
      </w:r>
    </w:p>
  </w:footnote>
  <w:footnote w:id="4">
    <w:p w14:paraId="465A15AD" w14:textId="1D1B61D1" w:rsidR="00EE0101" w:rsidRPr="007F6AD3" w:rsidRDefault="00EE0101">
      <w:pPr>
        <w:pStyle w:val="FootnoteText"/>
        <w:rPr>
          <w:lang w:val="en-US"/>
        </w:rPr>
      </w:pPr>
      <w:r>
        <w:rPr>
          <w:rStyle w:val="FootnoteReference"/>
        </w:rPr>
        <w:footnoteRef/>
      </w:r>
      <w:r>
        <w:t xml:space="preserve"> Note: the Common Ground document used the term </w:t>
      </w:r>
      <w:r>
        <w:rPr>
          <w:i/>
        </w:rPr>
        <w:t xml:space="preserve">effective </w:t>
      </w:r>
      <w:r>
        <w:t xml:space="preserve">in this topic discussion, as no qualifiers </w:t>
      </w:r>
      <w:r w:rsidRPr="007F6AD3">
        <w:t xml:space="preserve">were provided to the definition of ‘effective’, it has been determined to use the term </w:t>
      </w:r>
      <w:r w:rsidRPr="007F6AD3">
        <w:rPr>
          <w:i/>
        </w:rPr>
        <w:t xml:space="preserve">appropriate. </w:t>
      </w:r>
    </w:p>
  </w:footnote>
  <w:footnote w:id="5">
    <w:p w14:paraId="0BDEF771" w14:textId="712999E8" w:rsidR="00EE0101" w:rsidRPr="00272D8E" w:rsidRDefault="00EE0101">
      <w:pPr>
        <w:pStyle w:val="FootnoteText"/>
        <w:rPr>
          <w:lang w:val="en-US"/>
        </w:rPr>
      </w:pPr>
      <w:r w:rsidRPr="007F6AD3">
        <w:rPr>
          <w:rStyle w:val="FootnoteReference"/>
        </w:rPr>
        <w:footnoteRef/>
      </w:r>
      <w:r w:rsidRPr="007F6AD3">
        <w:t xml:space="preserve"> In this instance, professional sports are those categorised within the ‘self-sustaining’ criteria of the Industry Investment Program.</w:t>
      </w:r>
      <w:r>
        <w:t xml:space="preserve"> </w:t>
      </w:r>
    </w:p>
  </w:footnote>
  <w:footnote w:id="6">
    <w:p w14:paraId="52B6A834" w14:textId="5A820106" w:rsidR="00EE0101" w:rsidRPr="003E02EA" w:rsidRDefault="00EE0101">
      <w:pPr>
        <w:pStyle w:val="FootnoteText"/>
        <w:rPr>
          <w:lang w:val="en-US"/>
        </w:rPr>
      </w:pPr>
      <w:r>
        <w:rPr>
          <w:rStyle w:val="FootnoteReference"/>
        </w:rPr>
        <w:footnoteRef/>
      </w:r>
      <w:r>
        <w:t xml:space="preserve"> Note: the Common Ground document used the phrase </w:t>
      </w:r>
      <w:r w:rsidRPr="003E02EA">
        <w:rPr>
          <w:i/>
        </w:rPr>
        <w:t>return to core business</w:t>
      </w:r>
      <w:r w:rsidRPr="007E6531">
        <w:t>, through the consultation process there was a concern that the term ‘return’ inferred a reversion to the past whereas the term ‘</w:t>
      </w:r>
      <w:r w:rsidRPr="003E02EA">
        <w:rPr>
          <w:i/>
        </w:rPr>
        <w:t>define and deliver</w:t>
      </w:r>
      <w:r w:rsidRPr="007E6531">
        <w:t>’ recognis</w:t>
      </w:r>
      <w:r>
        <w:t>es</w:t>
      </w:r>
      <w:r w:rsidRPr="007E6531">
        <w:t xml:space="preserve"> a need to review but with an emphasis on moving forward.</w:t>
      </w:r>
    </w:p>
  </w:footnote>
  <w:footnote w:id="7">
    <w:p w14:paraId="5FAC87CA" w14:textId="6DAE3031" w:rsidR="00EE0101" w:rsidRPr="00C30C25" w:rsidRDefault="00EE0101">
      <w:pPr>
        <w:pStyle w:val="FootnoteText"/>
        <w:rPr>
          <w:lang w:val="en-US"/>
        </w:rPr>
      </w:pPr>
      <w:r>
        <w:rPr>
          <w:rStyle w:val="FootnoteReference"/>
        </w:rPr>
        <w:footnoteRef/>
      </w:r>
      <w:r>
        <w:t xml:space="preserve"> Note: the Common Ground document used the phrase </w:t>
      </w:r>
      <w:r>
        <w:rPr>
          <w:i/>
        </w:rPr>
        <w:t>one size does not fit all</w:t>
      </w:r>
      <w:r w:rsidRPr="007E6531">
        <w:t>.</w:t>
      </w:r>
      <w:r>
        <w:t xml:space="preserve"> This was seen as reactionary, and instead the </w:t>
      </w:r>
      <w:r>
        <w:rPr>
          <w:i/>
        </w:rPr>
        <w:t xml:space="preserve">customisation of approach </w:t>
      </w:r>
      <w:r>
        <w:t xml:space="preserve">was deemed more appropriate. </w:t>
      </w:r>
    </w:p>
  </w:footnote>
  <w:footnote w:id="8">
    <w:p w14:paraId="49521D39" w14:textId="7A549A69" w:rsidR="00EE0101" w:rsidRPr="00B33802" w:rsidRDefault="00EE0101">
      <w:pPr>
        <w:pStyle w:val="FootnoteText"/>
        <w:rPr>
          <w:lang w:val="en-US"/>
        </w:rPr>
      </w:pPr>
      <w:r w:rsidRPr="008509CA">
        <w:rPr>
          <w:rStyle w:val="FootnoteReference"/>
        </w:rPr>
        <w:footnoteRef/>
      </w:r>
      <w:r w:rsidRPr="008509CA">
        <w:t xml:space="preserve"> </w:t>
      </w:r>
      <w:r w:rsidRPr="008509CA">
        <w:rPr>
          <w:lang w:val="en-US"/>
        </w:rPr>
        <w:t>Note</w:t>
      </w:r>
      <w:r>
        <w:rPr>
          <w:lang w:val="en-US"/>
        </w:rPr>
        <w:t xml:space="preserve">: after the workshops it was decided that the sectors relationship with the Department of Education should be explored as it is equally critical from an industry sector perspective. </w:t>
      </w:r>
    </w:p>
  </w:footnote>
  <w:footnote w:id="9">
    <w:p w14:paraId="0E69E3CE" w14:textId="1F5514C0" w:rsidR="00EE0101" w:rsidRPr="003E02EA" w:rsidRDefault="00EE0101">
      <w:pPr>
        <w:pStyle w:val="FootnoteText"/>
        <w:rPr>
          <w:lang w:val="en-US"/>
        </w:rPr>
      </w:pPr>
      <w:r w:rsidRPr="00C20E85">
        <w:rPr>
          <w:rStyle w:val="FootnoteReference"/>
        </w:rPr>
        <w:footnoteRef/>
      </w:r>
      <w:r w:rsidRPr="00C20E85">
        <w:t xml:space="preserve"> It should be noted that infrastructure programs were not the focus of this process, and as such any comments are indicative only.</w:t>
      </w:r>
    </w:p>
  </w:footnote>
  <w:footnote w:id="10">
    <w:p w14:paraId="0A648D68" w14:textId="667224E6" w:rsidR="00474CD7" w:rsidRPr="00474CD7" w:rsidRDefault="00474CD7" w:rsidP="00474CD7">
      <w:pPr>
        <w:spacing w:after="160" w:line="259" w:lineRule="auto"/>
        <w:jc w:val="left"/>
        <w:rPr>
          <w:sz w:val="20"/>
          <w:szCs w:val="20"/>
        </w:rPr>
      </w:pPr>
      <w:r w:rsidRPr="00474CD7">
        <w:rPr>
          <w:rStyle w:val="FootnoteReference"/>
        </w:rPr>
        <w:footnoteRef/>
      </w:r>
      <w:r w:rsidRPr="00474CD7">
        <w:t xml:space="preserve"> </w:t>
      </w:r>
      <w:r w:rsidRPr="00474CD7">
        <w:rPr>
          <w:sz w:val="20"/>
          <w:szCs w:val="20"/>
        </w:rPr>
        <w:t>Gender target implementation is currently under development in conjunction with the Gender Diversity Advisory Group.</w:t>
      </w:r>
    </w:p>
    <w:p w14:paraId="7A887A23" w14:textId="235837E2" w:rsidR="00474CD7" w:rsidRPr="00474CD7" w:rsidRDefault="00474CD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97D2" w14:textId="2A05F053" w:rsidR="00EE0101" w:rsidRDefault="00EE0101" w:rsidP="00F7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2E0D"/>
    <w:multiLevelType w:val="hybridMultilevel"/>
    <w:tmpl w:val="A52AE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E7A8E"/>
    <w:multiLevelType w:val="hybridMultilevel"/>
    <w:tmpl w:val="E542D3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87014A"/>
    <w:multiLevelType w:val="hybridMultilevel"/>
    <w:tmpl w:val="1FB84D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A5EA1"/>
    <w:multiLevelType w:val="hybridMultilevel"/>
    <w:tmpl w:val="05D0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C1EC7"/>
    <w:multiLevelType w:val="hybridMultilevel"/>
    <w:tmpl w:val="DF08C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308A3"/>
    <w:multiLevelType w:val="hybridMultilevel"/>
    <w:tmpl w:val="E864CBFE"/>
    <w:lvl w:ilvl="0" w:tplc="8496F9C4">
      <w:start w:val="1"/>
      <w:numFmt w:val="bullet"/>
      <w:pStyle w:val="Dotpoints-Itali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962A5"/>
    <w:multiLevelType w:val="hybridMultilevel"/>
    <w:tmpl w:val="3CE2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77E1A"/>
    <w:multiLevelType w:val="hybridMultilevel"/>
    <w:tmpl w:val="0240AE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BAB6B2C"/>
    <w:multiLevelType w:val="hybridMultilevel"/>
    <w:tmpl w:val="49C6A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A97CDB"/>
    <w:multiLevelType w:val="hybridMultilevel"/>
    <w:tmpl w:val="03EA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4B58B1"/>
    <w:multiLevelType w:val="hybridMultilevel"/>
    <w:tmpl w:val="49C6A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0A39BB"/>
    <w:multiLevelType w:val="hybridMultilevel"/>
    <w:tmpl w:val="07AC89F0"/>
    <w:lvl w:ilvl="0" w:tplc="4DEE1274">
      <w:start w:val="1"/>
      <w:numFmt w:val="bullet"/>
      <w:pStyle w:val="Dotpoints-level2"/>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CC0093"/>
    <w:multiLevelType w:val="hybridMultilevel"/>
    <w:tmpl w:val="BACE192C"/>
    <w:lvl w:ilvl="0" w:tplc="DC487978">
      <w:start w:val="1"/>
      <w:numFmt w:val="decimal"/>
      <w:pStyle w:val="DotPoints-Numbers"/>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2C5AA0"/>
    <w:multiLevelType w:val="hybridMultilevel"/>
    <w:tmpl w:val="E53E11C0"/>
    <w:lvl w:ilvl="0" w:tplc="8460BE94">
      <w:start w:val="1"/>
      <w:numFmt w:val="bullet"/>
      <w:pStyle w:val="DotPoints-level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E6851A3"/>
    <w:multiLevelType w:val="hybridMultilevel"/>
    <w:tmpl w:val="464AD5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4F35F5"/>
    <w:multiLevelType w:val="hybridMultilevel"/>
    <w:tmpl w:val="34142C0A"/>
    <w:lvl w:ilvl="0" w:tplc="D8CC950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0124C4"/>
    <w:multiLevelType w:val="hybridMultilevel"/>
    <w:tmpl w:val="59C09AE4"/>
    <w:lvl w:ilvl="0" w:tplc="D8CC950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12"/>
  </w:num>
  <w:num w:numId="6">
    <w:abstractNumId w:val="14"/>
  </w:num>
  <w:num w:numId="7">
    <w:abstractNumId w:val="2"/>
  </w:num>
  <w:num w:numId="8">
    <w:abstractNumId w:val="16"/>
  </w:num>
  <w:num w:numId="9">
    <w:abstractNumId w:val="13"/>
  </w:num>
  <w:num w:numId="10">
    <w:abstractNumId w:val="11"/>
  </w:num>
  <w:num w:numId="11">
    <w:abstractNumId w:val="10"/>
  </w:num>
  <w:num w:numId="12">
    <w:abstractNumId w:val="8"/>
  </w:num>
  <w:num w:numId="13">
    <w:abstractNumId w:val="0"/>
  </w:num>
  <w:num w:numId="14">
    <w:abstractNumId w:val="15"/>
  </w:num>
  <w:num w:numId="15">
    <w:abstractNumId w:val="7"/>
  </w:num>
  <w:num w:numId="16">
    <w:abstractNumId w:val="1"/>
  </w:num>
  <w:num w:numId="17">
    <w:abstractNumId w:val="12"/>
    <w:lvlOverride w:ilvl="0">
      <w:startOverride w:val="1"/>
    </w:lvlOverride>
  </w:num>
  <w:num w:numId="18">
    <w:abstractNumId w:val="4"/>
  </w:num>
  <w:num w:numId="19">
    <w:abstractNumId w:val="1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CF"/>
    <w:rsid w:val="00000581"/>
    <w:rsid w:val="00000F6D"/>
    <w:rsid w:val="00003062"/>
    <w:rsid w:val="000031C4"/>
    <w:rsid w:val="00005D90"/>
    <w:rsid w:val="000063EF"/>
    <w:rsid w:val="00006C03"/>
    <w:rsid w:val="000076CA"/>
    <w:rsid w:val="000100A4"/>
    <w:rsid w:val="00010DC4"/>
    <w:rsid w:val="000147DC"/>
    <w:rsid w:val="00014FDB"/>
    <w:rsid w:val="00017B20"/>
    <w:rsid w:val="0002039F"/>
    <w:rsid w:val="000217E8"/>
    <w:rsid w:val="000218FC"/>
    <w:rsid w:val="000222C8"/>
    <w:rsid w:val="000226DF"/>
    <w:rsid w:val="00023F66"/>
    <w:rsid w:val="0002423F"/>
    <w:rsid w:val="0002425A"/>
    <w:rsid w:val="00025F32"/>
    <w:rsid w:val="00027E9D"/>
    <w:rsid w:val="00034471"/>
    <w:rsid w:val="00035A49"/>
    <w:rsid w:val="00035FD9"/>
    <w:rsid w:val="00037163"/>
    <w:rsid w:val="00040926"/>
    <w:rsid w:val="00040DE5"/>
    <w:rsid w:val="00040E36"/>
    <w:rsid w:val="0004254F"/>
    <w:rsid w:val="00044C68"/>
    <w:rsid w:val="00044D85"/>
    <w:rsid w:val="00046736"/>
    <w:rsid w:val="00050FA9"/>
    <w:rsid w:val="000514F6"/>
    <w:rsid w:val="00051677"/>
    <w:rsid w:val="00051D73"/>
    <w:rsid w:val="00053845"/>
    <w:rsid w:val="00053939"/>
    <w:rsid w:val="000546C6"/>
    <w:rsid w:val="00055BF0"/>
    <w:rsid w:val="00055F1F"/>
    <w:rsid w:val="00057164"/>
    <w:rsid w:val="00065579"/>
    <w:rsid w:val="00066A33"/>
    <w:rsid w:val="00067305"/>
    <w:rsid w:val="00070CDD"/>
    <w:rsid w:val="00070E7C"/>
    <w:rsid w:val="00071F40"/>
    <w:rsid w:val="00072B27"/>
    <w:rsid w:val="000734C4"/>
    <w:rsid w:val="000758F7"/>
    <w:rsid w:val="0007590A"/>
    <w:rsid w:val="0007651E"/>
    <w:rsid w:val="00080321"/>
    <w:rsid w:val="00083BCD"/>
    <w:rsid w:val="00083E2F"/>
    <w:rsid w:val="00084BC8"/>
    <w:rsid w:val="00085C6B"/>
    <w:rsid w:val="00086BB8"/>
    <w:rsid w:val="00091183"/>
    <w:rsid w:val="000925B8"/>
    <w:rsid w:val="000929BB"/>
    <w:rsid w:val="0009431C"/>
    <w:rsid w:val="00094DCD"/>
    <w:rsid w:val="00095970"/>
    <w:rsid w:val="00095FAC"/>
    <w:rsid w:val="00096241"/>
    <w:rsid w:val="00096C0F"/>
    <w:rsid w:val="000A1A5C"/>
    <w:rsid w:val="000A26FA"/>
    <w:rsid w:val="000A6FB8"/>
    <w:rsid w:val="000A70C7"/>
    <w:rsid w:val="000B0D01"/>
    <w:rsid w:val="000B1126"/>
    <w:rsid w:val="000B1166"/>
    <w:rsid w:val="000B174F"/>
    <w:rsid w:val="000B2C67"/>
    <w:rsid w:val="000B2F07"/>
    <w:rsid w:val="000B4240"/>
    <w:rsid w:val="000B4580"/>
    <w:rsid w:val="000B5249"/>
    <w:rsid w:val="000B5DD4"/>
    <w:rsid w:val="000B6342"/>
    <w:rsid w:val="000B721A"/>
    <w:rsid w:val="000B7245"/>
    <w:rsid w:val="000B74BE"/>
    <w:rsid w:val="000C0964"/>
    <w:rsid w:val="000C0C1D"/>
    <w:rsid w:val="000C13CD"/>
    <w:rsid w:val="000C2CDB"/>
    <w:rsid w:val="000C30E5"/>
    <w:rsid w:val="000C3168"/>
    <w:rsid w:val="000C4642"/>
    <w:rsid w:val="000C498D"/>
    <w:rsid w:val="000C4A03"/>
    <w:rsid w:val="000C5796"/>
    <w:rsid w:val="000C6256"/>
    <w:rsid w:val="000C6549"/>
    <w:rsid w:val="000C66C4"/>
    <w:rsid w:val="000C6B4C"/>
    <w:rsid w:val="000C792B"/>
    <w:rsid w:val="000C7ED1"/>
    <w:rsid w:val="000D03A8"/>
    <w:rsid w:val="000D0AFA"/>
    <w:rsid w:val="000D1256"/>
    <w:rsid w:val="000D15D5"/>
    <w:rsid w:val="000D2A8E"/>
    <w:rsid w:val="000D3989"/>
    <w:rsid w:val="000D4BC0"/>
    <w:rsid w:val="000D4D03"/>
    <w:rsid w:val="000D5075"/>
    <w:rsid w:val="000D5228"/>
    <w:rsid w:val="000D54FB"/>
    <w:rsid w:val="000D5898"/>
    <w:rsid w:val="000D6AFE"/>
    <w:rsid w:val="000E33B1"/>
    <w:rsid w:val="000E3551"/>
    <w:rsid w:val="000E3AA0"/>
    <w:rsid w:val="000E4A1E"/>
    <w:rsid w:val="000E5FDF"/>
    <w:rsid w:val="000F0250"/>
    <w:rsid w:val="000F0EAF"/>
    <w:rsid w:val="000F1470"/>
    <w:rsid w:val="000F147E"/>
    <w:rsid w:val="000F1B40"/>
    <w:rsid w:val="000F2370"/>
    <w:rsid w:val="000F2CE9"/>
    <w:rsid w:val="000F2F51"/>
    <w:rsid w:val="000F4680"/>
    <w:rsid w:val="000F5FBA"/>
    <w:rsid w:val="000F65B0"/>
    <w:rsid w:val="000F7181"/>
    <w:rsid w:val="00101F89"/>
    <w:rsid w:val="00102162"/>
    <w:rsid w:val="00102B06"/>
    <w:rsid w:val="00102BB8"/>
    <w:rsid w:val="00103B60"/>
    <w:rsid w:val="00105893"/>
    <w:rsid w:val="00110A20"/>
    <w:rsid w:val="00110AC9"/>
    <w:rsid w:val="00113516"/>
    <w:rsid w:val="00114441"/>
    <w:rsid w:val="001148E6"/>
    <w:rsid w:val="0011602E"/>
    <w:rsid w:val="00116FD7"/>
    <w:rsid w:val="00117D6A"/>
    <w:rsid w:val="001233CE"/>
    <w:rsid w:val="00127019"/>
    <w:rsid w:val="00127C2F"/>
    <w:rsid w:val="00130810"/>
    <w:rsid w:val="00133EB8"/>
    <w:rsid w:val="00135B72"/>
    <w:rsid w:val="001368F1"/>
    <w:rsid w:val="001374B8"/>
    <w:rsid w:val="0013778B"/>
    <w:rsid w:val="0014015E"/>
    <w:rsid w:val="00141BD6"/>
    <w:rsid w:val="00142D59"/>
    <w:rsid w:val="00143671"/>
    <w:rsid w:val="00144203"/>
    <w:rsid w:val="00146B32"/>
    <w:rsid w:val="00146B70"/>
    <w:rsid w:val="001475E1"/>
    <w:rsid w:val="00147C87"/>
    <w:rsid w:val="00150A4C"/>
    <w:rsid w:val="0015142C"/>
    <w:rsid w:val="00151ADA"/>
    <w:rsid w:val="00152649"/>
    <w:rsid w:val="00154153"/>
    <w:rsid w:val="001557ED"/>
    <w:rsid w:val="00155D08"/>
    <w:rsid w:val="00156692"/>
    <w:rsid w:val="00160489"/>
    <w:rsid w:val="00161343"/>
    <w:rsid w:val="0016167F"/>
    <w:rsid w:val="00162088"/>
    <w:rsid w:val="00163C48"/>
    <w:rsid w:val="0016472C"/>
    <w:rsid w:val="00164EF2"/>
    <w:rsid w:val="0016572F"/>
    <w:rsid w:val="00166B7C"/>
    <w:rsid w:val="001718FF"/>
    <w:rsid w:val="001719DF"/>
    <w:rsid w:val="00172C6D"/>
    <w:rsid w:val="00172CFB"/>
    <w:rsid w:val="00173555"/>
    <w:rsid w:val="001739E7"/>
    <w:rsid w:val="001746BA"/>
    <w:rsid w:val="00174B69"/>
    <w:rsid w:val="001760D3"/>
    <w:rsid w:val="00177DD0"/>
    <w:rsid w:val="00177E82"/>
    <w:rsid w:val="00181086"/>
    <w:rsid w:val="0018111D"/>
    <w:rsid w:val="00182B45"/>
    <w:rsid w:val="001861BE"/>
    <w:rsid w:val="00190B2A"/>
    <w:rsid w:val="00192692"/>
    <w:rsid w:val="00192D62"/>
    <w:rsid w:val="0019357A"/>
    <w:rsid w:val="00194133"/>
    <w:rsid w:val="00194919"/>
    <w:rsid w:val="00194968"/>
    <w:rsid w:val="0019592E"/>
    <w:rsid w:val="00196819"/>
    <w:rsid w:val="00196E57"/>
    <w:rsid w:val="001A01F1"/>
    <w:rsid w:val="001A2DBC"/>
    <w:rsid w:val="001A77FB"/>
    <w:rsid w:val="001B0F4E"/>
    <w:rsid w:val="001B120B"/>
    <w:rsid w:val="001B1530"/>
    <w:rsid w:val="001B1E28"/>
    <w:rsid w:val="001B30C1"/>
    <w:rsid w:val="001B4B52"/>
    <w:rsid w:val="001B5AB5"/>
    <w:rsid w:val="001C092D"/>
    <w:rsid w:val="001C0E89"/>
    <w:rsid w:val="001C4123"/>
    <w:rsid w:val="001C6E8C"/>
    <w:rsid w:val="001C7F6F"/>
    <w:rsid w:val="001D2DD3"/>
    <w:rsid w:val="001D5312"/>
    <w:rsid w:val="001D666E"/>
    <w:rsid w:val="001D748F"/>
    <w:rsid w:val="001E0A78"/>
    <w:rsid w:val="001E69CF"/>
    <w:rsid w:val="001E7E7F"/>
    <w:rsid w:val="001F241E"/>
    <w:rsid w:val="001F41E9"/>
    <w:rsid w:val="001F43DC"/>
    <w:rsid w:val="001F52FB"/>
    <w:rsid w:val="001F64DE"/>
    <w:rsid w:val="001F7596"/>
    <w:rsid w:val="00200403"/>
    <w:rsid w:val="0020075F"/>
    <w:rsid w:val="0020165F"/>
    <w:rsid w:val="00201C1A"/>
    <w:rsid w:val="00202038"/>
    <w:rsid w:val="00202B98"/>
    <w:rsid w:val="00203189"/>
    <w:rsid w:val="002067DE"/>
    <w:rsid w:val="00211F20"/>
    <w:rsid w:val="00212672"/>
    <w:rsid w:val="0021448F"/>
    <w:rsid w:val="00215FC1"/>
    <w:rsid w:val="00216612"/>
    <w:rsid w:val="00216B04"/>
    <w:rsid w:val="00216B8F"/>
    <w:rsid w:val="002201BB"/>
    <w:rsid w:val="00220261"/>
    <w:rsid w:val="002215AD"/>
    <w:rsid w:val="0022194A"/>
    <w:rsid w:val="00221B55"/>
    <w:rsid w:val="00222299"/>
    <w:rsid w:val="00223E0D"/>
    <w:rsid w:val="00224C9F"/>
    <w:rsid w:val="00226829"/>
    <w:rsid w:val="00227F38"/>
    <w:rsid w:val="002304C3"/>
    <w:rsid w:val="002304CD"/>
    <w:rsid w:val="00230B5F"/>
    <w:rsid w:val="00233CC5"/>
    <w:rsid w:val="00235141"/>
    <w:rsid w:val="00235F0B"/>
    <w:rsid w:val="00236611"/>
    <w:rsid w:val="00236B85"/>
    <w:rsid w:val="00241413"/>
    <w:rsid w:val="002424E9"/>
    <w:rsid w:val="002429E1"/>
    <w:rsid w:val="00242FEF"/>
    <w:rsid w:val="0024395D"/>
    <w:rsid w:val="00246473"/>
    <w:rsid w:val="00246AF3"/>
    <w:rsid w:val="00246B3F"/>
    <w:rsid w:val="00247739"/>
    <w:rsid w:val="00250346"/>
    <w:rsid w:val="00250AD0"/>
    <w:rsid w:val="0025100B"/>
    <w:rsid w:val="00251543"/>
    <w:rsid w:val="00251C60"/>
    <w:rsid w:val="00253858"/>
    <w:rsid w:val="0025388F"/>
    <w:rsid w:val="002539F4"/>
    <w:rsid w:val="00253B01"/>
    <w:rsid w:val="00254733"/>
    <w:rsid w:val="002555B2"/>
    <w:rsid w:val="0025607F"/>
    <w:rsid w:val="00256F21"/>
    <w:rsid w:val="0025702E"/>
    <w:rsid w:val="00260229"/>
    <w:rsid w:val="00260B7B"/>
    <w:rsid w:val="00261466"/>
    <w:rsid w:val="00262143"/>
    <w:rsid w:val="0026397A"/>
    <w:rsid w:val="002708ED"/>
    <w:rsid w:val="00270C55"/>
    <w:rsid w:val="00272D8E"/>
    <w:rsid w:val="00273720"/>
    <w:rsid w:val="002760A1"/>
    <w:rsid w:val="00276310"/>
    <w:rsid w:val="00280A1F"/>
    <w:rsid w:val="002830B8"/>
    <w:rsid w:val="002835D0"/>
    <w:rsid w:val="00284452"/>
    <w:rsid w:val="00285A49"/>
    <w:rsid w:val="002863DA"/>
    <w:rsid w:val="0029019D"/>
    <w:rsid w:val="002903A5"/>
    <w:rsid w:val="0029080C"/>
    <w:rsid w:val="00291E31"/>
    <w:rsid w:val="00296F88"/>
    <w:rsid w:val="002A07B7"/>
    <w:rsid w:val="002A2F2F"/>
    <w:rsid w:val="002A6A85"/>
    <w:rsid w:val="002A72E5"/>
    <w:rsid w:val="002B04B0"/>
    <w:rsid w:val="002B1378"/>
    <w:rsid w:val="002B1E2A"/>
    <w:rsid w:val="002B3339"/>
    <w:rsid w:val="002B4488"/>
    <w:rsid w:val="002B4D23"/>
    <w:rsid w:val="002B66E6"/>
    <w:rsid w:val="002B6E4D"/>
    <w:rsid w:val="002C2461"/>
    <w:rsid w:val="002C3D53"/>
    <w:rsid w:val="002C53B8"/>
    <w:rsid w:val="002C7FB1"/>
    <w:rsid w:val="002D21AE"/>
    <w:rsid w:val="002D239D"/>
    <w:rsid w:val="002D6EDC"/>
    <w:rsid w:val="002E0BB5"/>
    <w:rsid w:val="002E1F2F"/>
    <w:rsid w:val="002E2747"/>
    <w:rsid w:val="002E278F"/>
    <w:rsid w:val="002E34F4"/>
    <w:rsid w:val="002E63CB"/>
    <w:rsid w:val="002F05F0"/>
    <w:rsid w:val="002F08F9"/>
    <w:rsid w:val="002F0AEB"/>
    <w:rsid w:val="002F0D9A"/>
    <w:rsid w:val="002F1757"/>
    <w:rsid w:val="002F34E3"/>
    <w:rsid w:val="002F4BFD"/>
    <w:rsid w:val="002F5986"/>
    <w:rsid w:val="002F5E7E"/>
    <w:rsid w:val="002F6C3E"/>
    <w:rsid w:val="002F70A0"/>
    <w:rsid w:val="00300BEA"/>
    <w:rsid w:val="00301A8B"/>
    <w:rsid w:val="00302F2C"/>
    <w:rsid w:val="00303F9A"/>
    <w:rsid w:val="003042E7"/>
    <w:rsid w:val="00304E87"/>
    <w:rsid w:val="00305891"/>
    <w:rsid w:val="00307438"/>
    <w:rsid w:val="003075AD"/>
    <w:rsid w:val="003105C5"/>
    <w:rsid w:val="00313563"/>
    <w:rsid w:val="00313D3E"/>
    <w:rsid w:val="00316E29"/>
    <w:rsid w:val="0031742B"/>
    <w:rsid w:val="00317E12"/>
    <w:rsid w:val="0032063A"/>
    <w:rsid w:val="00320E29"/>
    <w:rsid w:val="00321170"/>
    <w:rsid w:val="003214CF"/>
    <w:rsid w:val="003262F6"/>
    <w:rsid w:val="00326EC7"/>
    <w:rsid w:val="00327323"/>
    <w:rsid w:val="00330564"/>
    <w:rsid w:val="00332D87"/>
    <w:rsid w:val="0033375F"/>
    <w:rsid w:val="00333776"/>
    <w:rsid w:val="0033462A"/>
    <w:rsid w:val="00334EB9"/>
    <w:rsid w:val="00334F39"/>
    <w:rsid w:val="003350B3"/>
    <w:rsid w:val="00335A1B"/>
    <w:rsid w:val="00335C7B"/>
    <w:rsid w:val="00335DA9"/>
    <w:rsid w:val="00337106"/>
    <w:rsid w:val="00340672"/>
    <w:rsid w:val="00340822"/>
    <w:rsid w:val="00341687"/>
    <w:rsid w:val="003461D3"/>
    <w:rsid w:val="00346388"/>
    <w:rsid w:val="003465C0"/>
    <w:rsid w:val="0035019F"/>
    <w:rsid w:val="00350333"/>
    <w:rsid w:val="003505E0"/>
    <w:rsid w:val="003508E5"/>
    <w:rsid w:val="00350E5D"/>
    <w:rsid w:val="00352E87"/>
    <w:rsid w:val="00353E00"/>
    <w:rsid w:val="00354E85"/>
    <w:rsid w:val="00354E95"/>
    <w:rsid w:val="003559AA"/>
    <w:rsid w:val="003561CD"/>
    <w:rsid w:val="003575D6"/>
    <w:rsid w:val="003577B4"/>
    <w:rsid w:val="00357FC8"/>
    <w:rsid w:val="003603C8"/>
    <w:rsid w:val="003611ED"/>
    <w:rsid w:val="00363A6F"/>
    <w:rsid w:val="003647A3"/>
    <w:rsid w:val="0036640D"/>
    <w:rsid w:val="00366F7E"/>
    <w:rsid w:val="0036707B"/>
    <w:rsid w:val="00367B67"/>
    <w:rsid w:val="00372B06"/>
    <w:rsid w:val="00372F5C"/>
    <w:rsid w:val="00374FAB"/>
    <w:rsid w:val="003753AE"/>
    <w:rsid w:val="0038020F"/>
    <w:rsid w:val="00380B91"/>
    <w:rsid w:val="003819AD"/>
    <w:rsid w:val="00382AE7"/>
    <w:rsid w:val="00382D23"/>
    <w:rsid w:val="00386681"/>
    <w:rsid w:val="00390DFB"/>
    <w:rsid w:val="003915AA"/>
    <w:rsid w:val="003928C3"/>
    <w:rsid w:val="00392E2A"/>
    <w:rsid w:val="003A0991"/>
    <w:rsid w:val="003A3005"/>
    <w:rsid w:val="003A3BCB"/>
    <w:rsid w:val="003A3FF2"/>
    <w:rsid w:val="003A4379"/>
    <w:rsid w:val="003A48E3"/>
    <w:rsid w:val="003A6087"/>
    <w:rsid w:val="003A63E2"/>
    <w:rsid w:val="003A6C7B"/>
    <w:rsid w:val="003A7FC8"/>
    <w:rsid w:val="003B028A"/>
    <w:rsid w:val="003B131E"/>
    <w:rsid w:val="003B1353"/>
    <w:rsid w:val="003B1F7E"/>
    <w:rsid w:val="003B274D"/>
    <w:rsid w:val="003B2D2F"/>
    <w:rsid w:val="003B62DC"/>
    <w:rsid w:val="003B7269"/>
    <w:rsid w:val="003C0AC2"/>
    <w:rsid w:val="003C11A7"/>
    <w:rsid w:val="003C12E0"/>
    <w:rsid w:val="003C1F93"/>
    <w:rsid w:val="003C2E08"/>
    <w:rsid w:val="003C394F"/>
    <w:rsid w:val="003C3F2D"/>
    <w:rsid w:val="003C4221"/>
    <w:rsid w:val="003C43CA"/>
    <w:rsid w:val="003C5248"/>
    <w:rsid w:val="003C5B04"/>
    <w:rsid w:val="003D0A49"/>
    <w:rsid w:val="003D1C22"/>
    <w:rsid w:val="003D26FC"/>
    <w:rsid w:val="003D29CB"/>
    <w:rsid w:val="003D37CD"/>
    <w:rsid w:val="003D4477"/>
    <w:rsid w:val="003D4D36"/>
    <w:rsid w:val="003D5261"/>
    <w:rsid w:val="003D6188"/>
    <w:rsid w:val="003D74FB"/>
    <w:rsid w:val="003D764D"/>
    <w:rsid w:val="003D7A08"/>
    <w:rsid w:val="003D7D5A"/>
    <w:rsid w:val="003E02EA"/>
    <w:rsid w:val="003E2692"/>
    <w:rsid w:val="003E42EE"/>
    <w:rsid w:val="003E4933"/>
    <w:rsid w:val="003E5C74"/>
    <w:rsid w:val="003E6411"/>
    <w:rsid w:val="003E6CBD"/>
    <w:rsid w:val="003F1F0C"/>
    <w:rsid w:val="003F2BC6"/>
    <w:rsid w:val="003F4760"/>
    <w:rsid w:val="003F4948"/>
    <w:rsid w:val="003F4B90"/>
    <w:rsid w:val="003F71A5"/>
    <w:rsid w:val="003F7288"/>
    <w:rsid w:val="00400767"/>
    <w:rsid w:val="00400A07"/>
    <w:rsid w:val="00400D31"/>
    <w:rsid w:val="00401F59"/>
    <w:rsid w:val="00402A6D"/>
    <w:rsid w:val="00402E04"/>
    <w:rsid w:val="0040347D"/>
    <w:rsid w:val="0040533A"/>
    <w:rsid w:val="00405854"/>
    <w:rsid w:val="00406186"/>
    <w:rsid w:val="00407786"/>
    <w:rsid w:val="004112FE"/>
    <w:rsid w:val="004114ED"/>
    <w:rsid w:val="00414198"/>
    <w:rsid w:val="00414900"/>
    <w:rsid w:val="00414B67"/>
    <w:rsid w:val="00414FA7"/>
    <w:rsid w:val="00415BEF"/>
    <w:rsid w:val="004167CD"/>
    <w:rsid w:val="00416C99"/>
    <w:rsid w:val="004230DF"/>
    <w:rsid w:val="00423A1D"/>
    <w:rsid w:val="004266ED"/>
    <w:rsid w:val="00426EFD"/>
    <w:rsid w:val="0042704E"/>
    <w:rsid w:val="00427D59"/>
    <w:rsid w:val="004310F7"/>
    <w:rsid w:val="0043224F"/>
    <w:rsid w:val="004326F5"/>
    <w:rsid w:val="00432AEF"/>
    <w:rsid w:val="00433C56"/>
    <w:rsid w:val="00433D8C"/>
    <w:rsid w:val="004343A2"/>
    <w:rsid w:val="004369E8"/>
    <w:rsid w:val="0044048F"/>
    <w:rsid w:val="004406EB"/>
    <w:rsid w:val="004414E9"/>
    <w:rsid w:val="0044172C"/>
    <w:rsid w:val="00442661"/>
    <w:rsid w:val="00442B42"/>
    <w:rsid w:val="00443CB1"/>
    <w:rsid w:val="0044529D"/>
    <w:rsid w:val="00445807"/>
    <w:rsid w:val="00447C3F"/>
    <w:rsid w:val="00450625"/>
    <w:rsid w:val="004523E0"/>
    <w:rsid w:val="00452C3C"/>
    <w:rsid w:val="004548F4"/>
    <w:rsid w:val="004625CE"/>
    <w:rsid w:val="00463209"/>
    <w:rsid w:val="00464A5B"/>
    <w:rsid w:val="004651C8"/>
    <w:rsid w:val="00466AEA"/>
    <w:rsid w:val="00467644"/>
    <w:rsid w:val="00467851"/>
    <w:rsid w:val="00471830"/>
    <w:rsid w:val="00471C2A"/>
    <w:rsid w:val="0047454F"/>
    <w:rsid w:val="00474CD7"/>
    <w:rsid w:val="00475A71"/>
    <w:rsid w:val="00475AB6"/>
    <w:rsid w:val="00475B4C"/>
    <w:rsid w:val="004802F2"/>
    <w:rsid w:val="0048126E"/>
    <w:rsid w:val="004815D1"/>
    <w:rsid w:val="00481730"/>
    <w:rsid w:val="004817FC"/>
    <w:rsid w:val="004824D7"/>
    <w:rsid w:val="00484ADF"/>
    <w:rsid w:val="0048609A"/>
    <w:rsid w:val="00486843"/>
    <w:rsid w:val="00487A1C"/>
    <w:rsid w:val="0049525C"/>
    <w:rsid w:val="00495411"/>
    <w:rsid w:val="004963C1"/>
    <w:rsid w:val="00496887"/>
    <w:rsid w:val="00496D4D"/>
    <w:rsid w:val="004A1422"/>
    <w:rsid w:val="004A1FA8"/>
    <w:rsid w:val="004A3A70"/>
    <w:rsid w:val="004A42DD"/>
    <w:rsid w:val="004A4806"/>
    <w:rsid w:val="004A4EE7"/>
    <w:rsid w:val="004A6320"/>
    <w:rsid w:val="004A6BB2"/>
    <w:rsid w:val="004A7D21"/>
    <w:rsid w:val="004B0CDA"/>
    <w:rsid w:val="004B3623"/>
    <w:rsid w:val="004B40E5"/>
    <w:rsid w:val="004B4C30"/>
    <w:rsid w:val="004B573B"/>
    <w:rsid w:val="004B5F3E"/>
    <w:rsid w:val="004B7B93"/>
    <w:rsid w:val="004C05E9"/>
    <w:rsid w:val="004C0F7C"/>
    <w:rsid w:val="004C48E6"/>
    <w:rsid w:val="004C5C61"/>
    <w:rsid w:val="004C7833"/>
    <w:rsid w:val="004C7938"/>
    <w:rsid w:val="004D4E75"/>
    <w:rsid w:val="004D66DD"/>
    <w:rsid w:val="004D6A62"/>
    <w:rsid w:val="004D7461"/>
    <w:rsid w:val="004E224C"/>
    <w:rsid w:val="004E258B"/>
    <w:rsid w:val="004E2804"/>
    <w:rsid w:val="004E4D6B"/>
    <w:rsid w:val="004E56FD"/>
    <w:rsid w:val="004E672E"/>
    <w:rsid w:val="004F302F"/>
    <w:rsid w:val="004F42E0"/>
    <w:rsid w:val="004F468F"/>
    <w:rsid w:val="004F50AB"/>
    <w:rsid w:val="004F5578"/>
    <w:rsid w:val="004F5592"/>
    <w:rsid w:val="004F56A8"/>
    <w:rsid w:val="004F598D"/>
    <w:rsid w:val="004F5A4D"/>
    <w:rsid w:val="004F6217"/>
    <w:rsid w:val="004F710A"/>
    <w:rsid w:val="004F7111"/>
    <w:rsid w:val="004F7676"/>
    <w:rsid w:val="0050069B"/>
    <w:rsid w:val="00500C2F"/>
    <w:rsid w:val="0050209B"/>
    <w:rsid w:val="0050291C"/>
    <w:rsid w:val="00503470"/>
    <w:rsid w:val="00503824"/>
    <w:rsid w:val="0051225D"/>
    <w:rsid w:val="00512811"/>
    <w:rsid w:val="00512B00"/>
    <w:rsid w:val="0051496C"/>
    <w:rsid w:val="00515351"/>
    <w:rsid w:val="005162B3"/>
    <w:rsid w:val="00521667"/>
    <w:rsid w:val="00522B40"/>
    <w:rsid w:val="00523A97"/>
    <w:rsid w:val="00523C8E"/>
    <w:rsid w:val="00523E05"/>
    <w:rsid w:val="00524DED"/>
    <w:rsid w:val="00525B87"/>
    <w:rsid w:val="00525D6D"/>
    <w:rsid w:val="00526835"/>
    <w:rsid w:val="00526894"/>
    <w:rsid w:val="00531662"/>
    <w:rsid w:val="00532532"/>
    <w:rsid w:val="005327CB"/>
    <w:rsid w:val="005331F0"/>
    <w:rsid w:val="005334E2"/>
    <w:rsid w:val="00533F3C"/>
    <w:rsid w:val="00534B90"/>
    <w:rsid w:val="0053508B"/>
    <w:rsid w:val="00536646"/>
    <w:rsid w:val="005369FB"/>
    <w:rsid w:val="00536B62"/>
    <w:rsid w:val="00543125"/>
    <w:rsid w:val="005438A0"/>
    <w:rsid w:val="0054512C"/>
    <w:rsid w:val="005457A1"/>
    <w:rsid w:val="00545AF5"/>
    <w:rsid w:val="00545FDF"/>
    <w:rsid w:val="005467FC"/>
    <w:rsid w:val="005478F7"/>
    <w:rsid w:val="00550116"/>
    <w:rsid w:val="0055012A"/>
    <w:rsid w:val="0055028D"/>
    <w:rsid w:val="005511C9"/>
    <w:rsid w:val="00551D6E"/>
    <w:rsid w:val="005534CA"/>
    <w:rsid w:val="005537C7"/>
    <w:rsid w:val="00554050"/>
    <w:rsid w:val="00555877"/>
    <w:rsid w:val="00555DF7"/>
    <w:rsid w:val="00555F5B"/>
    <w:rsid w:val="005608A8"/>
    <w:rsid w:val="00560A9F"/>
    <w:rsid w:val="00561D13"/>
    <w:rsid w:val="005624B8"/>
    <w:rsid w:val="0056312B"/>
    <w:rsid w:val="005645A6"/>
    <w:rsid w:val="00564790"/>
    <w:rsid w:val="00564E93"/>
    <w:rsid w:val="005657A1"/>
    <w:rsid w:val="00566339"/>
    <w:rsid w:val="0056667E"/>
    <w:rsid w:val="00566CF9"/>
    <w:rsid w:val="00570E76"/>
    <w:rsid w:val="005711FE"/>
    <w:rsid w:val="00571308"/>
    <w:rsid w:val="00572FC7"/>
    <w:rsid w:val="00573AA6"/>
    <w:rsid w:val="00574009"/>
    <w:rsid w:val="00574405"/>
    <w:rsid w:val="0057448F"/>
    <w:rsid w:val="005753E0"/>
    <w:rsid w:val="005755A0"/>
    <w:rsid w:val="00575C44"/>
    <w:rsid w:val="00576D9B"/>
    <w:rsid w:val="00582334"/>
    <w:rsid w:val="0058442C"/>
    <w:rsid w:val="00586003"/>
    <w:rsid w:val="005860F0"/>
    <w:rsid w:val="00586E7B"/>
    <w:rsid w:val="00586FB3"/>
    <w:rsid w:val="00587068"/>
    <w:rsid w:val="005876A5"/>
    <w:rsid w:val="00587B1F"/>
    <w:rsid w:val="0059138E"/>
    <w:rsid w:val="00592505"/>
    <w:rsid w:val="0059486C"/>
    <w:rsid w:val="0059629A"/>
    <w:rsid w:val="005A171B"/>
    <w:rsid w:val="005A3C44"/>
    <w:rsid w:val="005A3D7B"/>
    <w:rsid w:val="005A4E89"/>
    <w:rsid w:val="005A5200"/>
    <w:rsid w:val="005A534C"/>
    <w:rsid w:val="005A622F"/>
    <w:rsid w:val="005A7CB9"/>
    <w:rsid w:val="005B1C03"/>
    <w:rsid w:val="005B1FF3"/>
    <w:rsid w:val="005B2B99"/>
    <w:rsid w:val="005B4E2E"/>
    <w:rsid w:val="005B51ED"/>
    <w:rsid w:val="005B793F"/>
    <w:rsid w:val="005B7A3B"/>
    <w:rsid w:val="005C0E69"/>
    <w:rsid w:val="005C138A"/>
    <w:rsid w:val="005C1C06"/>
    <w:rsid w:val="005C41D7"/>
    <w:rsid w:val="005C5BC4"/>
    <w:rsid w:val="005C7717"/>
    <w:rsid w:val="005D113E"/>
    <w:rsid w:val="005D21BE"/>
    <w:rsid w:val="005D2D24"/>
    <w:rsid w:val="005D3190"/>
    <w:rsid w:val="005D5000"/>
    <w:rsid w:val="005D67F9"/>
    <w:rsid w:val="005E0D91"/>
    <w:rsid w:val="005E335E"/>
    <w:rsid w:val="005E438B"/>
    <w:rsid w:val="005E702B"/>
    <w:rsid w:val="005E79EC"/>
    <w:rsid w:val="005E7FD3"/>
    <w:rsid w:val="005F0D88"/>
    <w:rsid w:val="005F1330"/>
    <w:rsid w:val="005F1450"/>
    <w:rsid w:val="005F230F"/>
    <w:rsid w:val="005F2359"/>
    <w:rsid w:val="005F28DF"/>
    <w:rsid w:val="005F4FBC"/>
    <w:rsid w:val="005F56DB"/>
    <w:rsid w:val="005F6CC1"/>
    <w:rsid w:val="005F6DB4"/>
    <w:rsid w:val="005F7BA5"/>
    <w:rsid w:val="00603963"/>
    <w:rsid w:val="0060442C"/>
    <w:rsid w:val="00604711"/>
    <w:rsid w:val="00604789"/>
    <w:rsid w:val="00604928"/>
    <w:rsid w:val="00604964"/>
    <w:rsid w:val="0060568D"/>
    <w:rsid w:val="00605B28"/>
    <w:rsid w:val="0060604A"/>
    <w:rsid w:val="006062B8"/>
    <w:rsid w:val="006068DD"/>
    <w:rsid w:val="00606A06"/>
    <w:rsid w:val="00610ACE"/>
    <w:rsid w:val="00610EF9"/>
    <w:rsid w:val="00612867"/>
    <w:rsid w:val="00613493"/>
    <w:rsid w:val="00614FD3"/>
    <w:rsid w:val="0061545D"/>
    <w:rsid w:val="00615F0C"/>
    <w:rsid w:val="00617DA4"/>
    <w:rsid w:val="0062167B"/>
    <w:rsid w:val="006236D2"/>
    <w:rsid w:val="0062511C"/>
    <w:rsid w:val="00625D56"/>
    <w:rsid w:val="00626B0C"/>
    <w:rsid w:val="00627F58"/>
    <w:rsid w:val="006306C5"/>
    <w:rsid w:val="0063072B"/>
    <w:rsid w:val="00630E02"/>
    <w:rsid w:val="00630EC1"/>
    <w:rsid w:val="0063178F"/>
    <w:rsid w:val="00631810"/>
    <w:rsid w:val="00631BF0"/>
    <w:rsid w:val="00632406"/>
    <w:rsid w:val="006350F6"/>
    <w:rsid w:val="00636441"/>
    <w:rsid w:val="006379A3"/>
    <w:rsid w:val="00637F92"/>
    <w:rsid w:val="00640079"/>
    <w:rsid w:val="0064031D"/>
    <w:rsid w:val="006420AB"/>
    <w:rsid w:val="00643F5D"/>
    <w:rsid w:val="0064599C"/>
    <w:rsid w:val="00646245"/>
    <w:rsid w:val="00647A1C"/>
    <w:rsid w:val="00651540"/>
    <w:rsid w:val="00660069"/>
    <w:rsid w:val="00662018"/>
    <w:rsid w:val="006628F6"/>
    <w:rsid w:val="00662EA9"/>
    <w:rsid w:val="00664C79"/>
    <w:rsid w:val="0066544C"/>
    <w:rsid w:val="00666427"/>
    <w:rsid w:val="00666DD9"/>
    <w:rsid w:val="006705E9"/>
    <w:rsid w:val="0067187C"/>
    <w:rsid w:val="00673F76"/>
    <w:rsid w:val="0067438F"/>
    <w:rsid w:val="00674877"/>
    <w:rsid w:val="00674956"/>
    <w:rsid w:val="006751BE"/>
    <w:rsid w:val="00680120"/>
    <w:rsid w:val="00682017"/>
    <w:rsid w:val="0068277D"/>
    <w:rsid w:val="006827D3"/>
    <w:rsid w:val="00683693"/>
    <w:rsid w:val="00684293"/>
    <w:rsid w:val="00685FE1"/>
    <w:rsid w:val="0068690D"/>
    <w:rsid w:val="00686BD8"/>
    <w:rsid w:val="006900C7"/>
    <w:rsid w:val="006906EE"/>
    <w:rsid w:val="00690775"/>
    <w:rsid w:val="006912D9"/>
    <w:rsid w:val="00693BF1"/>
    <w:rsid w:val="00694F3D"/>
    <w:rsid w:val="00695621"/>
    <w:rsid w:val="00696482"/>
    <w:rsid w:val="00697C27"/>
    <w:rsid w:val="006A0A0B"/>
    <w:rsid w:val="006A14DE"/>
    <w:rsid w:val="006A1847"/>
    <w:rsid w:val="006A2005"/>
    <w:rsid w:val="006A2B57"/>
    <w:rsid w:val="006A2FDD"/>
    <w:rsid w:val="006A30BA"/>
    <w:rsid w:val="006A30CD"/>
    <w:rsid w:val="006A725A"/>
    <w:rsid w:val="006A72F6"/>
    <w:rsid w:val="006B02C0"/>
    <w:rsid w:val="006B0307"/>
    <w:rsid w:val="006B1915"/>
    <w:rsid w:val="006B3EA2"/>
    <w:rsid w:val="006B4DBE"/>
    <w:rsid w:val="006B4F02"/>
    <w:rsid w:val="006B68B2"/>
    <w:rsid w:val="006C06BE"/>
    <w:rsid w:val="006C3838"/>
    <w:rsid w:val="006C4800"/>
    <w:rsid w:val="006C52B0"/>
    <w:rsid w:val="006C6076"/>
    <w:rsid w:val="006C65A9"/>
    <w:rsid w:val="006C70F4"/>
    <w:rsid w:val="006D06AB"/>
    <w:rsid w:val="006D133D"/>
    <w:rsid w:val="006D1A68"/>
    <w:rsid w:val="006D339A"/>
    <w:rsid w:val="006D3EB0"/>
    <w:rsid w:val="006D5C32"/>
    <w:rsid w:val="006D5E34"/>
    <w:rsid w:val="006D61BC"/>
    <w:rsid w:val="006D674A"/>
    <w:rsid w:val="006D6A2F"/>
    <w:rsid w:val="006E0E60"/>
    <w:rsid w:val="006E39E6"/>
    <w:rsid w:val="006E3F3D"/>
    <w:rsid w:val="006E4293"/>
    <w:rsid w:val="006E55D8"/>
    <w:rsid w:val="006E5CB1"/>
    <w:rsid w:val="006F0116"/>
    <w:rsid w:val="006F124F"/>
    <w:rsid w:val="006F5434"/>
    <w:rsid w:val="006F5FC0"/>
    <w:rsid w:val="006F714A"/>
    <w:rsid w:val="006F795C"/>
    <w:rsid w:val="0070161D"/>
    <w:rsid w:val="00702C07"/>
    <w:rsid w:val="00703290"/>
    <w:rsid w:val="00703677"/>
    <w:rsid w:val="00703A8A"/>
    <w:rsid w:val="00703DBE"/>
    <w:rsid w:val="00704142"/>
    <w:rsid w:val="00704B6D"/>
    <w:rsid w:val="00705785"/>
    <w:rsid w:val="00707F48"/>
    <w:rsid w:val="00710732"/>
    <w:rsid w:val="00712345"/>
    <w:rsid w:val="00712F3D"/>
    <w:rsid w:val="00713388"/>
    <w:rsid w:val="00713956"/>
    <w:rsid w:val="0071406C"/>
    <w:rsid w:val="007141C4"/>
    <w:rsid w:val="007152D4"/>
    <w:rsid w:val="007157F9"/>
    <w:rsid w:val="00716BCE"/>
    <w:rsid w:val="00717374"/>
    <w:rsid w:val="007228B3"/>
    <w:rsid w:val="00722BB3"/>
    <w:rsid w:val="007234EC"/>
    <w:rsid w:val="00724037"/>
    <w:rsid w:val="007300EE"/>
    <w:rsid w:val="00733DBE"/>
    <w:rsid w:val="00734CD0"/>
    <w:rsid w:val="0074019A"/>
    <w:rsid w:val="00740998"/>
    <w:rsid w:val="00740E0F"/>
    <w:rsid w:val="0074172D"/>
    <w:rsid w:val="00741A3F"/>
    <w:rsid w:val="00743BCF"/>
    <w:rsid w:val="00743FBE"/>
    <w:rsid w:val="0074454A"/>
    <w:rsid w:val="00744884"/>
    <w:rsid w:val="007468D5"/>
    <w:rsid w:val="00746EAD"/>
    <w:rsid w:val="00747518"/>
    <w:rsid w:val="00747F85"/>
    <w:rsid w:val="00750BD9"/>
    <w:rsid w:val="00750C00"/>
    <w:rsid w:val="0075291C"/>
    <w:rsid w:val="00753452"/>
    <w:rsid w:val="0075436F"/>
    <w:rsid w:val="00755694"/>
    <w:rsid w:val="00755746"/>
    <w:rsid w:val="00761CDD"/>
    <w:rsid w:val="00761FDE"/>
    <w:rsid w:val="00762047"/>
    <w:rsid w:val="00763344"/>
    <w:rsid w:val="00763524"/>
    <w:rsid w:val="00763833"/>
    <w:rsid w:val="00763B44"/>
    <w:rsid w:val="00764C21"/>
    <w:rsid w:val="00767217"/>
    <w:rsid w:val="007706D6"/>
    <w:rsid w:val="007713BE"/>
    <w:rsid w:val="00771761"/>
    <w:rsid w:val="00772716"/>
    <w:rsid w:val="00773CBC"/>
    <w:rsid w:val="00774109"/>
    <w:rsid w:val="00776625"/>
    <w:rsid w:val="00776B78"/>
    <w:rsid w:val="00776DB4"/>
    <w:rsid w:val="00777A4C"/>
    <w:rsid w:val="007818E3"/>
    <w:rsid w:val="0078342F"/>
    <w:rsid w:val="00784895"/>
    <w:rsid w:val="00787862"/>
    <w:rsid w:val="007908DF"/>
    <w:rsid w:val="00791597"/>
    <w:rsid w:val="00791D3A"/>
    <w:rsid w:val="007926AD"/>
    <w:rsid w:val="00792BDE"/>
    <w:rsid w:val="0079352E"/>
    <w:rsid w:val="007937DF"/>
    <w:rsid w:val="007949E5"/>
    <w:rsid w:val="00795996"/>
    <w:rsid w:val="00796024"/>
    <w:rsid w:val="00797095"/>
    <w:rsid w:val="007970DC"/>
    <w:rsid w:val="00797633"/>
    <w:rsid w:val="007A0BFB"/>
    <w:rsid w:val="007A1D92"/>
    <w:rsid w:val="007A35D0"/>
    <w:rsid w:val="007A35DA"/>
    <w:rsid w:val="007A3AE7"/>
    <w:rsid w:val="007A4C1C"/>
    <w:rsid w:val="007A634D"/>
    <w:rsid w:val="007A7325"/>
    <w:rsid w:val="007A785E"/>
    <w:rsid w:val="007B109B"/>
    <w:rsid w:val="007B20D5"/>
    <w:rsid w:val="007B2A90"/>
    <w:rsid w:val="007B3DDB"/>
    <w:rsid w:val="007B5542"/>
    <w:rsid w:val="007B6D43"/>
    <w:rsid w:val="007B6E8C"/>
    <w:rsid w:val="007B73FC"/>
    <w:rsid w:val="007B78A1"/>
    <w:rsid w:val="007C0848"/>
    <w:rsid w:val="007C0DF8"/>
    <w:rsid w:val="007C139C"/>
    <w:rsid w:val="007C1C29"/>
    <w:rsid w:val="007C451F"/>
    <w:rsid w:val="007C5422"/>
    <w:rsid w:val="007C65F0"/>
    <w:rsid w:val="007C75DC"/>
    <w:rsid w:val="007C7B40"/>
    <w:rsid w:val="007D206A"/>
    <w:rsid w:val="007D4BA3"/>
    <w:rsid w:val="007D762E"/>
    <w:rsid w:val="007D7D80"/>
    <w:rsid w:val="007E0CFB"/>
    <w:rsid w:val="007E33E9"/>
    <w:rsid w:val="007E4C9D"/>
    <w:rsid w:val="007E5680"/>
    <w:rsid w:val="007E6531"/>
    <w:rsid w:val="007E694E"/>
    <w:rsid w:val="007E74FC"/>
    <w:rsid w:val="007F02AF"/>
    <w:rsid w:val="007F150F"/>
    <w:rsid w:val="007F2DBA"/>
    <w:rsid w:val="007F2E57"/>
    <w:rsid w:val="007F479B"/>
    <w:rsid w:val="007F5899"/>
    <w:rsid w:val="007F6AD3"/>
    <w:rsid w:val="007F7F3F"/>
    <w:rsid w:val="008005EC"/>
    <w:rsid w:val="00800788"/>
    <w:rsid w:val="0080096C"/>
    <w:rsid w:val="00802AD2"/>
    <w:rsid w:val="00803739"/>
    <w:rsid w:val="00803E81"/>
    <w:rsid w:val="00804192"/>
    <w:rsid w:val="00804457"/>
    <w:rsid w:val="00804E56"/>
    <w:rsid w:val="008053E8"/>
    <w:rsid w:val="00806C73"/>
    <w:rsid w:val="00807122"/>
    <w:rsid w:val="0080723B"/>
    <w:rsid w:val="00807893"/>
    <w:rsid w:val="0081025B"/>
    <w:rsid w:val="00810764"/>
    <w:rsid w:val="00810C6E"/>
    <w:rsid w:val="00812C24"/>
    <w:rsid w:val="0081438A"/>
    <w:rsid w:val="00817056"/>
    <w:rsid w:val="00817E9E"/>
    <w:rsid w:val="008204BC"/>
    <w:rsid w:val="00820D98"/>
    <w:rsid w:val="0082121B"/>
    <w:rsid w:val="00822B33"/>
    <w:rsid w:val="00822B76"/>
    <w:rsid w:val="008249A8"/>
    <w:rsid w:val="00824B81"/>
    <w:rsid w:val="008253CA"/>
    <w:rsid w:val="008268C8"/>
    <w:rsid w:val="00831B85"/>
    <w:rsid w:val="008330F8"/>
    <w:rsid w:val="00833515"/>
    <w:rsid w:val="008348BF"/>
    <w:rsid w:val="00835968"/>
    <w:rsid w:val="0084233D"/>
    <w:rsid w:val="008423D0"/>
    <w:rsid w:val="008447F9"/>
    <w:rsid w:val="00846E5A"/>
    <w:rsid w:val="00847879"/>
    <w:rsid w:val="0085060A"/>
    <w:rsid w:val="008507F9"/>
    <w:rsid w:val="00850973"/>
    <w:rsid w:val="008509CA"/>
    <w:rsid w:val="0085147F"/>
    <w:rsid w:val="0085295B"/>
    <w:rsid w:val="008532A2"/>
    <w:rsid w:val="00854DD1"/>
    <w:rsid w:val="00854FD5"/>
    <w:rsid w:val="00857930"/>
    <w:rsid w:val="00857991"/>
    <w:rsid w:val="008600B1"/>
    <w:rsid w:val="00860D87"/>
    <w:rsid w:val="008620D8"/>
    <w:rsid w:val="008628F5"/>
    <w:rsid w:val="008632C5"/>
    <w:rsid w:val="00863906"/>
    <w:rsid w:val="008642D9"/>
    <w:rsid w:val="00864D42"/>
    <w:rsid w:val="008653F3"/>
    <w:rsid w:val="0086559E"/>
    <w:rsid w:val="008656DE"/>
    <w:rsid w:val="008660FE"/>
    <w:rsid w:val="00866641"/>
    <w:rsid w:val="00866CD3"/>
    <w:rsid w:val="0086748D"/>
    <w:rsid w:val="00867B5C"/>
    <w:rsid w:val="008702C3"/>
    <w:rsid w:val="00873AF9"/>
    <w:rsid w:val="008747DF"/>
    <w:rsid w:val="00875206"/>
    <w:rsid w:val="00876232"/>
    <w:rsid w:val="00876ECA"/>
    <w:rsid w:val="00876F65"/>
    <w:rsid w:val="008776E9"/>
    <w:rsid w:val="00880517"/>
    <w:rsid w:val="00881301"/>
    <w:rsid w:val="0088202E"/>
    <w:rsid w:val="00883058"/>
    <w:rsid w:val="00884BA3"/>
    <w:rsid w:val="008851E8"/>
    <w:rsid w:val="008851F3"/>
    <w:rsid w:val="00885988"/>
    <w:rsid w:val="00885B25"/>
    <w:rsid w:val="00886BD2"/>
    <w:rsid w:val="00887892"/>
    <w:rsid w:val="00890446"/>
    <w:rsid w:val="00891BD5"/>
    <w:rsid w:val="008925B1"/>
    <w:rsid w:val="00893022"/>
    <w:rsid w:val="00893C8C"/>
    <w:rsid w:val="00894548"/>
    <w:rsid w:val="00896253"/>
    <w:rsid w:val="00896749"/>
    <w:rsid w:val="008971F9"/>
    <w:rsid w:val="00897274"/>
    <w:rsid w:val="008A0504"/>
    <w:rsid w:val="008A0A92"/>
    <w:rsid w:val="008A3723"/>
    <w:rsid w:val="008A7BF9"/>
    <w:rsid w:val="008B02C8"/>
    <w:rsid w:val="008B0745"/>
    <w:rsid w:val="008B0B80"/>
    <w:rsid w:val="008B15CD"/>
    <w:rsid w:val="008B2FB0"/>
    <w:rsid w:val="008B456A"/>
    <w:rsid w:val="008B4792"/>
    <w:rsid w:val="008C040D"/>
    <w:rsid w:val="008C069C"/>
    <w:rsid w:val="008C0BE5"/>
    <w:rsid w:val="008C0D8E"/>
    <w:rsid w:val="008C1489"/>
    <w:rsid w:val="008C1C7E"/>
    <w:rsid w:val="008C2692"/>
    <w:rsid w:val="008C2AA2"/>
    <w:rsid w:val="008C4240"/>
    <w:rsid w:val="008C6056"/>
    <w:rsid w:val="008D0805"/>
    <w:rsid w:val="008D4021"/>
    <w:rsid w:val="008D46C3"/>
    <w:rsid w:val="008D4E95"/>
    <w:rsid w:val="008D51AE"/>
    <w:rsid w:val="008D5DE2"/>
    <w:rsid w:val="008D5FC8"/>
    <w:rsid w:val="008D6297"/>
    <w:rsid w:val="008D6CDF"/>
    <w:rsid w:val="008E1236"/>
    <w:rsid w:val="008E143D"/>
    <w:rsid w:val="008E29D0"/>
    <w:rsid w:val="008E433F"/>
    <w:rsid w:val="008E5505"/>
    <w:rsid w:val="008E7579"/>
    <w:rsid w:val="008F0604"/>
    <w:rsid w:val="008F1AF9"/>
    <w:rsid w:val="008F5842"/>
    <w:rsid w:val="00900DAE"/>
    <w:rsid w:val="0090121C"/>
    <w:rsid w:val="009031F5"/>
    <w:rsid w:val="0090476C"/>
    <w:rsid w:val="00904C99"/>
    <w:rsid w:val="00905AFE"/>
    <w:rsid w:val="009066E8"/>
    <w:rsid w:val="00906C27"/>
    <w:rsid w:val="00910B00"/>
    <w:rsid w:val="00911268"/>
    <w:rsid w:val="0091263A"/>
    <w:rsid w:val="0091335E"/>
    <w:rsid w:val="0091493D"/>
    <w:rsid w:val="00917069"/>
    <w:rsid w:val="00920030"/>
    <w:rsid w:val="00923D3D"/>
    <w:rsid w:val="009242A4"/>
    <w:rsid w:val="00924B03"/>
    <w:rsid w:val="0092525E"/>
    <w:rsid w:val="00926C74"/>
    <w:rsid w:val="009278B5"/>
    <w:rsid w:val="00930B61"/>
    <w:rsid w:val="00930BD2"/>
    <w:rsid w:val="00931F47"/>
    <w:rsid w:val="00932C95"/>
    <w:rsid w:val="00935723"/>
    <w:rsid w:val="009370FD"/>
    <w:rsid w:val="0094109C"/>
    <w:rsid w:val="00941D79"/>
    <w:rsid w:val="009420DF"/>
    <w:rsid w:val="009424F5"/>
    <w:rsid w:val="00942E83"/>
    <w:rsid w:val="00944339"/>
    <w:rsid w:val="00946563"/>
    <w:rsid w:val="0094791A"/>
    <w:rsid w:val="0095105A"/>
    <w:rsid w:val="00951E8F"/>
    <w:rsid w:val="00951F76"/>
    <w:rsid w:val="00953311"/>
    <w:rsid w:val="009537C8"/>
    <w:rsid w:val="00953E3B"/>
    <w:rsid w:val="0095585F"/>
    <w:rsid w:val="00955B45"/>
    <w:rsid w:val="00957BB1"/>
    <w:rsid w:val="009604E0"/>
    <w:rsid w:val="00961B64"/>
    <w:rsid w:val="00962144"/>
    <w:rsid w:val="0096441B"/>
    <w:rsid w:val="009650BF"/>
    <w:rsid w:val="00966EDB"/>
    <w:rsid w:val="00966EE5"/>
    <w:rsid w:val="009674E6"/>
    <w:rsid w:val="00967843"/>
    <w:rsid w:val="00967F40"/>
    <w:rsid w:val="00971480"/>
    <w:rsid w:val="009741FB"/>
    <w:rsid w:val="00980F2A"/>
    <w:rsid w:val="009823DC"/>
    <w:rsid w:val="009824C8"/>
    <w:rsid w:val="00982FDE"/>
    <w:rsid w:val="00983914"/>
    <w:rsid w:val="00983D08"/>
    <w:rsid w:val="00984069"/>
    <w:rsid w:val="00984644"/>
    <w:rsid w:val="0098792E"/>
    <w:rsid w:val="00990AB0"/>
    <w:rsid w:val="00991EE9"/>
    <w:rsid w:val="00992042"/>
    <w:rsid w:val="00996372"/>
    <w:rsid w:val="00996AE9"/>
    <w:rsid w:val="009A0194"/>
    <w:rsid w:val="009A22AB"/>
    <w:rsid w:val="009A363F"/>
    <w:rsid w:val="009A37D8"/>
    <w:rsid w:val="009A4C6F"/>
    <w:rsid w:val="009A4CC7"/>
    <w:rsid w:val="009A579D"/>
    <w:rsid w:val="009A7939"/>
    <w:rsid w:val="009B03A8"/>
    <w:rsid w:val="009B0ED5"/>
    <w:rsid w:val="009B1A5D"/>
    <w:rsid w:val="009B5BDA"/>
    <w:rsid w:val="009B7D60"/>
    <w:rsid w:val="009C27D0"/>
    <w:rsid w:val="009C2D96"/>
    <w:rsid w:val="009C2EED"/>
    <w:rsid w:val="009C5948"/>
    <w:rsid w:val="009C6E6D"/>
    <w:rsid w:val="009C7229"/>
    <w:rsid w:val="009C742B"/>
    <w:rsid w:val="009D1054"/>
    <w:rsid w:val="009D17F6"/>
    <w:rsid w:val="009D347F"/>
    <w:rsid w:val="009D38CB"/>
    <w:rsid w:val="009D5685"/>
    <w:rsid w:val="009D6427"/>
    <w:rsid w:val="009D6C53"/>
    <w:rsid w:val="009E0199"/>
    <w:rsid w:val="009E0440"/>
    <w:rsid w:val="009E25B7"/>
    <w:rsid w:val="009E2949"/>
    <w:rsid w:val="009E506D"/>
    <w:rsid w:val="009E61DD"/>
    <w:rsid w:val="009E6660"/>
    <w:rsid w:val="009E7A79"/>
    <w:rsid w:val="009E7C84"/>
    <w:rsid w:val="009E7E72"/>
    <w:rsid w:val="009F0B3D"/>
    <w:rsid w:val="009F2D7B"/>
    <w:rsid w:val="009F4991"/>
    <w:rsid w:val="009F5023"/>
    <w:rsid w:val="009F5E77"/>
    <w:rsid w:val="009F6969"/>
    <w:rsid w:val="00A000A0"/>
    <w:rsid w:val="00A011DC"/>
    <w:rsid w:val="00A01D51"/>
    <w:rsid w:val="00A02CD2"/>
    <w:rsid w:val="00A031F5"/>
    <w:rsid w:val="00A06308"/>
    <w:rsid w:val="00A07460"/>
    <w:rsid w:val="00A0753B"/>
    <w:rsid w:val="00A11D22"/>
    <w:rsid w:val="00A120B1"/>
    <w:rsid w:val="00A125F1"/>
    <w:rsid w:val="00A12968"/>
    <w:rsid w:val="00A13411"/>
    <w:rsid w:val="00A16BC5"/>
    <w:rsid w:val="00A178B6"/>
    <w:rsid w:val="00A17C74"/>
    <w:rsid w:val="00A214F7"/>
    <w:rsid w:val="00A2211F"/>
    <w:rsid w:val="00A22CE4"/>
    <w:rsid w:val="00A23063"/>
    <w:rsid w:val="00A2311D"/>
    <w:rsid w:val="00A23411"/>
    <w:rsid w:val="00A24D35"/>
    <w:rsid w:val="00A24E5D"/>
    <w:rsid w:val="00A25BF9"/>
    <w:rsid w:val="00A26151"/>
    <w:rsid w:val="00A26531"/>
    <w:rsid w:val="00A2655D"/>
    <w:rsid w:val="00A322A2"/>
    <w:rsid w:val="00A32513"/>
    <w:rsid w:val="00A334D1"/>
    <w:rsid w:val="00A341CF"/>
    <w:rsid w:val="00A346EF"/>
    <w:rsid w:val="00A34B93"/>
    <w:rsid w:val="00A35360"/>
    <w:rsid w:val="00A35965"/>
    <w:rsid w:val="00A42394"/>
    <w:rsid w:val="00A42704"/>
    <w:rsid w:val="00A42840"/>
    <w:rsid w:val="00A445B9"/>
    <w:rsid w:val="00A45320"/>
    <w:rsid w:val="00A50746"/>
    <w:rsid w:val="00A510DC"/>
    <w:rsid w:val="00A533C2"/>
    <w:rsid w:val="00A5424B"/>
    <w:rsid w:val="00A55F7C"/>
    <w:rsid w:val="00A56FE6"/>
    <w:rsid w:val="00A5714B"/>
    <w:rsid w:val="00A6093E"/>
    <w:rsid w:val="00A61653"/>
    <w:rsid w:val="00A61797"/>
    <w:rsid w:val="00A619AD"/>
    <w:rsid w:val="00A6236D"/>
    <w:rsid w:val="00A62FC6"/>
    <w:rsid w:val="00A6400F"/>
    <w:rsid w:val="00A6433A"/>
    <w:rsid w:val="00A65717"/>
    <w:rsid w:val="00A72163"/>
    <w:rsid w:val="00A7431C"/>
    <w:rsid w:val="00A74E74"/>
    <w:rsid w:val="00A763FB"/>
    <w:rsid w:val="00A76C24"/>
    <w:rsid w:val="00A77671"/>
    <w:rsid w:val="00A807A3"/>
    <w:rsid w:val="00A8170F"/>
    <w:rsid w:val="00A81E4D"/>
    <w:rsid w:val="00A82184"/>
    <w:rsid w:val="00A83029"/>
    <w:rsid w:val="00A83B5B"/>
    <w:rsid w:val="00A8413F"/>
    <w:rsid w:val="00A870F9"/>
    <w:rsid w:val="00A914B3"/>
    <w:rsid w:val="00A9175C"/>
    <w:rsid w:val="00A91FA4"/>
    <w:rsid w:val="00A924EC"/>
    <w:rsid w:val="00A939E7"/>
    <w:rsid w:val="00A94168"/>
    <w:rsid w:val="00A96F65"/>
    <w:rsid w:val="00AA1423"/>
    <w:rsid w:val="00AA2B49"/>
    <w:rsid w:val="00AA3227"/>
    <w:rsid w:val="00AA3ED5"/>
    <w:rsid w:val="00AA409F"/>
    <w:rsid w:val="00AA53BF"/>
    <w:rsid w:val="00AA568B"/>
    <w:rsid w:val="00AA7D6E"/>
    <w:rsid w:val="00AB011C"/>
    <w:rsid w:val="00AB0774"/>
    <w:rsid w:val="00AB2347"/>
    <w:rsid w:val="00AB41AE"/>
    <w:rsid w:val="00AB4554"/>
    <w:rsid w:val="00AB6727"/>
    <w:rsid w:val="00AB7C8C"/>
    <w:rsid w:val="00AC10EC"/>
    <w:rsid w:val="00AC493E"/>
    <w:rsid w:val="00AC4A1A"/>
    <w:rsid w:val="00AC4A97"/>
    <w:rsid w:val="00AC64DE"/>
    <w:rsid w:val="00AD17E1"/>
    <w:rsid w:val="00AD19EC"/>
    <w:rsid w:val="00AD2B78"/>
    <w:rsid w:val="00AD2EF6"/>
    <w:rsid w:val="00AD302E"/>
    <w:rsid w:val="00AD338C"/>
    <w:rsid w:val="00AD36DA"/>
    <w:rsid w:val="00AD3C60"/>
    <w:rsid w:val="00AD6E84"/>
    <w:rsid w:val="00AD78F0"/>
    <w:rsid w:val="00AE12A1"/>
    <w:rsid w:val="00AE2C78"/>
    <w:rsid w:val="00AE2EC1"/>
    <w:rsid w:val="00AE4776"/>
    <w:rsid w:val="00AE4BC8"/>
    <w:rsid w:val="00AE5A34"/>
    <w:rsid w:val="00AE5CAB"/>
    <w:rsid w:val="00AE7D07"/>
    <w:rsid w:val="00AF1104"/>
    <w:rsid w:val="00AF1592"/>
    <w:rsid w:val="00AF1FF5"/>
    <w:rsid w:val="00AF210F"/>
    <w:rsid w:val="00AF3185"/>
    <w:rsid w:val="00AF5506"/>
    <w:rsid w:val="00AF7B7F"/>
    <w:rsid w:val="00AF7DED"/>
    <w:rsid w:val="00B00CBD"/>
    <w:rsid w:val="00B00DDD"/>
    <w:rsid w:val="00B0124F"/>
    <w:rsid w:val="00B0142E"/>
    <w:rsid w:val="00B01881"/>
    <w:rsid w:val="00B035CC"/>
    <w:rsid w:val="00B052D6"/>
    <w:rsid w:val="00B06317"/>
    <w:rsid w:val="00B10696"/>
    <w:rsid w:val="00B114F8"/>
    <w:rsid w:val="00B118B0"/>
    <w:rsid w:val="00B12227"/>
    <w:rsid w:val="00B1475C"/>
    <w:rsid w:val="00B16217"/>
    <w:rsid w:val="00B20EE0"/>
    <w:rsid w:val="00B2115C"/>
    <w:rsid w:val="00B270E7"/>
    <w:rsid w:val="00B31037"/>
    <w:rsid w:val="00B32A98"/>
    <w:rsid w:val="00B33802"/>
    <w:rsid w:val="00B35450"/>
    <w:rsid w:val="00B35BFF"/>
    <w:rsid w:val="00B35C8C"/>
    <w:rsid w:val="00B362DF"/>
    <w:rsid w:val="00B3652B"/>
    <w:rsid w:val="00B3654C"/>
    <w:rsid w:val="00B3695F"/>
    <w:rsid w:val="00B40782"/>
    <w:rsid w:val="00B40BC1"/>
    <w:rsid w:val="00B4226F"/>
    <w:rsid w:val="00B42A3F"/>
    <w:rsid w:val="00B43341"/>
    <w:rsid w:val="00B436F1"/>
    <w:rsid w:val="00B45C69"/>
    <w:rsid w:val="00B4664A"/>
    <w:rsid w:val="00B4679A"/>
    <w:rsid w:val="00B46D6F"/>
    <w:rsid w:val="00B50E74"/>
    <w:rsid w:val="00B50FA1"/>
    <w:rsid w:val="00B51DBF"/>
    <w:rsid w:val="00B53AFC"/>
    <w:rsid w:val="00B5522D"/>
    <w:rsid w:val="00B55A84"/>
    <w:rsid w:val="00B55CFC"/>
    <w:rsid w:val="00B55ECF"/>
    <w:rsid w:val="00B5690F"/>
    <w:rsid w:val="00B56DA9"/>
    <w:rsid w:val="00B56E20"/>
    <w:rsid w:val="00B57D1F"/>
    <w:rsid w:val="00B602B0"/>
    <w:rsid w:val="00B60F8D"/>
    <w:rsid w:val="00B62952"/>
    <w:rsid w:val="00B62DC4"/>
    <w:rsid w:val="00B631E8"/>
    <w:rsid w:val="00B63DE4"/>
    <w:rsid w:val="00B64178"/>
    <w:rsid w:val="00B64F60"/>
    <w:rsid w:val="00B66835"/>
    <w:rsid w:val="00B66F56"/>
    <w:rsid w:val="00B71190"/>
    <w:rsid w:val="00B73F87"/>
    <w:rsid w:val="00B746E6"/>
    <w:rsid w:val="00B80B74"/>
    <w:rsid w:val="00B8128E"/>
    <w:rsid w:val="00B824C6"/>
    <w:rsid w:val="00B82D85"/>
    <w:rsid w:val="00B8365D"/>
    <w:rsid w:val="00B836C8"/>
    <w:rsid w:val="00B85180"/>
    <w:rsid w:val="00B86740"/>
    <w:rsid w:val="00B86DE4"/>
    <w:rsid w:val="00B90A90"/>
    <w:rsid w:val="00B92C18"/>
    <w:rsid w:val="00B92C83"/>
    <w:rsid w:val="00B93141"/>
    <w:rsid w:val="00B933EA"/>
    <w:rsid w:val="00B93A81"/>
    <w:rsid w:val="00B949B4"/>
    <w:rsid w:val="00B94EF7"/>
    <w:rsid w:val="00B952DB"/>
    <w:rsid w:val="00B975EB"/>
    <w:rsid w:val="00B97EEE"/>
    <w:rsid w:val="00BA023C"/>
    <w:rsid w:val="00BA40D5"/>
    <w:rsid w:val="00BA487E"/>
    <w:rsid w:val="00BA4E8D"/>
    <w:rsid w:val="00BA6237"/>
    <w:rsid w:val="00BA6A17"/>
    <w:rsid w:val="00BA6BDD"/>
    <w:rsid w:val="00BB1B4B"/>
    <w:rsid w:val="00BB2CD1"/>
    <w:rsid w:val="00BB4A25"/>
    <w:rsid w:val="00BB6159"/>
    <w:rsid w:val="00BB61CC"/>
    <w:rsid w:val="00BC1D6D"/>
    <w:rsid w:val="00BC571B"/>
    <w:rsid w:val="00BC76EC"/>
    <w:rsid w:val="00BC7DBF"/>
    <w:rsid w:val="00BD0796"/>
    <w:rsid w:val="00BD0B83"/>
    <w:rsid w:val="00BD1307"/>
    <w:rsid w:val="00BD21B6"/>
    <w:rsid w:val="00BD2F94"/>
    <w:rsid w:val="00BD3B09"/>
    <w:rsid w:val="00BD4F7B"/>
    <w:rsid w:val="00BD5A5F"/>
    <w:rsid w:val="00BD5CD8"/>
    <w:rsid w:val="00BD6243"/>
    <w:rsid w:val="00BD675A"/>
    <w:rsid w:val="00BD6EB2"/>
    <w:rsid w:val="00BE0778"/>
    <w:rsid w:val="00BE0C42"/>
    <w:rsid w:val="00BE30CD"/>
    <w:rsid w:val="00BE3D6A"/>
    <w:rsid w:val="00BE52BB"/>
    <w:rsid w:val="00BE534F"/>
    <w:rsid w:val="00BE776B"/>
    <w:rsid w:val="00BF010C"/>
    <w:rsid w:val="00BF04C7"/>
    <w:rsid w:val="00BF07CF"/>
    <w:rsid w:val="00BF0CE6"/>
    <w:rsid w:val="00BF2988"/>
    <w:rsid w:val="00BF3B23"/>
    <w:rsid w:val="00BF3C54"/>
    <w:rsid w:val="00BF54A5"/>
    <w:rsid w:val="00BF599D"/>
    <w:rsid w:val="00BF6F7C"/>
    <w:rsid w:val="00BF79D1"/>
    <w:rsid w:val="00C01112"/>
    <w:rsid w:val="00C01B49"/>
    <w:rsid w:val="00C028A8"/>
    <w:rsid w:val="00C0370C"/>
    <w:rsid w:val="00C040F8"/>
    <w:rsid w:val="00C048BE"/>
    <w:rsid w:val="00C04DAE"/>
    <w:rsid w:val="00C06502"/>
    <w:rsid w:val="00C10838"/>
    <w:rsid w:val="00C10B4B"/>
    <w:rsid w:val="00C11DDE"/>
    <w:rsid w:val="00C128A8"/>
    <w:rsid w:val="00C1311E"/>
    <w:rsid w:val="00C13ABC"/>
    <w:rsid w:val="00C147D8"/>
    <w:rsid w:val="00C1480C"/>
    <w:rsid w:val="00C15E51"/>
    <w:rsid w:val="00C167B2"/>
    <w:rsid w:val="00C1714F"/>
    <w:rsid w:val="00C20E85"/>
    <w:rsid w:val="00C22584"/>
    <w:rsid w:val="00C228C9"/>
    <w:rsid w:val="00C238B4"/>
    <w:rsid w:val="00C26EB9"/>
    <w:rsid w:val="00C270FD"/>
    <w:rsid w:val="00C27549"/>
    <w:rsid w:val="00C30449"/>
    <w:rsid w:val="00C30C25"/>
    <w:rsid w:val="00C3192B"/>
    <w:rsid w:val="00C31CB1"/>
    <w:rsid w:val="00C34566"/>
    <w:rsid w:val="00C34DA6"/>
    <w:rsid w:val="00C36D4C"/>
    <w:rsid w:val="00C3758D"/>
    <w:rsid w:val="00C379E2"/>
    <w:rsid w:val="00C37BEC"/>
    <w:rsid w:val="00C412CE"/>
    <w:rsid w:val="00C43CCD"/>
    <w:rsid w:val="00C44AD3"/>
    <w:rsid w:val="00C44BB5"/>
    <w:rsid w:val="00C44F9B"/>
    <w:rsid w:val="00C477C0"/>
    <w:rsid w:val="00C47FB3"/>
    <w:rsid w:val="00C51386"/>
    <w:rsid w:val="00C51AD1"/>
    <w:rsid w:val="00C51CA9"/>
    <w:rsid w:val="00C527B1"/>
    <w:rsid w:val="00C546C5"/>
    <w:rsid w:val="00C54A6F"/>
    <w:rsid w:val="00C54DE5"/>
    <w:rsid w:val="00C55DE7"/>
    <w:rsid w:val="00C56461"/>
    <w:rsid w:val="00C56C87"/>
    <w:rsid w:val="00C56D36"/>
    <w:rsid w:val="00C60623"/>
    <w:rsid w:val="00C6165C"/>
    <w:rsid w:val="00C61CC9"/>
    <w:rsid w:val="00C6229A"/>
    <w:rsid w:val="00C637B8"/>
    <w:rsid w:val="00C6509C"/>
    <w:rsid w:val="00C65724"/>
    <w:rsid w:val="00C6636A"/>
    <w:rsid w:val="00C66804"/>
    <w:rsid w:val="00C66812"/>
    <w:rsid w:val="00C673E2"/>
    <w:rsid w:val="00C67ECB"/>
    <w:rsid w:val="00C707D4"/>
    <w:rsid w:val="00C70F9B"/>
    <w:rsid w:val="00C7258F"/>
    <w:rsid w:val="00C73A9E"/>
    <w:rsid w:val="00C73FC6"/>
    <w:rsid w:val="00C756A4"/>
    <w:rsid w:val="00C77CA1"/>
    <w:rsid w:val="00C80C02"/>
    <w:rsid w:val="00C8107E"/>
    <w:rsid w:val="00C8294B"/>
    <w:rsid w:val="00C83AA6"/>
    <w:rsid w:val="00C85084"/>
    <w:rsid w:val="00C874DA"/>
    <w:rsid w:val="00C9081A"/>
    <w:rsid w:val="00C927DC"/>
    <w:rsid w:val="00C93A82"/>
    <w:rsid w:val="00C949C2"/>
    <w:rsid w:val="00C956E9"/>
    <w:rsid w:val="00C97169"/>
    <w:rsid w:val="00CA0AF2"/>
    <w:rsid w:val="00CA17C2"/>
    <w:rsid w:val="00CA2503"/>
    <w:rsid w:val="00CA3C4D"/>
    <w:rsid w:val="00CA3D9F"/>
    <w:rsid w:val="00CA4221"/>
    <w:rsid w:val="00CA5315"/>
    <w:rsid w:val="00CA629F"/>
    <w:rsid w:val="00CA6D39"/>
    <w:rsid w:val="00CB0A14"/>
    <w:rsid w:val="00CB24F7"/>
    <w:rsid w:val="00CB34A8"/>
    <w:rsid w:val="00CB3FBA"/>
    <w:rsid w:val="00CB5BF0"/>
    <w:rsid w:val="00CB63FE"/>
    <w:rsid w:val="00CB6484"/>
    <w:rsid w:val="00CB6A05"/>
    <w:rsid w:val="00CB6B29"/>
    <w:rsid w:val="00CB7E04"/>
    <w:rsid w:val="00CC00C5"/>
    <w:rsid w:val="00CC0752"/>
    <w:rsid w:val="00CC1C7D"/>
    <w:rsid w:val="00CC1CA8"/>
    <w:rsid w:val="00CC290E"/>
    <w:rsid w:val="00CC3992"/>
    <w:rsid w:val="00CC4863"/>
    <w:rsid w:val="00CC52B5"/>
    <w:rsid w:val="00CC5694"/>
    <w:rsid w:val="00CC58C2"/>
    <w:rsid w:val="00CC6F65"/>
    <w:rsid w:val="00CD093B"/>
    <w:rsid w:val="00CD1BC1"/>
    <w:rsid w:val="00CD1EFE"/>
    <w:rsid w:val="00CD20F4"/>
    <w:rsid w:val="00CD2946"/>
    <w:rsid w:val="00CD59D6"/>
    <w:rsid w:val="00CD5DC2"/>
    <w:rsid w:val="00CD6109"/>
    <w:rsid w:val="00CD7E3C"/>
    <w:rsid w:val="00CE0090"/>
    <w:rsid w:val="00CE08D5"/>
    <w:rsid w:val="00CE0CB5"/>
    <w:rsid w:val="00CE235B"/>
    <w:rsid w:val="00CE377A"/>
    <w:rsid w:val="00CE4166"/>
    <w:rsid w:val="00CE41AC"/>
    <w:rsid w:val="00CE53E7"/>
    <w:rsid w:val="00CE6067"/>
    <w:rsid w:val="00CF0DC5"/>
    <w:rsid w:val="00CF1B2C"/>
    <w:rsid w:val="00CF228B"/>
    <w:rsid w:val="00CF367C"/>
    <w:rsid w:val="00CF72BF"/>
    <w:rsid w:val="00CF771F"/>
    <w:rsid w:val="00CF7F63"/>
    <w:rsid w:val="00D00F84"/>
    <w:rsid w:val="00D010E5"/>
    <w:rsid w:val="00D01986"/>
    <w:rsid w:val="00D04D46"/>
    <w:rsid w:val="00D04E4D"/>
    <w:rsid w:val="00D0518F"/>
    <w:rsid w:val="00D06C37"/>
    <w:rsid w:val="00D1023E"/>
    <w:rsid w:val="00D1056E"/>
    <w:rsid w:val="00D10DFE"/>
    <w:rsid w:val="00D10F79"/>
    <w:rsid w:val="00D12037"/>
    <w:rsid w:val="00D14523"/>
    <w:rsid w:val="00D14D43"/>
    <w:rsid w:val="00D14D4A"/>
    <w:rsid w:val="00D156A6"/>
    <w:rsid w:val="00D17C5B"/>
    <w:rsid w:val="00D21AFD"/>
    <w:rsid w:val="00D2287A"/>
    <w:rsid w:val="00D22C49"/>
    <w:rsid w:val="00D23568"/>
    <w:rsid w:val="00D24762"/>
    <w:rsid w:val="00D24BB3"/>
    <w:rsid w:val="00D25519"/>
    <w:rsid w:val="00D2612B"/>
    <w:rsid w:val="00D269E7"/>
    <w:rsid w:val="00D27818"/>
    <w:rsid w:val="00D30626"/>
    <w:rsid w:val="00D31A7A"/>
    <w:rsid w:val="00D35DF6"/>
    <w:rsid w:val="00D36C99"/>
    <w:rsid w:val="00D36EC6"/>
    <w:rsid w:val="00D40872"/>
    <w:rsid w:val="00D44B99"/>
    <w:rsid w:val="00D45ACA"/>
    <w:rsid w:val="00D508AB"/>
    <w:rsid w:val="00D50CBA"/>
    <w:rsid w:val="00D50F24"/>
    <w:rsid w:val="00D5275A"/>
    <w:rsid w:val="00D52C24"/>
    <w:rsid w:val="00D53022"/>
    <w:rsid w:val="00D5382E"/>
    <w:rsid w:val="00D60DBF"/>
    <w:rsid w:val="00D6141A"/>
    <w:rsid w:val="00D6150B"/>
    <w:rsid w:val="00D61FBA"/>
    <w:rsid w:val="00D645B2"/>
    <w:rsid w:val="00D651BE"/>
    <w:rsid w:val="00D65D34"/>
    <w:rsid w:val="00D67E9B"/>
    <w:rsid w:val="00D719BF"/>
    <w:rsid w:val="00D722E2"/>
    <w:rsid w:val="00D72A33"/>
    <w:rsid w:val="00D72B56"/>
    <w:rsid w:val="00D73774"/>
    <w:rsid w:val="00D7456B"/>
    <w:rsid w:val="00D76C7C"/>
    <w:rsid w:val="00D815A3"/>
    <w:rsid w:val="00D84579"/>
    <w:rsid w:val="00D84EC1"/>
    <w:rsid w:val="00D86C8E"/>
    <w:rsid w:val="00D87D5E"/>
    <w:rsid w:val="00D9044B"/>
    <w:rsid w:val="00D9068E"/>
    <w:rsid w:val="00D90CD4"/>
    <w:rsid w:val="00D91159"/>
    <w:rsid w:val="00D912F2"/>
    <w:rsid w:val="00D918A0"/>
    <w:rsid w:val="00D934D4"/>
    <w:rsid w:val="00D9503C"/>
    <w:rsid w:val="00D95673"/>
    <w:rsid w:val="00DA0A02"/>
    <w:rsid w:val="00DA32C2"/>
    <w:rsid w:val="00DA7728"/>
    <w:rsid w:val="00DA7912"/>
    <w:rsid w:val="00DB0857"/>
    <w:rsid w:val="00DB0E55"/>
    <w:rsid w:val="00DB16AB"/>
    <w:rsid w:val="00DB2B92"/>
    <w:rsid w:val="00DB50E6"/>
    <w:rsid w:val="00DB541E"/>
    <w:rsid w:val="00DB546A"/>
    <w:rsid w:val="00DB551B"/>
    <w:rsid w:val="00DB5951"/>
    <w:rsid w:val="00DB5BE8"/>
    <w:rsid w:val="00DC0A8F"/>
    <w:rsid w:val="00DC0CB6"/>
    <w:rsid w:val="00DC1B40"/>
    <w:rsid w:val="00DC4CE5"/>
    <w:rsid w:val="00DC5432"/>
    <w:rsid w:val="00DC580B"/>
    <w:rsid w:val="00DC6C36"/>
    <w:rsid w:val="00DC79B3"/>
    <w:rsid w:val="00DD22D1"/>
    <w:rsid w:val="00DD4305"/>
    <w:rsid w:val="00DD4C3E"/>
    <w:rsid w:val="00DD68D7"/>
    <w:rsid w:val="00DE4241"/>
    <w:rsid w:val="00DE6653"/>
    <w:rsid w:val="00DE7341"/>
    <w:rsid w:val="00DF00AF"/>
    <w:rsid w:val="00DF0170"/>
    <w:rsid w:val="00DF0283"/>
    <w:rsid w:val="00DF1B5B"/>
    <w:rsid w:val="00DF1E75"/>
    <w:rsid w:val="00DF1FD3"/>
    <w:rsid w:val="00DF40BD"/>
    <w:rsid w:val="00DF4BE4"/>
    <w:rsid w:val="00DF52BB"/>
    <w:rsid w:val="00DF5B29"/>
    <w:rsid w:val="00DF6196"/>
    <w:rsid w:val="00E00FC4"/>
    <w:rsid w:val="00E01A48"/>
    <w:rsid w:val="00E01C36"/>
    <w:rsid w:val="00E01FE4"/>
    <w:rsid w:val="00E0288D"/>
    <w:rsid w:val="00E02A00"/>
    <w:rsid w:val="00E03256"/>
    <w:rsid w:val="00E036C1"/>
    <w:rsid w:val="00E04144"/>
    <w:rsid w:val="00E04770"/>
    <w:rsid w:val="00E051F2"/>
    <w:rsid w:val="00E05515"/>
    <w:rsid w:val="00E060C4"/>
    <w:rsid w:val="00E06782"/>
    <w:rsid w:val="00E107EF"/>
    <w:rsid w:val="00E10D76"/>
    <w:rsid w:val="00E115B0"/>
    <w:rsid w:val="00E11F51"/>
    <w:rsid w:val="00E13568"/>
    <w:rsid w:val="00E13B69"/>
    <w:rsid w:val="00E14A95"/>
    <w:rsid w:val="00E17729"/>
    <w:rsid w:val="00E20A97"/>
    <w:rsid w:val="00E20FFF"/>
    <w:rsid w:val="00E2154B"/>
    <w:rsid w:val="00E221B1"/>
    <w:rsid w:val="00E2394B"/>
    <w:rsid w:val="00E23988"/>
    <w:rsid w:val="00E252E0"/>
    <w:rsid w:val="00E31A69"/>
    <w:rsid w:val="00E3288B"/>
    <w:rsid w:val="00E32BE9"/>
    <w:rsid w:val="00E32C35"/>
    <w:rsid w:val="00E35BD5"/>
    <w:rsid w:val="00E40400"/>
    <w:rsid w:val="00E434FB"/>
    <w:rsid w:val="00E436E1"/>
    <w:rsid w:val="00E43719"/>
    <w:rsid w:val="00E4637F"/>
    <w:rsid w:val="00E511CC"/>
    <w:rsid w:val="00E51C5F"/>
    <w:rsid w:val="00E51D30"/>
    <w:rsid w:val="00E5249D"/>
    <w:rsid w:val="00E5266C"/>
    <w:rsid w:val="00E52CA3"/>
    <w:rsid w:val="00E52E32"/>
    <w:rsid w:val="00E540AD"/>
    <w:rsid w:val="00E54701"/>
    <w:rsid w:val="00E54A14"/>
    <w:rsid w:val="00E5519C"/>
    <w:rsid w:val="00E57503"/>
    <w:rsid w:val="00E57AAE"/>
    <w:rsid w:val="00E57F9B"/>
    <w:rsid w:val="00E62ADB"/>
    <w:rsid w:val="00E65049"/>
    <w:rsid w:val="00E6569C"/>
    <w:rsid w:val="00E66DD6"/>
    <w:rsid w:val="00E672E6"/>
    <w:rsid w:val="00E6780B"/>
    <w:rsid w:val="00E716FF"/>
    <w:rsid w:val="00E71BAA"/>
    <w:rsid w:val="00E72162"/>
    <w:rsid w:val="00E72C08"/>
    <w:rsid w:val="00E72D2B"/>
    <w:rsid w:val="00E72D43"/>
    <w:rsid w:val="00E73594"/>
    <w:rsid w:val="00E7516A"/>
    <w:rsid w:val="00E75AAC"/>
    <w:rsid w:val="00E75F7C"/>
    <w:rsid w:val="00E76231"/>
    <w:rsid w:val="00E76B73"/>
    <w:rsid w:val="00E8045D"/>
    <w:rsid w:val="00E805A4"/>
    <w:rsid w:val="00E80736"/>
    <w:rsid w:val="00E8170C"/>
    <w:rsid w:val="00E81CA8"/>
    <w:rsid w:val="00E82560"/>
    <w:rsid w:val="00E82DFB"/>
    <w:rsid w:val="00E8403F"/>
    <w:rsid w:val="00E840AC"/>
    <w:rsid w:val="00E854CC"/>
    <w:rsid w:val="00E85672"/>
    <w:rsid w:val="00E91741"/>
    <w:rsid w:val="00E93CD4"/>
    <w:rsid w:val="00E95D33"/>
    <w:rsid w:val="00E96CAC"/>
    <w:rsid w:val="00EA06F0"/>
    <w:rsid w:val="00EA0D94"/>
    <w:rsid w:val="00EA100D"/>
    <w:rsid w:val="00EA145F"/>
    <w:rsid w:val="00EA3AD8"/>
    <w:rsid w:val="00EA4487"/>
    <w:rsid w:val="00EA77D1"/>
    <w:rsid w:val="00EB317F"/>
    <w:rsid w:val="00EB319F"/>
    <w:rsid w:val="00EB3378"/>
    <w:rsid w:val="00EB4466"/>
    <w:rsid w:val="00EB5040"/>
    <w:rsid w:val="00EB7203"/>
    <w:rsid w:val="00EC09CE"/>
    <w:rsid w:val="00EC2DEF"/>
    <w:rsid w:val="00EC399B"/>
    <w:rsid w:val="00EC448B"/>
    <w:rsid w:val="00EC455F"/>
    <w:rsid w:val="00EC4B5B"/>
    <w:rsid w:val="00EC5DCA"/>
    <w:rsid w:val="00EC67A0"/>
    <w:rsid w:val="00EC701C"/>
    <w:rsid w:val="00EC7692"/>
    <w:rsid w:val="00ED0BFB"/>
    <w:rsid w:val="00ED226B"/>
    <w:rsid w:val="00ED22FA"/>
    <w:rsid w:val="00ED331D"/>
    <w:rsid w:val="00ED3797"/>
    <w:rsid w:val="00ED598F"/>
    <w:rsid w:val="00ED5CBA"/>
    <w:rsid w:val="00ED6291"/>
    <w:rsid w:val="00EE0101"/>
    <w:rsid w:val="00EE0C6E"/>
    <w:rsid w:val="00EE197A"/>
    <w:rsid w:val="00EE2409"/>
    <w:rsid w:val="00EE26DC"/>
    <w:rsid w:val="00EE3BD1"/>
    <w:rsid w:val="00EE4287"/>
    <w:rsid w:val="00EF10A4"/>
    <w:rsid w:val="00EF3A23"/>
    <w:rsid w:val="00EF3AFE"/>
    <w:rsid w:val="00EF473E"/>
    <w:rsid w:val="00EF6898"/>
    <w:rsid w:val="00EF7C36"/>
    <w:rsid w:val="00EF7E43"/>
    <w:rsid w:val="00F004F6"/>
    <w:rsid w:val="00F01754"/>
    <w:rsid w:val="00F01E1B"/>
    <w:rsid w:val="00F0275F"/>
    <w:rsid w:val="00F02AA8"/>
    <w:rsid w:val="00F03942"/>
    <w:rsid w:val="00F04B23"/>
    <w:rsid w:val="00F04C3A"/>
    <w:rsid w:val="00F04CB0"/>
    <w:rsid w:val="00F06233"/>
    <w:rsid w:val="00F1130A"/>
    <w:rsid w:val="00F13768"/>
    <w:rsid w:val="00F14E12"/>
    <w:rsid w:val="00F15E73"/>
    <w:rsid w:val="00F20599"/>
    <w:rsid w:val="00F20D33"/>
    <w:rsid w:val="00F2184C"/>
    <w:rsid w:val="00F220C2"/>
    <w:rsid w:val="00F2242B"/>
    <w:rsid w:val="00F22B08"/>
    <w:rsid w:val="00F22EF5"/>
    <w:rsid w:val="00F235E0"/>
    <w:rsid w:val="00F26E07"/>
    <w:rsid w:val="00F279C7"/>
    <w:rsid w:val="00F27EC7"/>
    <w:rsid w:val="00F301B3"/>
    <w:rsid w:val="00F31738"/>
    <w:rsid w:val="00F31C77"/>
    <w:rsid w:val="00F32162"/>
    <w:rsid w:val="00F32FE3"/>
    <w:rsid w:val="00F33272"/>
    <w:rsid w:val="00F33DE7"/>
    <w:rsid w:val="00F345B2"/>
    <w:rsid w:val="00F34909"/>
    <w:rsid w:val="00F3495E"/>
    <w:rsid w:val="00F349C2"/>
    <w:rsid w:val="00F34E79"/>
    <w:rsid w:val="00F34E9C"/>
    <w:rsid w:val="00F35AE6"/>
    <w:rsid w:val="00F36103"/>
    <w:rsid w:val="00F37615"/>
    <w:rsid w:val="00F3763E"/>
    <w:rsid w:val="00F3797D"/>
    <w:rsid w:val="00F42763"/>
    <w:rsid w:val="00F446EF"/>
    <w:rsid w:val="00F44888"/>
    <w:rsid w:val="00F44E01"/>
    <w:rsid w:val="00F450DC"/>
    <w:rsid w:val="00F464D7"/>
    <w:rsid w:val="00F46BD7"/>
    <w:rsid w:val="00F47629"/>
    <w:rsid w:val="00F47A3B"/>
    <w:rsid w:val="00F505AC"/>
    <w:rsid w:val="00F50C36"/>
    <w:rsid w:val="00F51984"/>
    <w:rsid w:val="00F5205E"/>
    <w:rsid w:val="00F52289"/>
    <w:rsid w:val="00F52771"/>
    <w:rsid w:val="00F52B4F"/>
    <w:rsid w:val="00F53445"/>
    <w:rsid w:val="00F54828"/>
    <w:rsid w:val="00F54BA6"/>
    <w:rsid w:val="00F55F5F"/>
    <w:rsid w:val="00F611B6"/>
    <w:rsid w:val="00F62AB2"/>
    <w:rsid w:val="00F6453C"/>
    <w:rsid w:val="00F650E0"/>
    <w:rsid w:val="00F67349"/>
    <w:rsid w:val="00F721FD"/>
    <w:rsid w:val="00F72E0A"/>
    <w:rsid w:val="00F7383B"/>
    <w:rsid w:val="00F73BD3"/>
    <w:rsid w:val="00F7414D"/>
    <w:rsid w:val="00F76E14"/>
    <w:rsid w:val="00F823AD"/>
    <w:rsid w:val="00F83ACA"/>
    <w:rsid w:val="00F83B0C"/>
    <w:rsid w:val="00F84ACF"/>
    <w:rsid w:val="00F854E7"/>
    <w:rsid w:val="00F870FE"/>
    <w:rsid w:val="00F876B0"/>
    <w:rsid w:val="00F906E6"/>
    <w:rsid w:val="00F9183E"/>
    <w:rsid w:val="00F924CE"/>
    <w:rsid w:val="00F927DE"/>
    <w:rsid w:val="00F93865"/>
    <w:rsid w:val="00F95261"/>
    <w:rsid w:val="00F95325"/>
    <w:rsid w:val="00F970F8"/>
    <w:rsid w:val="00F971BD"/>
    <w:rsid w:val="00FA0C61"/>
    <w:rsid w:val="00FA3F04"/>
    <w:rsid w:val="00FA42D9"/>
    <w:rsid w:val="00FA45DA"/>
    <w:rsid w:val="00FA4902"/>
    <w:rsid w:val="00FA5394"/>
    <w:rsid w:val="00FA54FF"/>
    <w:rsid w:val="00FA6630"/>
    <w:rsid w:val="00FA74C1"/>
    <w:rsid w:val="00FA76FD"/>
    <w:rsid w:val="00FA7A31"/>
    <w:rsid w:val="00FA7B18"/>
    <w:rsid w:val="00FB1287"/>
    <w:rsid w:val="00FB1BFF"/>
    <w:rsid w:val="00FB3475"/>
    <w:rsid w:val="00FB4637"/>
    <w:rsid w:val="00FB78D3"/>
    <w:rsid w:val="00FC0581"/>
    <w:rsid w:val="00FC19F2"/>
    <w:rsid w:val="00FC44D2"/>
    <w:rsid w:val="00FC459A"/>
    <w:rsid w:val="00FC5F69"/>
    <w:rsid w:val="00FD102D"/>
    <w:rsid w:val="00FD16EF"/>
    <w:rsid w:val="00FD1C3A"/>
    <w:rsid w:val="00FD201F"/>
    <w:rsid w:val="00FD2B14"/>
    <w:rsid w:val="00FD603A"/>
    <w:rsid w:val="00FD633E"/>
    <w:rsid w:val="00FD7161"/>
    <w:rsid w:val="00FE0072"/>
    <w:rsid w:val="00FE0698"/>
    <w:rsid w:val="00FE12DB"/>
    <w:rsid w:val="00FE1A88"/>
    <w:rsid w:val="00FE2332"/>
    <w:rsid w:val="00FE3F5A"/>
    <w:rsid w:val="00FE4710"/>
    <w:rsid w:val="00FE5048"/>
    <w:rsid w:val="00FE701C"/>
    <w:rsid w:val="00FE764C"/>
    <w:rsid w:val="00FF010F"/>
    <w:rsid w:val="00FF0858"/>
    <w:rsid w:val="00FF0A81"/>
    <w:rsid w:val="00FF1A13"/>
    <w:rsid w:val="00FF2758"/>
    <w:rsid w:val="00FF4793"/>
    <w:rsid w:val="00FF51C3"/>
    <w:rsid w:val="00FF5E89"/>
    <w:rsid w:val="00FF68E4"/>
    <w:rsid w:val="00FF6985"/>
    <w:rsid w:val="00FF7169"/>
    <w:rsid w:val="00FF74D4"/>
    <w:rsid w:val="00FF7B75"/>
    <w:rsid w:val="19FB9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C8D66"/>
  <w15:chartTrackingRefBased/>
  <w15:docId w15:val="{FE99A7CE-96E6-45FE-ADDF-62342051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1FD"/>
    <w:pPr>
      <w:jc w:val="both"/>
    </w:pPr>
    <w:rPr>
      <w:rFonts w:ascii="Arial" w:hAnsi="Arial" w:cs="Arial"/>
    </w:rPr>
  </w:style>
  <w:style w:type="paragraph" w:styleId="Heading1">
    <w:name w:val="heading 1"/>
    <w:basedOn w:val="Normal"/>
    <w:next w:val="Normal"/>
    <w:link w:val="Heading1Char"/>
    <w:uiPriority w:val="9"/>
    <w:qFormat/>
    <w:rsid w:val="003559AA"/>
    <w:pPr>
      <w:keepNext/>
      <w:keepLines/>
      <w:spacing w:before="240" w:after="0"/>
      <w:outlineLvl w:val="0"/>
    </w:pPr>
    <w:rPr>
      <w:rFonts w:eastAsiaTheme="majorEastAsia"/>
      <w:b/>
      <w:color w:val="EC661C"/>
      <w:sz w:val="36"/>
      <w:szCs w:val="32"/>
    </w:rPr>
  </w:style>
  <w:style w:type="paragraph" w:styleId="Heading2">
    <w:name w:val="heading 2"/>
    <w:basedOn w:val="Normal"/>
    <w:next w:val="Normal"/>
    <w:link w:val="Heading2Char"/>
    <w:uiPriority w:val="9"/>
    <w:unhideWhenUsed/>
    <w:qFormat/>
    <w:rsid w:val="00CA6D39"/>
    <w:pPr>
      <w:keepNext/>
      <w:keepLines/>
      <w:spacing w:before="40" w:after="0"/>
      <w:outlineLvl w:val="1"/>
    </w:pPr>
    <w:rPr>
      <w:rFonts w:eastAsiaTheme="majorEastAsia"/>
      <w:color w:val="0070C0"/>
      <w:sz w:val="28"/>
      <w:szCs w:val="26"/>
    </w:rPr>
  </w:style>
  <w:style w:type="paragraph" w:styleId="Heading3">
    <w:name w:val="heading 3"/>
    <w:basedOn w:val="Normal"/>
    <w:next w:val="Normal"/>
    <w:link w:val="Heading3Char"/>
    <w:uiPriority w:val="9"/>
    <w:unhideWhenUsed/>
    <w:qFormat/>
    <w:rsid w:val="00CA6D39"/>
    <w:pPr>
      <w:keepNext/>
      <w:keepLines/>
      <w:spacing w:before="40" w:after="0"/>
      <w:outlineLvl w:val="2"/>
    </w:pPr>
    <w:rPr>
      <w:rFonts w:eastAsiaTheme="majorEastAsia"/>
      <w:b/>
      <w:color w:val="0070C0"/>
      <w:sz w:val="24"/>
      <w:szCs w:val="24"/>
    </w:rPr>
  </w:style>
  <w:style w:type="paragraph" w:styleId="Heading4">
    <w:name w:val="heading 4"/>
    <w:basedOn w:val="Heading3"/>
    <w:next w:val="Normal"/>
    <w:link w:val="Heading4Char"/>
    <w:uiPriority w:val="9"/>
    <w:unhideWhenUsed/>
    <w:qFormat/>
    <w:rsid w:val="00B4679A"/>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BCF"/>
    <w:pPr>
      <w:ind w:left="720"/>
      <w:contextualSpacing/>
    </w:pPr>
  </w:style>
  <w:style w:type="character" w:customStyle="1" w:styleId="Heading2Char">
    <w:name w:val="Heading 2 Char"/>
    <w:basedOn w:val="DefaultParagraphFont"/>
    <w:link w:val="Heading2"/>
    <w:uiPriority w:val="9"/>
    <w:rsid w:val="00CA6D39"/>
    <w:rPr>
      <w:rFonts w:ascii="Arial" w:eastAsiaTheme="majorEastAsia" w:hAnsi="Arial" w:cs="Arial"/>
      <w:color w:val="0070C0"/>
      <w:sz w:val="28"/>
      <w:szCs w:val="26"/>
    </w:rPr>
  </w:style>
  <w:style w:type="paragraph" w:styleId="Header">
    <w:name w:val="header"/>
    <w:basedOn w:val="Normal"/>
    <w:link w:val="HeaderChar"/>
    <w:uiPriority w:val="99"/>
    <w:unhideWhenUsed/>
    <w:rsid w:val="0092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B5"/>
  </w:style>
  <w:style w:type="paragraph" w:styleId="Footer">
    <w:name w:val="footer"/>
    <w:basedOn w:val="Normal"/>
    <w:link w:val="FooterChar"/>
    <w:uiPriority w:val="99"/>
    <w:unhideWhenUsed/>
    <w:rsid w:val="0092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B5"/>
  </w:style>
  <w:style w:type="paragraph" w:styleId="BalloonText">
    <w:name w:val="Balloon Text"/>
    <w:basedOn w:val="Normal"/>
    <w:link w:val="BalloonTextChar"/>
    <w:uiPriority w:val="99"/>
    <w:semiHidden/>
    <w:unhideWhenUsed/>
    <w:rsid w:val="002B3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39"/>
    <w:rPr>
      <w:rFonts w:ascii="Segoe UI" w:hAnsi="Segoe UI" w:cs="Segoe UI"/>
      <w:sz w:val="18"/>
      <w:szCs w:val="18"/>
    </w:rPr>
  </w:style>
  <w:style w:type="character" w:styleId="CommentReference">
    <w:name w:val="annotation reference"/>
    <w:basedOn w:val="DefaultParagraphFont"/>
    <w:uiPriority w:val="99"/>
    <w:semiHidden/>
    <w:unhideWhenUsed/>
    <w:rsid w:val="000C4642"/>
    <w:rPr>
      <w:sz w:val="16"/>
      <w:szCs w:val="16"/>
    </w:rPr>
  </w:style>
  <w:style w:type="paragraph" w:styleId="CommentText">
    <w:name w:val="annotation text"/>
    <w:basedOn w:val="Normal"/>
    <w:link w:val="CommentTextChar"/>
    <w:uiPriority w:val="99"/>
    <w:unhideWhenUsed/>
    <w:rsid w:val="000C4642"/>
    <w:pPr>
      <w:spacing w:line="240" w:lineRule="auto"/>
    </w:pPr>
    <w:rPr>
      <w:sz w:val="20"/>
      <w:szCs w:val="20"/>
    </w:rPr>
  </w:style>
  <w:style w:type="character" w:customStyle="1" w:styleId="CommentTextChar">
    <w:name w:val="Comment Text Char"/>
    <w:basedOn w:val="DefaultParagraphFont"/>
    <w:link w:val="CommentText"/>
    <w:uiPriority w:val="99"/>
    <w:rsid w:val="000C4642"/>
    <w:rPr>
      <w:sz w:val="20"/>
      <w:szCs w:val="20"/>
    </w:rPr>
  </w:style>
  <w:style w:type="paragraph" w:styleId="CommentSubject">
    <w:name w:val="annotation subject"/>
    <w:basedOn w:val="CommentText"/>
    <w:next w:val="CommentText"/>
    <w:link w:val="CommentSubjectChar"/>
    <w:uiPriority w:val="99"/>
    <w:semiHidden/>
    <w:unhideWhenUsed/>
    <w:rsid w:val="000C4642"/>
    <w:rPr>
      <w:b/>
      <w:bCs/>
    </w:rPr>
  </w:style>
  <w:style w:type="character" w:customStyle="1" w:styleId="CommentSubjectChar">
    <w:name w:val="Comment Subject Char"/>
    <w:basedOn w:val="CommentTextChar"/>
    <w:link w:val="CommentSubject"/>
    <w:uiPriority w:val="99"/>
    <w:semiHidden/>
    <w:rsid w:val="000C4642"/>
    <w:rPr>
      <w:b/>
      <w:bCs/>
      <w:sz w:val="20"/>
      <w:szCs w:val="20"/>
    </w:rPr>
  </w:style>
  <w:style w:type="character" w:customStyle="1" w:styleId="Heading3Char">
    <w:name w:val="Heading 3 Char"/>
    <w:basedOn w:val="DefaultParagraphFont"/>
    <w:link w:val="Heading3"/>
    <w:uiPriority w:val="9"/>
    <w:rsid w:val="00CA6D39"/>
    <w:rPr>
      <w:rFonts w:ascii="Arial" w:eastAsiaTheme="majorEastAsia" w:hAnsi="Arial" w:cs="Arial"/>
      <w:b/>
      <w:color w:val="0070C0"/>
      <w:sz w:val="24"/>
      <w:szCs w:val="24"/>
    </w:rPr>
  </w:style>
  <w:style w:type="character" w:styleId="Hyperlink">
    <w:name w:val="Hyperlink"/>
    <w:basedOn w:val="DefaultParagraphFont"/>
    <w:uiPriority w:val="99"/>
    <w:unhideWhenUsed/>
    <w:rsid w:val="00C048BE"/>
    <w:rPr>
      <w:color w:val="0000FF" w:themeColor="hyperlink"/>
      <w:u w:val="single"/>
    </w:rPr>
  </w:style>
  <w:style w:type="character" w:styleId="Mention">
    <w:name w:val="Mention"/>
    <w:basedOn w:val="DefaultParagraphFont"/>
    <w:uiPriority w:val="99"/>
    <w:semiHidden/>
    <w:unhideWhenUsed/>
    <w:rsid w:val="00C048BE"/>
    <w:rPr>
      <w:color w:val="2B579A"/>
      <w:shd w:val="clear" w:color="auto" w:fill="E6E6E6"/>
    </w:rPr>
  </w:style>
  <w:style w:type="character" w:customStyle="1" w:styleId="Heading4Char">
    <w:name w:val="Heading 4 Char"/>
    <w:basedOn w:val="DefaultParagraphFont"/>
    <w:link w:val="Heading4"/>
    <w:uiPriority w:val="9"/>
    <w:rsid w:val="00B4679A"/>
    <w:rPr>
      <w:rFonts w:ascii="Arial" w:eastAsiaTheme="majorEastAsia" w:hAnsi="Arial" w:cs="Arial"/>
      <w:i/>
      <w:color w:val="0070C0"/>
      <w:sz w:val="24"/>
      <w:szCs w:val="24"/>
    </w:rPr>
  </w:style>
  <w:style w:type="table" w:styleId="TableGrid">
    <w:name w:val="Table Grid"/>
    <w:basedOn w:val="TableNormal"/>
    <w:uiPriority w:val="59"/>
    <w:rsid w:val="006F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59AA"/>
    <w:rPr>
      <w:rFonts w:ascii="Arial" w:eastAsiaTheme="majorEastAsia" w:hAnsi="Arial" w:cs="Arial"/>
      <w:b/>
      <w:color w:val="EC661C"/>
      <w:sz w:val="36"/>
      <w:szCs w:val="32"/>
    </w:rPr>
  </w:style>
  <w:style w:type="paragraph" w:styleId="TOCHeading">
    <w:name w:val="TOC Heading"/>
    <w:basedOn w:val="Heading1"/>
    <w:next w:val="Normal"/>
    <w:uiPriority w:val="39"/>
    <w:unhideWhenUsed/>
    <w:qFormat/>
    <w:rsid w:val="0086559E"/>
    <w:pPr>
      <w:spacing w:line="259" w:lineRule="auto"/>
      <w:outlineLvl w:val="9"/>
    </w:pPr>
    <w:rPr>
      <w:lang w:val="en-US"/>
    </w:rPr>
  </w:style>
  <w:style w:type="paragraph" w:styleId="TOC1">
    <w:name w:val="toc 1"/>
    <w:basedOn w:val="Normal"/>
    <w:next w:val="Normal"/>
    <w:autoRedefine/>
    <w:uiPriority w:val="39"/>
    <w:unhideWhenUsed/>
    <w:rsid w:val="0086559E"/>
    <w:pPr>
      <w:spacing w:after="100"/>
    </w:pPr>
  </w:style>
  <w:style w:type="paragraph" w:styleId="TOC2">
    <w:name w:val="toc 2"/>
    <w:basedOn w:val="Normal"/>
    <w:next w:val="Normal"/>
    <w:autoRedefine/>
    <w:uiPriority w:val="39"/>
    <w:unhideWhenUsed/>
    <w:rsid w:val="0086559E"/>
    <w:pPr>
      <w:spacing w:after="100"/>
      <w:ind w:left="220"/>
    </w:pPr>
  </w:style>
  <w:style w:type="paragraph" w:styleId="TOC3">
    <w:name w:val="toc 3"/>
    <w:basedOn w:val="Normal"/>
    <w:next w:val="Normal"/>
    <w:autoRedefine/>
    <w:uiPriority w:val="39"/>
    <w:unhideWhenUsed/>
    <w:rsid w:val="0086559E"/>
    <w:pPr>
      <w:spacing w:after="100"/>
      <w:ind w:left="440"/>
    </w:pPr>
  </w:style>
  <w:style w:type="paragraph" w:styleId="FootnoteText">
    <w:name w:val="footnote text"/>
    <w:basedOn w:val="Normal"/>
    <w:link w:val="FootnoteTextChar"/>
    <w:uiPriority w:val="99"/>
    <w:unhideWhenUsed/>
    <w:rsid w:val="00AF1FF5"/>
    <w:pPr>
      <w:spacing w:after="0" w:line="240" w:lineRule="auto"/>
    </w:pPr>
    <w:rPr>
      <w:sz w:val="20"/>
      <w:szCs w:val="20"/>
    </w:rPr>
  </w:style>
  <w:style w:type="character" w:customStyle="1" w:styleId="FootnoteTextChar">
    <w:name w:val="Footnote Text Char"/>
    <w:basedOn w:val="DefaultParagraphFont"/>
    <w:link w:val="FootnoteText"/>
    <w:uiPriority w:val="99"/>
    <w:rsid w:val="00AF1FF5"/>
    <w:rPr>
      <w:sz w:val="20"/>
      <w:szCs w:val="20"/>
    </w:rPr>
  </w:style>
  <w:style w:type="character" w:styleId="FootnoteReference">
    <w:name w:val="footnote reference"/>
    <w:basedOn w:val="DefaultParagraphFont"/>
    <w:uiPriority w:val="99"/>
    <w:semiHidden/>
    <w:unhideWhenUsed/>
    <w:rsid w:val="00AF1FF5"/>
    <w:rPr>
      <w:vertAlign w:val="superscript"/>
    </w:rPr>
  </w:style>
  <w:style w:type="paragraph" w:styleId="Revision">
    <w:name w:val="Revision"/>
    <w:hidden/>
    <w:uiPriority w:val="99"/>
    <w:semiHidden/>
    <w:rsid w:val="00A24E5D"/>
    <w:pPr>
      <w:spacing w:after="0" w:line="240" w:lineRule="auto"/>
    </w:pPr>
    <w:rPr>
      <w:rFonts w:ascii="Arial" w:hAnsi="Arial" w:cs="Arial"/>
    </w:rPr>
  </w:style>
  <w:style w:type="paragraph" w:customStyle="1" w:styleId="DotPoints-level1">
    <w:name w:val="Dot Points - level 1"/>
    <w:basedOn w:val="ListParagraph"/>
    <w:link w:val="DotPoints-level1Char"/>
    <w:qFormat/>
    <w:rsid w:val="003A0991"/>
    <w:pPr>
      <w:numPr>
        <w:numId w:val="9"/>
      </w:numPr>
    </w:pPr>
  </w:style>
  <w:style w:type="paragraph" w:customStyle="1" w:styleId="Dotpoints-Italic">
    <w:name w:val="Dot points - Italic"/>
    <w:basedOn w:val="ListParagraph"/>
    <w:link w:val="Dotpoints-ItalicChar"/>
    <w:qFormat/>
    <w:rsid w:val="00CA3D9F"/>
    <w:pPr>
      <w:numPr>
        <w:numId w:val="2"/>
      </w:numPr>
    </w:pPr>
    <w:rPr>
      <w:i/>
    </w:rPr>
  </w:style>
  <w:style w:type="character" w:customStyle="1" w:styleId="ListParagraphChar">
    <w:name w:val="List Paragraph Char"/>
    <w:basedOn w:val="DefaultParagraphFont"/>
    <w:link w:val="ListParagraph"/>
    <w:uiPriority w:val="34"/>
    <w:rsid w:val="003A0991"/>
    <w:rPr>
      <w:rFonts w:ascii="Arial" w:hAnsi="Arial" w:cs="Arial"/>
    </w:rPr>
  </w:style>
  <w:style w:type="character" w:customStyle="1" w:styleId="DotPoints-level1Char">
    <w:name w:val="Dot Points - level 1 Char"/>
    <w:basedOn w:val="ListParagraphChar"/>
    <w:link w:val="DotPoints-level1"/>
    <w:rsid w:val="003A0991"/>
    <w:rPr>
      <w:rFonts w:ascii="Arial" w:hAnsi="Arial" w:cs="Arial"/>
    </w:rPr>
  </w:style>
  <w:style w:type="paragraph" w:customStyle="1" w:styleId="DotPoints-Numbers">
    <w:name w:val="Dot Points - Numbers"/>
    <w:basedOn w:val="ListParagraph"/>
    <w:link w:val="DotPoints-NumbersChar"/>
    <w:qFormat/>
    <w:rsid w:val="004343A2"/>
    <w:pPr>
      <w:numPr>
        <w:numId w:val="5"/>
      </w:numPr>
    </w:pPr>
  </w:style>
  <w:style w:type="character" w:customStyle="1" w:styleId="Dotpoints-ItalicChar">
    <w:name w:val="Dot points - Italic Char"/>
    <w:basedOn w:val="ListParagraphChar"/>
    <w:link w:val="Dotpoints-Italic"/>
    <w:rsid w:val="00CA3D9F"/>
    <w:rPr>
      <w:rFonts w:ascii="Arial" w:hAnsi="Arial" w:cs="Arial"/>
      <w:i/>
    </w:rPr>
  </w:style>
  <w:style w:type="character" w:customStyle="1" w:styleId="DotPoints-NumbersChar">
    <w:name w:val="Dot Points - Numbers Char"/>
    <w:basedOn w:val="ListParagraphChar"/>
    <w:link w:val="DotPoints-Numbers"/>
    <w:rsid w:val="004343A2"/>
    <w:rPr>
      <w:rFonts w:ascii="Arial" w:hAnsi="Arial" w:cs="Arial"/>
    </w:rPr>
  </w:style>
  <w:style w:type="paragraph" w:customStyle="1" w:styleId="Dotpoints-level2">
    <w:name w:val="Dot points - level 2"/>
    <w:basedOn w:val="DotPoints-level1"/>
    <w:link w:val="Dotpoints-level2Char"/>
    <w:qFormat/>
    <w:rsid w:val="00BE52BB"/>
    <w:pPr>
      <w:numPr>
        <w:numId w:val="10"/>
      </w:numPr>
    </w:pPr>
  </w:style>
  <w:style w:type="character" w:customStyle="1" w:styleId="MainbodytextChar">
    <w:name w:val="Main body text Char"/>
    <w:basedOn w:val="DefaultParagraphFont"/>
    <w:link w:val="Mainbodytext"/>
    <w:locked/>
    <w:rsid w:val="004F598D"/>
    <w:rPr>
      <w:rFonts w:ascii="Arial" w:hAnsi="Arial" w:cs="Arial"/>
    </w:rPr>
  </w:style>
  <w:style w:type="character" w:customStyle="1" w:styleId="Dotpoints-level2Char">
    <w:name w:val="Dot points - level 2 Char"/>
    <w:basedOn w:val="DotPoints-level1Char"/>
    <w:link w:val="Dotpoints-level2"/>
    <w:rsid w:val="00BE52BB"/>
    <w:rPr>
      <w:rFonts w:ascii="Arial" w:hAnsi="Arial" w:cs="Arial"/>
    </w:rPr>
  </w:style>
  <w:style w:type="paragraph" w:customStyle="1" w:styleId="Mainbodytext">
    <w:name w:val="Main body text"/>
    <w:basedOn w:val="Normal"/>
    <w:link w:val="MainbodytextChar"/>
    <w:qFormat/>
    <w:rsid w:val="004F598D"/>
    <w:pPr>
      <w:spacing w:after="160"/>
    </w:pPr>
  </w:style>
  <w:style w:type="character" w:styleId="UnresolvedMention">
    <w:name w:val="Unresolved Mention"/>
    <w:basedOn w:val="DefaultParagraphFont"/>
    <w:uiPriority w:val="99"/>
    <w:semiHidden/>
    <w:unhideWhenUsed/>
    <w:rsid w:val="00C22584"/>
    <w:rPr>
      <w:color w:val="605E5C"/>
      <w:shd w:val="clear" w:color="auto" w:fill="E1DFDD"/>
    </w:rPr>
  </w:style>
  <w:style w:type="table" w:customStyle="1" w:styleId="TableGrid1">
    <w:name w:val="Table Grid1"/>
    <w:basedOn w:val="TableNormal"/>
    <w:next w:val="TableGrid"/>
    <w:uiPriority w:val="39"/>
    <w:rsid w:val="002F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74">
      <w:bodyDiv w:val="1"/>
      <w:marLeft w:val="0"/>
      <w:marRight w:val="0"/>
      <w:marTop w:val="0"/>
      <w:marBottom w:val="0"/>
      <w:divBdr>
        <w:top w:val="none" w:sz="0" w:space="0" w:color="auto"/>
        <w:left w:val="none" w:sz="0" w:space="0" w:color="auto"/>
        <w:bottom w:val="none" w:sz="0" w:space="0" w:color="auto"/>
        <w:right w:val="none" w:sz="0" w:space="0" w:color="auto"/>
      </w:divBdr>
    </w:div>
    <w:div w:id="73549149">
      <w:bodyDiv w:val="1"/>
      <w:marLeft w:val="0"/>
      <w:marRight w:val="0"/>
      <w:marTop w:val="0"/>
      <w:marBottom w:val="0"/>
      <w:divBdr>
        <w:top w:val="none" w:sz="0" w:space="0" w:color="auto"/>
        <w:left w:val="none" w:sz="0" w:space="0" w:color="auto"/>
        <w:bottom w:val="none" w:sz="0" w:space="0" w:color="auto"/>
        <w:right w:val="none" w:sz="0" w:space="0" w:color="auto"/>
      </w:divBdr>
    </w:div>
    <w:div w:id="555623295">
      <w:bodyDiv w:val="1"/>
      <w:marLeft w:val="0"/>
      <w:marRight w:val="0"/>
      <w:marTop w:val="0"/>
      <w:marBottom w:val="0"/>
      <w:divBdr>
        <w:top w:val="none" w:sz="0" w:space="0" w:color="auto"/>
        <w:left w:val="none" w:sz="0" w:space="0" w:color="auto"/>
        <w:bottom w:val="none" w:sz="0" w:space="0" w:color="auto"/>
        <w:right w:val="none" w:sz="0" w:space="0" w:color="auto"/>
      </w:divBdr>
    </w:div>
    <w:div w:id="585306158">
      <w:bodyDiv w:val="1"/>
      <w:marLeft w:val="0"/>
      <w:marRight w:val="0"/>
      <w:marTop w:val="0"/>
      <w:marBottom w:val="0"/>
      <w:divBdr>
        <w:top w:val="none" w:sz="0" w:space="0" w:color="auto"/>
        <w:left w:val="none" w:sz="0" w:space="0" w:color="auto"/>
        <w:bottom w:val="none" w:sz="0" w:space="0" w:color="auto"/>
        <w:right w:val="none" w:sz="0" w:space="0" w:color="auto"/>
      </w:divBdr>
    </w:div>
    <w:div w:id="624581680">
      <w:bodyDiv w:val="1"/>
      <w:marLeft w:val="0"/>
      <w:marRight w:val="0"/>
      <w:marTop w:val="0"/>
      <w:marBottom w:val="0"/>
      <w:divBdr>
        <w:top w:val="none" w:sz="0" w:space="0" w:color="auto"/>
        <w:left w:val="none" w:sz="0" w:space="0" w:color="auto"/>
        <w:bottom w:val="none" w:sz="0" w:space="0" w:color="auto"/>
        <w:right w:val="none" w:sz="0" w:space="0" w:color="auto"/>
      </w:divBdr>
      <w:divsChild>
        <w:div w:id="36398258">
          <w:marLeft w:val="547"/>
          <w:marRight w:val="0"/>
          <w:marTop w:val="0"/>
          <w:marBottom w:val="0"/>
          <w:divBdr>
            <w:top w:val="none" w:sz="0" w:space="0" w:color="auto"/>
            <w:left w:val="none" w:sz="0" w:space="0" w:color="auto"/>
            <w:bottom w:val="none" w:sz="0" w:space="0" w:color="auto"/>
            <w:right w:val="none" w:sz="0" w:space="0" w:color="auto"/>
          </w:divBdr>
        </w:div>
      </w:divsChild>
    </w:div>
    <w:div w:id="640157370">
      <w:bodyDiv w:val="1"/>
      <w:marLeft w:val="0"/>
      <w:marRight w:val="0"/>
      <w:marTop w:val="0"/>
      <w:marBottom w:val="0"/>
      <w:divBdr>
        <w:top w:val="none" w:sz="0" w:space="0" w:color="auto"/>
        <w:left w:val="none" w:sz="0" w:space="0" w:color="auto"/>
        <w:bottom w:val="none" w:sz="0" w:space="0" w:color="auto"/>
        <w:right w:val="none" w:sz="0" w:space="0" w:color="auto"/>
      </w:divBdr>
    </w:div>
    <w:div w:id="733351417">
      <w:bodyDiv w:val="1"/>
      <w:marLeft w:val="0"/>
      <w:marRight w:val="0"/>
      <w:marTop w:val="0"/>
      <w:marBottom w:val="0"/>
      <w:divBdr>
        <w:top w:val="none" w:sz="0" w:space="0" w:color="auto"/>
        <w:left w:val="none" w:sz="0" w:space="0" w:color="auto"/>
        <w:bottom w:val="none" w:sz="0" w:space="0" w:color="auto"/>
        <w:right w:val="none" w:sz="0" w:space="0" w:color="auto"/>
      </w:divBdr>
    </w:div>
    <w:div w:id="749083515">
      <w:bodyDiv w:val="1"/>
      <w:marLeft w:val="0"/>
      <w:marRight w:val="0"/>
      <w:marTop w:val="0"/>
      <w:marBottom w:val="0"/>
      <w:divBdr>
        <w:top w:val="none" w:sz="0" w:space="0" w:color="auto"/>
        <w:left w:val="none" w:sz="0" w:space="0" w:color="auto"/>
        <w:bottom w:val="none" w:sz="0" w:space="0" w:color="auto"/>
        <w:right w:val="none" w:sz="0" w:space="0" w:color="auto"/>
      </w:divBdr>
    </w:div>
    <w:div w:id="920069635">
      <w:bodyDiv w:val="1"/>
      <w:marLeft w:val="0"/>
      <w:marRight w:val="0"/>
      <w:marTop w:val="0"/>
      <w:marBottom w:val="0"/>
      <w:divBdr>
        <w:top w:val="none" w:sz="0" w:space="0" w:color="auto"/>
        <w:left w:val="none" w:sz="0" w:space="0" w:color="auto"/>
        <w:bottom w:val="none" w:sz="0" w:space="0" w:color="auto"/>
        <w:right w:val="none" w:sz="0" w:space="0" w:color="auto"/>
      </w:divBdr>
    </w:div>
    <w:div w:id="942497506">
      <w:bodyDiv w:val="1"/>
      <w:marLeft w:val="0"/>
      <w:marRight w:val="0"/>
      <w:marTop w:val="0"/>
      <w:marBottom w:val="0"/>
      <w:divBdr>
        <w:top w:val="none" w:sz="0" w:space="0" w:color="auto"/>
        <w:left w:val="none" w:sz="0" w:space="0" w:color="auto"/>
        <w:bottom w:val="none" w:sz="0" w:space="0" w:color="auto"/>
        <w:right w:val="none" w:sz="0" w:space="0" w:color="auto"/>
      </w:divBdr>
    </w:div>
    <w:div w:id="1190948644">
      <w:bodyDiv w:val="1"/>
      <w:marLeft w:val="0"/>
      <w:marRight w:val="0"/>
      <w:marTop w:val="0"/>
      <w:marBottom w:val="0"/>
      <w:divBdr>
        <w:top w:val="none" w:sz="0" w:space="0" w:color="auto"/>
        <w:left w:val="none" w:sz="0" w:space="0" w:color="auto"/>
        <w:bottom w:val="none" w:sz="0" w:space="0" w:color="auto"/>
        <w:right w:val="none" w:sz="0" w:space="0" w:color="auto"/>
      </w:divBdr>
      <w:divsChild>
        <w:div w:id="1232426465">
          <w:marLeft w:val="547"/>
          <w:marRight w:val="0"/>
          <w:marTop w:val="0"/>
          <w:marBottom w:val="0"/>
          <w:divBdr>
            <w:top w:val="none" w:sz="0" w:space="0" w:color="auto"/>
            <w:left w:val="none" w:sz="0" w:space="0" w:color="auto"/>
            <w:bottom w:val="none" w:sz="0" w:space="0" w:color="auto"/>
            <w:right w:val="none" w:sz="0" w:space="0" w:color="auto"/>
          </w:divBdr>
        </w:div>
      </w:divsChild>
    </w:div>
    <w:div w:id="1307854118">
      <w:bodyDiv w:val="1"/>
      <w:marLeft w:val="0"/>
      <w:marRight w:val="0"/>
      <w:marTop w:val="0"/>
      <w:marBottom w:val="0"/>
      <w:divBdr>
        <w:top w:val="none" w:sz="0" w:space="0" w:color="auto"/>
        <w:left w:val="none" w:sz="0" w:space="0" w:color="auto"/>
        <w:bottom w:val="none" w:sz="0" w:space="0" w:color="auto"/>
        <w:right w:val="none" w:sz="0" w:space="0" w:color="auto"/>
      </w:divBdr>
      <w:divsChild>
        <w:div w:id="221600525">
          <w:marLeft w:val="547"/>
          <w:marRight w:val="0"/>
          <w:marTop w:val="0"/>
          <w:marBottom w:val="0"/>
          <w:divBdr>
            <w:top w:val="none" w:sz="0" w:space="0" w:color="auto"/>
            <w:left w:val="none" w:sz="0" w:space="0" w:color="auto"/>
            <w:bottom w:val="none" w:sz="0" w:space="0" w:color="auto"/>
            <w:right w:val="none" w:sz="0" w:space="0" w:color="auto"/>
          </w:divBdr>
        </w:div>
        <w:div w:id="497115295">
          <w:marLeft w:val="547"/>
          <w:marRight w:val="0"/>
          <w:marTop w:val="0"/>
          <w:marBottom w:val="0"/>
          <w:divBdr>
            <w:top w:val="none" w:sz="0" w:space="0" w:color="auto"/>
            <w:left w:val="none" w:sz="0" w:space="0" w:color="auto"/>
            <w:bottom w:val="none" w:sz="0" w:space="0" w:color="auto"/>
            <w:right w:val="none" w:sz="0" w:space="0" w:color="auto"/>
          </w:divBdr>
        </w:div>
      </w:divsChild>
    </w:div>
    <w:div w:id="1436174313">
      <w:bodyDiv w:val="1"/>
      <w:marLeft w:val="0"/>
      <w:marRight w:val="0"/>
      <w:marTop w:val="0"/>
      <w:marBottom w:val="0"/>
      <w:divBdr>
        <w:top w:val="none" w:sz="0" w:space="0" w:color="auto"/>
        <w:left w:val="none" w:sz="0" w:space="0" w:color="auto"/>
        <w:bottom w:val="none" w:sz="0" w:space="0" w:color="auto"/>
        <w:right w:val="none" w:sz="0" w:space="0" w:color="auto"/>
      </w:divBdr>
    </w:div>
    <w:div w:id="1446920022">
      <w:bodyDiv w:val="1"/>
      <w:marLeft w:val="0"/>
      <w:marRight w:val="0"/>
      <w:marTop w:val="0"/>
      <w:marBottom w:val="0"/>
      <w:divBdr>
        <w:top w:val="none" w:sz="0" w:space="0" w:color="auto"/>
        <w:left w:val="none" w:sz="0" w:space="0" w:color="auto"/>
        <w:bottom w:val="none" w:sz="0" w:space="0" w:color="auto"/>
        <w:right w:val="none" w:sz="0" w:space="0" w:color="auto"/>
      </w:divBdr>
      <w:divsChild>
        <w:div w:id="346324669">
          <w:marLeft w:val="547"/>
          <w:marRight w:val="0"/>
          <w:marTop w:val="0"/>
          <w:marBottom w:val="0"/>
          <w:divBdr>
            <w:top w:val="none" w:sz="0" w:space="0" w:color="auto"/>
            <w:left w:val="none" w:sz="0" w:space="0" w:color="auto"/>
            <w:bottom w:val="none" w:sz="0" w:space="0" w:color="auto"/>
            <w:right w:val="none" w:sz="0" w:space="0" w:color="auto"/>
          </w:divBdr>
        </w:div>
      </w:divsChild>
    </w:div>
    <w:div w:id="1451164671">
      <w:bodyDiv w:val="1"/>
      <w:marLeft w:val="0"/>
      <w:marRight w:val="0"/>
      <w:marTop w:val="0"/>
      <w:marBottom w:val="0"/>
      <w:divBdr>
        <w:top w:val="none" w:sz="0" w:space="0" w:color="auto"/>
        <w:left w:val="none" w:sz="0" w:space="0" w:color="auto"/>
        <w:bottom w:val="none" w:sz="0" w:space="0" w:color="auto"/>
        <w:right w:val="none" w:sz="0" w:space="0" w:color="auto"/>
      </w:divBdr>
    </w:div>
    <w:div w:id="1538084089">
      <w:bodyDiv w:val="1"/>
      <w:marLeft w:val="0"/>
      <w:marRight w:val="0"/>
      <w:marTop w:val="0"/>
      <w:marBottom w:val="0"/>
      <w:divBdr>
        <w:top w:val="none" w:sz="0" w:space="0" w:color="auto"/>
        <w:left w:val="none" w:sz="0" w:space="0" w:color="auto"/>
        <w:bottom w:val="none" w:sz="0" w:space="0" w:color="auto"/>
        <w:right w:val="none" w:sz="0" w:space="0" w:color="auto"/>
      </w:divBdr>
      <w:divsChild>
        <w:div w:id="2122408779">
          <w:marLeft w:val="360"/>
          <w:marRight w:val="0"/>
          <w:marTop w:val="0"/>
          <w:marBottom w:val="0"/>
          <w:divBdr>
            <w:top w:val="none" w:sz="0" w:space="0" w:color="auto"/>
            <w:left w:val="none" w:sz="0" w:space="0" w:color="auto"/>
            <w:bottom w:val="none" w:sz="0" w:space="0" w:color="auto"/>
            <w:right w:val="none" w:sz="0" w:space="0" w:color="auto"/>
          </w:divBdr>
        </w:div>
        <w:div w:id="1635135144">
          <w:marLeft w:val="360"/>
          <w:marRight w:val="0"/>
          <w:marTop w:val="0"/>
          <w:marBottom w:val="0"/>
          <w:divBdr>
            <w:top w:val="none" w:sz="0" w:space="0" w:color="auto"/>
            <w:left w:val="none" w:sz="0" w:space="0" w:color="auto"/>
            <w:bottom w:val="none" w:sz="0" w:space="0" w:color="auto"/>
            <w:right w:val="none" w:sz="0" w:space="0" w:color="auto"/>
          </w:divBdr>
        </w:div>
        <w:div w:id="17121334">
          <w:marLeft w:val="360"/>
          <w:marRight w:val="0"/>
          <w:marTop w:val="0"/>
          <w:marBottom w:val="0"/>
          <w:divBdr>
            <w:top w:val="none" w:sz="0" w:space="0" w:color="auto"/>
            <w:left w:val="none" w:sz="0" w:space="0" w:color="auto"/>
            <w:bottom w:val="none" w:sz="0" w:space="0" w:color="auto"/>
            <w:right w:val="none" w:sz="0" w:space="0" w:color="auto"/>
          </w:divBdr>
        </w:div>
        <w:div w:id="392848094">
          <w:marLeft w:val="360"/>
          <w:marRight w:val="0"/>
          <w:marTop w:val="0"/>
          <w:marBottom w:val="0"/>
          <w:divBdr>
            <w:top w:val="none" w:sz="0" w:space="0" w:color="auto"/>
            <w:left w:val="none" w:sz="0" w:space="0" w:color="auto"/>
            <w:bottom w:val="none" w:sz="0" w:space="0" w:color="auto"/>
            <w:right w:val="none" w:sz="0" w:space="0" w:color="auto"/>
          </w:divBdr>
        </w:div>
        <w:div w:id="795103830">
          <w:marLeft w:val="360"/>
          <w:marRight w:val="0"/>
          <w:marTop w:val="0"/>
          <w:marBottom w:val="0"/>
          <w:divBdr>
            <w:top w:val="none" w:sz="0" w:space="0" w:color="auto"/>
            <w:left w:val="none" w:sz="0" w:space="0" w:color="auto"/>
            <w:bottom w:val="none" w:sz="0" w:space="0" w:color="auto"/>
            <w:right w:val="none" w:sz="0" w:space="0" w:color="auto"/>
          </w:divBdr>
        </w:div>
      </w:divsChild>
    </w:div>
    <w:div w:id="1663658371">
      <w:bodyDiv w:val="1"/>
      <w:marLeft w:val="0"/>
      <w:marRight w:val="0"/>
      <w:marTop w:val="0"/>
      <w:marBottom w:val="0"/>
      <w:divBdr>
        <w:top w:val="none" w:sz="0" w:space="0" w:color="auto"/>
        <w:left w:val="none" w:sz="0" w:space="0" w:color="auto"/>
        <w:bottom w:val="none" w:sz="0" w:space="0" w:color="auto"/>
        <w:right w:val="none" w:sz="0" w:space="0" w:color="auto"/>
      </w:divBdr>
    </w:div>
    <w:div w:id="1687712948">
      <w:bodyDiv w:val="1"/>
      <w:marLeft w:val="0"/>
      <w:marRight w:val="0"/>
      <w:marTop w:val="0"/>
      <w:marBottom w:val="0"/>
      <w:divBdr>
        <w:top w:val="none" w:sz="0" w:space="0" w:color="auto"/>
        <w:left w:val="none" w:sz="0" w:space="0" w:color="auto"/>
        <w:bottom w:val="none" w:sz="0" w:space="0" w:color="auto"/>
        <w:right w:val="none" w:sz="0" w:space="0" w:color="auto"/>
      </w:divBdr>
    </w:div>
    <w:div w:id="1856066593">
      <w:bodyDiv w:val="1"/>
      <w:marLeft w:val="0"/>
      <w:marRight w:val="0"/>
      <w:marTop w:val="0"/>
      <w:marBottom w:val="0"/>
      <w:divBdr>
        <w:top w:val="none" w:sz="0" w:space="0" w:color="auto"/>
        <w:left w:val="none" w:sz="0" w:space="0" w:color="auto"/>
        <w:bottom w:val="none" w:sz="0" w:space="0" w:color="auto"/>
        <w:right w:val="none" w:sz="0" w:space="0" w:color="auto"/>
      </w:divBdr>
    </w:div>
    <w:div w:id="1929145383">
      <w:bodyDiv w:val="1"/>
      <w:marLeft w:val="0"/>
      <w:marRight w:val="0"/>
      <w:marTop w:val="0"/>
      <w:marBottom w:val="0"/>
      <w:divBdr>
        <w:top w:val="none" w:sz="0" w:space="0" w:color="auto"/>
        <w:left w:val="none" w:sz="0" w:space="0" w:color="auto"/>
        <w:bottom w:val="none" w:sz="0" w:space="0" w:color="auto"/>
        <w:right w:val="none" w:sz="0" w:space="0" w:color="auto"/>
      </w:divBdr>
    </w:div>
    <w:div w:id="2051614357">
      <w:bodyDiv w:val="1"/>
      <w:marLeft w:val="0"/>
      <w:marRight w:val="0"/>
      <w:marTop w:val="0"/>
      <w:marBottom w:val="0"/>
      <w:divBdr>
        <w:top w:val="none" w:sz="0" w:space="0" w:color="auto"/>
        <w:left w:val="none" w:sz="0" w:space="0" w:color="auto"/>
        <w:bottom w:val="none" w:sz="0" w:space="0" w:color="auto"/>
        <w:right w:val="none" w:sz="0" w:space="0" w:color="auto"/>
      </w:divBdr>
      <w:divsChild>
        <w:div w:id="12284903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sr.wa.gov.au/about/plan-for-the-future/ministers-sport-and-recreation-sector-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F24E0-E3CB-41D0-9C4A-66D83876FEB2}">
  <ds:schemaRefs>
    <ds:schemaRef ds:uri="http://schemas.openxmlformats.org/officeDocument/2006/bibliography"/>
  </ds:schemaRefs>
</ds:datastoreItem>
</file>

<file path=customXml/itemProps2.xml><?xml version="1.0" encoding="utf-8"?>
<ds:datastoreItem xmlns:ds="http://schemas.openxmlformats.org/officeDocument/2006/customXml" ds:itemID="{8A67121F-83C5-4DFB-B620-A9128D6FA77F}"/>
</file>

<file path=customXml/itemProps3.xml><?xml version="1.0" encoding="utf-8"?>
<ds:datastoreItem xmlns:ds="http://schemas.openxmlformats.org/officeDocument/2006/customXml" ds:itemID="{DF582F7C-CF12-432A-999B-9201E20B26BC}"/>
</file>

<file path=customXml/itemProps4.xml><?xml version="1.0" encoding="utf-8"?>
<ds:datastoreItem xmlns:ds="http://schemas.openxmlformats.org/officeDocument/2006/customXml" ds:itemID="{7883FBA1-A04B-4006-A11C-453998542BCC}"/>
</file>

<file path=docProps/app.xml><?xml version="1.0" encoding="utf-8"?>
<Properties xmlns="http://schemas.openxmlformats.org/officeDocument/2006/extended-properties" xmlns:vt="http://schemas.openxmlformats.org/officeDocument/2006/docPropsVTypes">
  <Template>Normal.dotm</Template>
  <TotalTime>2</TotalTime>
  <Pages>37</Pages>
  <Words>11048</Words>
  <Characters>62980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Humfrey</dc:creator>
  <cp:keywords/>
  <dc:description/>
  <cp:lastModifiedBy>Geoffrey White</cp:lastModifiedBy>
  <cp:revision>3</cp:revision>
  <cp:lastPrinted>2019-02-18T01:31:00Z</cp:lastPrinted>
  <dcterms:created xsi:type="dcterms:W3CDTF">2019-02-27T04:05:00Z</dcterms:created>
  <dcterms:modified xsi:type="dcterms:W3CDTF">2019-02-27T04:05:00Z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